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69" w:rsidRPr="00DE2832" w:rsidRDefault="00454D69" w:rsidP="00454D69">
      <w:pPr>
        <w:pStyle w:val="Ttulo1"/>
        <w:rPr>
          <w:rFonts w:ascii="Arial" w:hAnsi="Arial"/>
          <w:b/>
          <w:color w:val="auto"/>
          <w:sz w:val="24"/>
          <w:szCs w:val="24"/>
        </w:rPr>
      </w:pPr>
      <w:r w:rsidRPr="00DE2832">
        <w:rPr>
          <w:rFonts w:ascii="Arial" w:hAnsi="Arial"/>
          <w:b/>
          <w:color w:val="auto"/>
          <w:sz w:val="24"/>
          <w:szCs w:val="24"/>
        </w:rPr>
        <w:t>Appendix III: Characteristics of included studies</w:t>
      </w:r>
    </w:p>
    <w:p w:rsidR="00454D69" w:rsidRPr="00DE2832" w:rsidRDefault="00454D69" w:rsidP="00454D69">
      <w:pPr>
        <w:spacing w:after="0"/>
        <w:rPr>
          <w:rFonts w:eastAsia="Calibri"/>
          <w:i/>
          <w:sz w:val="24"/>
          <w:szCs w:val="24"/>
        </w:rPr>
      </w:pPr>
      <w:bookmarkStart w:id="0" w:name="_heading=h.41mghml" w:colFirst="0" w:colLast="0"/>
      <w:bookmarkEnd w:id="0"/>
      <w:r w:rsidRPr="00DE2832">
        <w:rPr>
          <w:rFonts w:eastAsia="Calibri"/>
          <w:sz w:val="24"/>
          <w:szCs w:val="24"/>
        </w:rPr>
        <w:t>Randomized Controlled Trial Study.</w:t>
      </w:r>
    </w:p>
    <w:tbl>
      <w:tblPr>
        <w:tblW w:w="13233" w:type="dxa"/>
        <w:tblLayout w:type="fixed"/>
        <w:tblLook w:val="0400" w:firstRow="0" w:lastRow="0" w:firstColumn="0" w:lastColumn="0" w:noHBand="0" w:noVBand="1"/>
      </w:tblPr>
      <w:tblGrid>
        <w:gridCol w:w="1555"/>
        <w:gridCol w:w="1559"/>
        <w:gridCol w:w="1559"/>
        <w:gridCol w:w="2317"/>
        <w:gridCol w:w="2822"/>
        <w:gridCol w:w="1602"/>
        <w:gridCol w:w="1819"/>
      </w:tblGrid>
      <w:tr w:rsidR="00454D69" w:rsidRPr="00DE2832" w:rsidTr="00521094">
        <w:trPr>
          <w:trHeight w:val="47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Country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Setting/ context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Participant characteristics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Groups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Follow-up and Outcomes measured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Main description of results</w:t>
            </w:r>
          </w:p>
        </w:tc>
      </w:tr>
      <w:tr w:rsidR="00454D69" w:rsidRPr="00DE2832" w:rsidTr="00521094">
        <w:trPr>
          <w:trHeight w:val="474"/>
        </w:trPr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van Watering et al, 1998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Netherlands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Leiden University Medical Centre; between March 1992 and August 1994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n = 608 patients </w:t>
            </w:r>
          </w:p>
          <w:p w:rsidR="00454D69" w:rsidRPr="00DE2832" w:rsidRDefault="00454D69" w:rsidP="006C5D42">
            <w:pPr>
              <w:spacing w:before="240"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Adult patients undergoing CABG surgery, cardiac valve surgery, or a combination of both, who had not received blood within the last 6 months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– mean 62.9 (SD 9.8)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 – mean 63.3 (SD 9.1)</w:t>
            </w:r>
          </w:p>
          <w:p w:rsidR="00454D69" w:rsidRPr="00DE2832" w:rsidRDefault="00687B8A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– male: 225 and female: 80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 – male: 206 and female: 97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285 PC transfusions; Filter: Cellselect-Optima leukocyte filter (NPBI, Emmer-comascuum, which is also merchandized as Erypus-Optima, Organon Technica); Residual Leukocyte: 1.2</w:t>
            </w:r>
            <w:r w:rsidRPr="00DE2832">
              <w:rPr>
                <w:rFonts w:eastAsia="Calibri"/>
                <w:sz w:val="24"/>
                <w:szCs w:val="24"/>
                <w:u w:val="single"/>
              </w:rPr>
              <w:t>+</w:t>
            </w:r>
            <w:r w:rsidRPr="00DE2832">
              <w:rPr>
                <w:rFonts w:eastAsia="Calibri"/>
                <w:sz w:val="24"/>
                <w:szCs w:val="24"/>
              </w:rPr>
              <w:t>1.4x10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unit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287 PC transfusions; Filter: Cellselect-Optima leukocyte filter; Residual Leukocyte: 1.1</w:t>
            </w:r>
            <w:r w:rsidRPr="00DE2832">
              <w:rPr>
                <w:rFonts w:eastAsia="Calibri"/>
                <w:sz w:val="24"/>
                <w:szCs w:val="24"/>
                <w:u w:val="single"/>
              </w:rPr>
              <w:t>+</w:t>
            </w:r>
            <w:r w:rsidRPr="00DE2832">
              <w:rPr>
                <w:rFonts w:eastAsia="Calibri"/>
                <w:sz w:val="24"/>
                <w:szCs w:val="24"/>
              </w:rPr>
              <w:t>1.4x10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unit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60 days after surgery</w:t>
            </w:r>
          </w:p>
          <w:p w:rsidR="00454D69" w:rsidRPr="00DE2832" w:rsidRDefault="00454D69" w:rsidP="006C5D42">
            <w:pPr>
              <w:spacing w:before="240" w:after="16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Postoperative infection; Length of hospital stay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58 postoperative infections in 285 PC transfusions (20.35%)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59 Postoperative infections in 287 PC transfusions (20.56%)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 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Pre-storage: mean 10.6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days/median 8 days</w:t>
            </w:r>
          </w:p>
          <w:p w:rsidR="00454D69" w:rsidRPr="00DE2832" w:rsidRDefault="00454D69" w:rsidP="006C5D42">
            <w:pPr>
              <w:spacing w:before="24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mean 10.7 days/median 8 days</w:t>
            </w:r>
          </w:p>
        </w:tc>
      </w:tr>
    </w:tbl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r w:rsidRPr="00DE2832">
        <w:rPr>
          <w:rFonts w:eastAsia="Calibri"/>
          <w:sz w:val="24"/>
          <w:szCs w:val="24"/>
        </w:rPr>
        <w:lastRenderedPageBreak/>
        <w:t>CABG: coronary artery bypass graft; PC: Platelet Concentrate; SD: Standard Deviation.</w:t>
      </w:r>
    </w:p>
    <w:p w:rsidR="00454D69" w:rsidRPr="00DE2832" w:rsidRDefault="00454D69" w:rsidP="00454D69">
      <w:pPr>
        <w:spacing w:after="200" w:line="276" w:lineRule="auto"/>
        <w:jc w:val="left"/>
        <w:rPr>
          <w:rFonts w:eastAsia="Calibri"/>
          <w:sz w:val="24"/>
          <w:szCs w:val="24"/>
        </w:rPr>
      </w:pPr>
    </w:p>
    <w:p w:rsidR="00454D69" w:rsidRPr="00DE2832" w:rsidRDefault="00454D69" w:rsidP="00454D69">
      <w:pPr>
        <w:spacing w:after="200" w:line="276" w:lineRule="auto"/>
        <w:jc w:val="left"/>
        <w:rPr>
          <w:rFonts w:eastAsia="Calibri"/>
          <w:sz w:val="24"/>
          <w:szCs w:val="24"/>
        </w:rPr>
      </w:pPr>
      <w:r w:rsidRPr="00DE2832">
        <w:rPr>
          <w:rFonts w:eastAsia="Calibri"/>
          <w:sz w:val="24"/>
          <w:szCs w:val="24"/>
        </w:rPr>
        <w:t>Quasi-Experimental Studies.</w:t>
      </w:r>
    </w:p>
    <w:tbl>
      <w:tblPr>
        <w:tblW w:w="13233" w:type="dxa"/>
        <w:tblLayout w:type="fixed"/>
        <w:tblLook w:val="0400" w:firstRow="0" w:lastRow="0" w:firstColumn="0" w:lastColumn="0" w:noHBand="0" w:noVBand="1"/>
      </w:tblPr>
      <w:tblGrid>
        <w:gridCol w:w="1555"/>
        <w:gridCol w:w="1701"/>
        <w:gridCol w:w="1417"/>
        <w:gridCol w:w="2125"/>
        <w:gridCol w:w="3136"/>
        <w:gridCol w:w="1543"/>
        <w:gridCol w:w="1756"/>
      </w:tblGrid>
      <w:tr w:rsidR="00454D69" w:rsidRPr="00DE2832" w:rsidTr="00521094">
        <w:trPr>
          <w:trHeight w:val="47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Setting/ context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Participant characteristics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Groups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Follow-up and Outcomes measured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b/>
                <w:sz w:val="24"/>
                <w:szCs w:val="24"/>
              </w:rPr>
              <w:t>Main description of results</w:t>
            </w:r>
          </w:p>
        </w:tc>
      </w:tr>
      <w:tr w:rsidR="00454D69" w:rsidRPr="00DE2832" w:rsidTr="00521094">
        <w:trPr>
          <w:trHeight w:val="225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Chalandon et al, 1999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Switzerland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Hôpital Universitaire de Genève; for 8 months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 = 32 patients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Hematology/oncology inpatients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between 13 and 65 years old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92 PC transfusions; Filter: Sepacell PL-10A, Asahi; Residual Leukocyte: &lt; 1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 xml:space="preserve">6 </w:t>
            </w:r>
            <w:r w:rsidRPr="00DE2832">
              <w:rPr>
                <w:rFonts w:eastAsia="Calibri"/>
                <w:sz w:val="24"/>
                <w:szCs w:val="24"/>
              </w:rPr>
              <w:t xml:space="preserve">per 8 units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pools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69 PC transfusions; Filter: PL-50, Pall; Residual Leukocyte: &lt; 1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unit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Until 1 hour after transfusion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PTR: FNHTR; HR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4 FNHTRs in 92 PC transfusions (4.35%)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6 FNHTRs in 69 PC transfusions (8.70%)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454D69" w:rsidRPr="00DE2832" w:rsidTr="00521094">
        <w:trPr>
          <w:trHeight w:val="112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Chang et al. 2018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Taiwan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Far Eastern Memorial Hospital; July 2009 to December 2014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 = 4,707 patients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Adult patients (aged more than 20 years old) with organ or bone marrow transplantation, immunocompromised status, or who had experienced FNHTR in previous transfusions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RBC - median: 60 (50-72)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PC - median: 57 (47-68)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 RBC - median: 62 (52-75)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 PC - median: 57 (49-66)</w:t>
            </w: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RBC - male: 5,970 (57%) and female: 4,439 (43%)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PC - male: 4,072 (61%) and female: 2,573 (39%)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 RBC - male: 7,039 (53%) and female: 6,129 (47%)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 PC - male: 2,414 (59%) and female: 1,668 (41%)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10,409 RBC transfusions; 6,645 PC transfusions; Filter: BioR-plus and BioP-plus (Fresenius Kabi); Residual Leukocyte: &lt; 5x10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 xml:space="preserve">6 </w:t>
            </w:r>
            <w:r w:rsidRPr="00DE2832">
              <w:rPr>
                <w:rFonts w:eastAsia="Calibri"/>
                <w:sz w:val="24"/>
                <w:szCs w:val="24"/>
              </w:rPr>
              <w:t xml:space="preserve">per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unit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c</w:t>
            </w:r>
            <w:proofErr w:type="spellEnd"/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13,165 RBC transfusions; 4,082 PC transfusions; Filter: not mentioned; Residual Leukocyte: not mentioned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Until 4 hours after transfusion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TAARS: FNHTR; ATR; Others TAARS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24 FNHTRs in 10,409 RBC transfusions (0.23%)</w:t>
            </w:r>
          </w:p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65 FNHTRs in 13165 RBC transfusions (0.49%)</w:t>
            </w:r>
          </w:p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14 FNHTRs in 6,645 PC transfusions (0.34%)  </w:t>
            </w:r>
          </w:p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12 FNHTRs in 4,082 PC transfusions (0.18%) </w:t>
            </w:r>
          </w:p>
        </w:tc>
      </w:tr>
      <w:tr w:rsidR="00454D69" w:rsidRPr="00DE2832" w:rsidTr="00521094">
        <w:trPr>
          <w:trHeight w:val="27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Da Ponte et al, 2005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Italy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National Cancer Institute in Aviano;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July 1998 to June 2002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n = 1,707 patients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Oncological patients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Selective WBC reduction (bedside): all patients, except those expected to be transfused only during or immediately after surgery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WBC reduced (in-line filtration) of all hemocomponents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cut-off age 60 years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 xml:space="preserve">Pre-storage: 4,116 RBC transfusions; Filter: T2924 NPBI Composelect bag configured with in-line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leucodepleting filters (Fresenius Hemocare GmbH); Residual Leukocyte: &lt; 5x10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unit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2,745 RBC transfusions; Filter: Leukostop 4 Lt (Baxter); Residual Leukocyte: &lt; 5x10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 xml:space="preserve">6 </w:t>
            </w:r>
            <w:r w:rsidRPr="00DE2832">
              <w:rPr>
                <w:rFonts w:eastAsia="Calibri"/>
                <w:sz w:val="24"/>
                <w:szCs w:val="24"/>
              </w:rPr>
              <w:t>per unit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Until 1 hour after transfusion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TR: HTR; FNHTR; Bacterial contamination reaction; ATR; ANR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 xml:space="preserve">Pre-storage: 4 FNHTRs in 4,116 RBC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transfusions (0.10%)  </w:t>
            </w: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15 FNHTRs in 2,745 RBC transfusions (0.54%)  </w:t>
            </w:r>
          </w:p>
        </w:tc>
      </w:tr>
      <w:tr w:rsidR="00454D69" w:rsidRPr="00DE2832" w:rsidTr="00521094">
        <w:trPr>
          <w:trHeight w:val="13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Garancini et al, 2013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2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Italy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General hospital; November 2006 to March 2011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n= 205 patients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All patients requiring elective or urgent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colorectal resection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median 69 (26.8 – 93.2) – for total sample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male - 239 (54.7%) 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female 198 (45.3%)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135 PC transfusions; Filter: not mentioned, MacoPharma; Residual Leukocyte: not mentioned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Post-storage: 70 PC transfusions; Filter: not mentioned, Fresenius Kabi; Residual Leukocyte: not mentioned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Follow-up: not mentioned</w:t>
            </w: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Infective complication 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43 infective complications in 135 PC transfusions (31.85%) </w:t>
            </w: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Post-storage: 36 infective complications in 70 PC transfusions (51.43%)</w:t>
            </w:r>
          </w:p>
        </w:tc>
      </w:tr>
      <w:tr w:rsidR="00454D69" w:rsidRPr="00DE2832" w:rsidTr="00521094">
        <w:trPr>
          <w:trHeight w:val="13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Paglino et al, 2004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United States of America (USA)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Yale-New Haven Hospital; January 1995 to December 2002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n = 17,475 patients 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SLR phase (control) - the period prior to start of conversion to universal pre-storage UPL - Inclusion criteria for filter use: according to guidelines - patients with a diagnosis of a malignancy, immunosuppressi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on, or a history of FNHTR. The second phase (or transition): phase was defined as the time between the initiation and intensification of UPL until greater than 95-percent UPL was achieved. The final UPL phase (test period) was the time during which full UPL was in effect.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 not mentioned</w:t>
            </w:r>
          </w:p>
          <w:p w:rsidR="00454D69" w:rsidRPr="00DE2832" w:rsidRDefault="00687B8A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 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60,048 RBC transfusions; 9,451 PC transfusions; Filter: Leukotrap RC-PL System, Pall (RBCs and PCs); Residual Leukocyte: &lt; 1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unit (RBC) and &lt; 1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5</w:t>
            </w:r>
            <w:r w:rsidRPr="00DE2832">
              <w:rPr>
                <w:rFonts w:eastAsia="Calibri"/>
                <w:sz w:val="24"/>
                <w:szCs w:val="24"/>
              </w:rPr>
              <w:t xml:space="preserve"> per unit (PC)</w:t>
            </w:r>
            <w:proofErr w:type="spellStart"/>
            <w:proofErr w:type="gramStart"/>
            <w:r w:rsidRPr="00DE2832">
              <w:rPr>
                <w:rFonts w:eastAsia="Calibri"/>
                <w:sz w:val="24"/>
                <w:szCs w:val="24"/>
                <w:vertAlign w:val="superscript"/>
              </w:rPr>
              <w:t>d,e</w:t>
            </w:r>
            <w:proofErr w:type="spellEnd"/>
            <w:proofErr w:type="gramEnd"/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85,321 RBC transfusions; 20,036 PC transfusions; Filter: Sepacell R-2000, Asahi (RBCs) and PL-100, Pall (PCs); Residual Leukocyte: Sepacell R-2000: &lt; 1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unit and PL-100: &lt; 1.8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6 units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pools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f</w:t>
            </w:r>
            <w:proofErr w:type="spellEnd"/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Follow up: unclear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TR: FNHTR; ATR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108 FNHTRs in 60,048 RBC transfusions (0.18%) 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290 FNHTRs in 85,321 RBC transfusions (0.34%) </w:t>
            </w:r>
          </w:p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Pre-storage: 14 FNHTRs in 9,451 PC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transfusions (0.15%) 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437 FNHTRs in 20,036 PC transfusions (2.18%)</w:t>
            </w:r>
          </w:p>
        </w:tc>
      </w:tr>
      <w:tr w:rsidR="00454D69" w:rsidRPr="00DE2832" w:rsidTr="00521094">
        <w:trPr>
          <w:trHeight w:val="55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Pruss et al, 2004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Germany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General hospital; April 1995 to April 2001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 Patient number not reported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1. All blood components administered met the current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German and European requirements regarding the use, preparation, and quality control of these products.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2. Candidates for long-term blood transfusion therapy received only leukodepleted blood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Selective WBC reduction (bedside): when indicated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WBC reduction: for all patients who needed transfusion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62,001 RBC transfusions; Filter: WBF-1, Pall; Residual Leukocyte: &lt; 1.03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6</w:t>
            </w:r>
            <w:r w:rsidRPr="00DE2832">
              <w:rPr>
                <w:rFonts w:eastAsia="Calibri"/>
                <w:sz w:val="24"/>
                <w:szCs w:val="24"/>
              </w:rPr>
              <w:t xml:space="preserve"> per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unit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g</w:t>
            </w:r>
            <w:proofErr w:type="spellEnd"/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Post-storage: 4,966 RBC transfusions; Filter: BPF-4, Pall; Residual Leukocyte: &lt; 5 x 10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Pr="00DE2832">
              <w:rPr>
                <w:rFonts w:eastAsia="Calibri"/>
                <w:sz w:val="24"/>
                <w:szCs w:val="24"/>
              </w:rPr>
              <w:t xml:space="preserve"> per </w:t>
            </w:r>
            <w:proofErr w:type="spellStart"/>
            <w:r w:rsidRPr="00DE2832">
              <w:rPr>
                <w:rFonts w:eastAsia="Calibri"/>
                <w:sz w:val="24"/>
                <w:szCs w:val="24"/>
              </w:rPr>
              <w:t>unit</w:t>
            </w:r>
            <w:r w:rsidRPr="00DE2832">
              <w:rPr>
                <w:rFonts w:eastAsia="Calibri"/>
                <w:sz w:val="24"/>
                <w:szCs w:val="24"/>
                <w:vertAlign w:val="superscript"/>
              </w:rPr>
              <w:t>h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Until 3 hours after transfusion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 xml:space="preserve">TR: FNHTR; </w:t>
            </w:r>
            <w:r w:rsidRPr="00DE2832">
              <w:rPr>
                <w:rFonts w:eastAsia="Calibri"/>
                <w:sz w:val="24"/>
                <w:szCs w:val="24"/>
              </w:rPr>
              <w:lastRenderedPageBreak/>
              <w:t>ATR; ANHTR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Pre-storage: 16 FNHTRs in 62,001 RBC transfusions (0.02%)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Post-storage: 8 FNHTRs in 4,966 RBC transfusions (0.16%)  </w:t>
            </w: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454D69" w:rsidRPr="00DE2832" w:rsidTr="00521094">
        <w:trPr>
          <w:trHeight w:val="27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Uhlmann et al, 2001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4</w:t>
            </w:r>
            <w:r w:rsidR="00005A5E">
              <w:rPr>
                <w:rFonts w:eastAsia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Barnes-Jewish Hospital, St. Louis; January 1999 to June 2000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Patient number not reported</w:t>
            </w:r>
            <w:r w:rsidRPr="00DE2832" w:rsidDel="00C4653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Patients who received allogeneic RBCs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Selective WBC reduction (1999) was accomplished with bedside filtration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 WBC reduced RBC (Jan.- June, 2000) from regional blood center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16,093 RBC transfusions; Filter: not mentioned; Residual Leukocyte: not mentioned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4,760 RBC transfusions; Filter: not mentioned; Residual Leukocyte: not mentioned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Follow-up: not mentioned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TR: HTR; FNHTR; Contamination reaction; ATR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13 FNHTRs in 16,093 RBC transfusions (0.08%)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4 FNHTRs in 4,760 RBC transfusions (0.08%)</w:t>
            </w:r>
          </w:p>
        </w:tc>
      </w:tr>
      <w:tr w:rsidR="00454D69" w:rsidRPr="00DE2832" w:rsidTr="00521094">
        <w:trPr>
          <w:trHeight w:val="126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lastRenderedPageBreak/>
              <w:t>Wang et al, 2012</w:t>
            </w:r>
            <w:r w:rsidR="00DE2832" w:rsidRPr="00DE2832">
              <w:rPr>
                <w:rFonts w:eastAsia="Calibri"/>
                <w:sz w:val="24"/>
                <w:szCs w:val="24"/>
                <w:vertAlign w:val="superscript"/>
              </w:rPr>
              <w:t>19</w:t>
            </w:r>
          </w:p>
          <w:p w:rsidR="00454D69" w:rsidRPr="00DE2832" w:rsidRDefault="00454D69" w:rsidP="006C5D42">
            <w:pPr>
              <w:spacing w:after="0" w:line="240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USA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15 hospitals in Pittsburg; August 2007 to February 2010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Patient number not reported</w:t>
            </w:r>
          </w:p>
          <w:p w:rsidR="00454D69" w:rsidRPr="00DE2832" w:rsidRDefault="00454D69" w:rsidP="006C5D42">
            <w:pPr>
              <w:spacing w:after="20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Patients with organ or stem cell transplantation, hematologic or solid organ malignancy, cardiac surgery, or a history of FNHTR. SDPs are primarily reserved for patients who require human leukocyte antigen (HLA) – matched platelets. All other patients receive Non-LR blood components.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Age: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54D69" w:rsidRPr="00DE2832" w:rsidRDefault="00687B8A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Sex</w:t>
            </w:r>
            <w:r w:rsidR="00454D69" w:rsidRPr="00DE2832">
              <w:rPr>
                <w:rFonts w:eastAsia="Calibri"/>
                <w:sz w:val="24"/>
                <w:szCs w:val="24"/>
              </w:rPr>
              <w:t>:</w:t>
            </w:r>
          </w:p>
          <w:p w:rsidR="00454D69" w:rsidRPr="00DE2832" w:rsidRDefault="00454D69" w:rsidP="006C5D4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not mentioned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11,380 PC transfusions; Filter: Acrodose, Pall; Residual Leukocyte: not mentioned/ not found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29,594 PC transfusions; Filter: PXL8c, Pall; Residual Leukocyte: not mentioned/ not found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Follow-up: not mentioned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TR: FNHTR; ATR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4D69" w:rsidRPr="00DE2832" w:rsidRDefault="00454D69" w:rsidP="006C5D42">
            <w:pPr>
              <w:spacing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Pre-storage: 18 FNHTRs in 11,380 PC transfusions (0.16%) </w:t>
            </w:r>
          </w:p>
          <w:p w:rsidR="00454D69" w:rsidRPr="00DE2832" w:rsidRDefault="00454D69" w:rsidP="006C5D42">
            <w:pPr>
              <w:spacing w:after="200" w:line="240" w:lineRule="auto"/>
              <w:jc w:val="left"/>
              <w:rPr>
                <w:rFonts w:eastAsia="Calibri"/>
                <w:sz w:val="24"/>
                <w:szCs w:val="24"/>
              </w:rPr>
            </w:pPr>
            <w:r w:rsidRPr="00DE2832">
              <w:rPr>
                <w:rFonts w:eastAsia="Calibri"/>
                <w:sz w:val="24"/>
                <w:szCs w:val="24"/>
              </w:rPr>
              <w:t>Post-storage: 88 FNHTRs in 29,594 PC transfusions (0.30%)</w:t>
            </w:r>
          </w:p>
        </w:tc>
      </w:tr>
    </w:tbl>
    <w:p w:rsidR="00454D69" w:rsidRPr="00DE2832" w:rsidRDefault="00687B8A" w:rsidP="00454D69">
      <w:pPr>
        <w:spacing w:after="0" w:line="240" w:lineRule="auto"/>
        <w:rPr>
          <w:rFonts w:eastAsia="Calibri"/>
          <w:sz w:val="24"/>
          <w:szCs w:val="24"/>
        </w:rPr>
      </w:pPr>
      <w:bookmarkStart w:id="1" w:name="_Hlk132829926"/>
      <w:r>
        <w:rPr>
          <w:rFonts w:eastAsia="Calibri"/>
          <w:sz w:val="24"/>
          <w:szCs w:val="24"/>
        </w:rPr>
        <w:lastRenderedPageBreak/>
        <w:t xml:space="preserve">ANHTR: Acute </w:t>
      </w:r>
      <w:proofErr w:type="spellStart"/>
      <w:r>
        <w:rPr>
          <w:rFonts w:eastAsia="Calibri"/>
          <w:sz w:val="24"/>
          <w:szCs w:val="24"/>
        </w:rPr>
        <w:t>Non</w:t>
      </w:r>
      <w:r w:rsidR="00454D69" w:rsidRPr="00DE2832">
        <w:rPr>
          <w:rFonts w:eastAsia="Calibri"/>
          <w:sz w:val="24"/>
          <w:szCs w:val="24"/>
        </w:rPr>
        <w:t>hemolytic</w:t>
      </w:r>
      <w:proofErr w:type="spellEnd"/>
      <w:r w:rsidR="00454D69" w:rsidRPr="00DE2832">
        <w:rPr>
          <w:rFonts w:eastAsia="Calibri"/>
          <w:sz w:val="24"/>
          <w:szCs w:val="24"/>
        </w:rPr>
        <w:t xml:space="preserve"> transfusion reaction; ANR: Anaphylactic reaction; ATR: Allergic transfusi</w:t>
      </w:r>
      <w:r>
        <w:rPr>
          <w:rFonts w:eastAsia="Calibri"/>
          <w:sz w:val="24"/>
          <w:szCs w:val="24"/>
        </w:rPr>
        <w:t xml:space="preserve">on reaction; FNHTR: Febrile </w:t>
      </w:r>
      <w:proofErr w:type="spellStart"/>
      <w:r>
        <w:rPr>
          <w:rFonts w:eastAsia="Calibri"/>
          <w:sz w:val="24"/>
          <w:szCs w:val="24"/>
        </w:rPr>
        <w:t>non</w:t>
      </w:r>
      <w:r w:rsidR="00454D69" w:rsidRPr="00DE2832">
        <w:rPr>
          <w:rFonts w:eastAsia="Calibri"/>
          <w:sz w:val="24"/>
          <w:szCs w:val="24"/>
        </w:rPr>
        <w:t>hemolytic</w:t>
      </w:r>
      <w:proofErr w:type="spellEnd"/>
      <w:r w:rsidR="00454D69" w:rsidRPr="00DE2832">
        <w:rPr>
          <w:rFonts w:eastAsia="Calibri"/>
          <w:sz w:val="24"/>
          <w:szCs w:val="24"/>
        </w:rPr>
        <w:t xml:space="preserve"> reaction; HLA: Human leukocyte antigen; HR: Hypotension reaction; HTR: Hemolytic transfusion reaction; Non-LR: Non-leukoreduced</w:t>
      </w:r>
      <w:bookmarkStart w:id="2" w:name="_GoBack"/>
      <w:bookmarkEnd w:id="2"/>
      <w:r w:rsidR="00454D69" w:rsidRPr="00DE2832">
        <w:rPr>
          <w:rFonts w:eastAsia="Calibri"/>
          <w:sz w:val="24"/>
          <w:szCs w:val="24"/>
        </w:rPr>
        <w:t>; PC: Platelet Concentrate; PTR: Post-transfusion reactions; RBC: Red Blood Cells; SDP: Single Donor Platelet; SLR: Selective leukoreduction; TAARS: Transfusion-associated adverse reaction; TR: Transfusion reaction; UPL: Universal pre-storage leukoreduction; USA: United States of America; WBC: White blood cells.</w:t>
      </w:r>
    </w:p>
    <w:bookmarkEnd w:id="1"/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a</w:t>
      </w:r>
      <w:r w:rsidRPr="00DE2832">
        <w:rPr>
          <w:rFonts w:eastAsia="Calibri"/>
          <w:sz w:val="24"/>
          <w:szCs w:val="24"/>
        </w:rPr>
        <w:t>Bertolini</w:t>
      </w:r>
      <w:proofErr w:type="spellEnd"/>
      <w:r w:rsidRPr="00DE2832">
        <w:rPr>
          <w:rFonts w:eastAsia="Calibri"/>
          <w:sz w:val="24"/>
          <w:szCs w:val="24"/>
        </w:rPr>
        <w:t xml:space="preserve"> F, </w:t>
      </w:r>
      <w:proofErr w:type="spellStart"/>
      <w:r w:rsidRPr="00DE2832">
        <w:rPr>
          <w:rFonts w:eastAsia="Calibri"/>
          <w:sz w:val="24"/>
          <w:szCs w:val="24"/>
        </w:rPr>
        <w:t>Rebulla</w:t>
      </w:r>
      <w:proofErr w:type="spellEnd"/>
      <w:r w:rsidRPr="00DE2832">
        <w:rPr>
          <w:rFonts w:eastAsia="Calibri"/>
          <w:sz w:val="24"/>
          <w:szCs w:val="24"/>
        </w:rPr>
        <w:t xml:space="preserve"> P, Porretti L Sirchia G. Comparison of Platelet Activation and Membrane Glycoprotein </w:t>
      </w:r>
      <w:proofErr w:type="spellStart"/>
      <w:r w:rsidRPr="00DE2832">
        <w:rPr>
          <w:rFonts w:eastAsia="Calibri"/>
          <w:sz w:val="24"/>
          <w:szCs w:val="24"/>
        </w:rPr>
        <w:t>Ib</w:t>
      </w:r>
      <w:proofErr w:type="spellEnd"/>
      <w:r w:rsidRPr="00DE2832">
        <w:rPr>
          <w:rFonts w:eastAsia="Calibri"/>
          <w:sz w:val="24"/>
          <w:szCs w:val="24"/>
        </w:rPr>
        <w:t xml:space="preserve"> and </w:t>
      </w:r>
      <w:proofErr w:type="spellStart"/>
      <w:r w:rsidRPr="00DE2832">
        <w:rPr>
          <w:rFonts w:eastAsia="Calibri"/>
          <w:sz w:val="24"/>
          <w:szCs w:val="24"/>
        </w:rPr>
        <w:t>IIb-IIIa</w:t>
      </w:r>
      <w:proofErr w:type="spellEnd"/>
      <w:r w:rsidRPr="00DE2832">
        <w:rPr>
          <w:rFonts w:eastAsia="Calibri"/>
          <w:sz w:val="24"/>
          <w:szCs w:val="24"/>
        </w:rPr>
        <w:t xml:space="preserve"> Expression after Filtration through Three Different Leukocyte Removal Filters. Vox Sang. 1990;59(4):201–204. doi:10.1111/j.1423-</w:t>
      </w:r>
      <w:proofErr w:type="gramStart"/>
      <w:r w:rsidRPr="00DE2832">
        <w:rPr>
          <w:rFonts w:eastAsia="Calibri"/>
          <w:sz w:val="24"/>
          <w:szCs w:val="24"/>
        </w:rPr>
        <w:t>0410.1990.tb</w:t>
      </w:r>
      <w:proofErr w:type="gramEnd"/>
      <w:r w:rsidRPr="00DE2832">
        <w:rPr>
          <w:rFonts w:eastAsia="Calibri"/>
          <w:sz w:val="24"/>
          <w:szCs w:val="24"/>
        </w:rPr>
        <w:t>00236.x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b</w:t>
      </w:r>
      <w:r w:rsidRPr="00DE2832">
        <w:rPr>
          <w:rFonts w:eastAsia="Calibri"/>
          <w:sz w:val="24"/>
          <w:szCs w:val="24"/>
        </w:rPr>
        <w:t>Elias</w:t>
      </w:r>
      <w:proofErr w:type="spellEnd"/>
      <w:r w:rsidRPr="00DE2832">
        <w:rPr>
          <w:rFonts w:eastAsia="Calibri"/>
          <w:sz w:val="24"/>
          <w:szCs w:val="24"/>
        </w:rPr>
        <w:t xml:space="preserve"> M K, Smit J W, Weggemans M, Rijskamp L, Carper H, McShine R L, et al. In vitro evaluation of a high-efficiency leukocyte adherence filter. Ann Hematol. 1991;63(6):302–306. doi:10.1007/bf01709651 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c</w:t>
      </w:r>
      <w:r w:rsidRPr="00DE2832">
        <w:rPr>
          <w:rFonts w:eastAsia="Calibri"/>
          <w:sz w:val="24"/>
          <w:szCs w:val="24"/>
        </w:rPr>
        <w:t>Fresenius</w:t>
      </w:r>
      <w:proofErr w:type="spellEnd"/>
      <w:r w:rsidRPr="00DE2832">
        <w:rPr>
          <w:rFonts w:eastAsia="Calibri"/>
          <w:sz w:val="24"/>
          <w:szCs w:val="24"/>
        </w:rPr>
        <w:t xml:space="preserve"> catalog of leucodepletion filters - transfusion technology.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d</w:t>
      </w:r>
      <w:r w:rsidRPr="00DE2832">
        <w:rPr>
          <w:rFonts w:eastAsia="Calibri"/>
          <w:sz w:val="24"/>
          <w:szCs w:val="24"/>
        </w:rPr>
        <w:t>Pall</w:t>
      </w:r>
      <w:proofErr w:type="spellEnd"/>
      <w:r w:rsidRPr="00DE2832">
        <w:rPr>
          <w:rFonts w:eastAsia="Calibri"/>
          <w:sz w:val="24"/>
          <w:szCs w:val="24"/>
        </w:rPr>
        <w:t xml:space="preserve"> catalog of leucodepletion filters - Filtración em proceso.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e</w:t>
      </w:r>
      <w:r w:rsidRPr="00DE2832">
        <w:rPr>
          <w:rFonts w:eastAsia="Calibri"/>
          <w:sz w:val="24"/>
          <w:szCs w:val="24"/>
        </w:rPr>
        <w:t>Hurel</w:t>
      </w:r>
      <w:proofErr w:type="spellEnd"/>
      <w:r w:rsidRPr="00DE2832">
        <w:rPr>
          <w:rFonts w:eastAsia="Calibri"/>
          <w:sz w:val="24"/>
          <w:szCs w:val="24"/>
        </w:rPr>
        <w:t xml:space="preserve">, C, </w:t>
      </w:r>
      <w:proofErr w:type="spellStart"/>
      <w:r w:rsidRPr="00DE2832">
        <w:rPr>
          <w:rFonts w:eastAsia="Calibri"/>
          <w:sz w:val="24"/>
          <w:szCs w:val="24"/>
        </w:rPr>
        <w:t>Sabolic</w:t>
      </w:r>
      <w:proofErr w:type="spellEnd"/>
      <w:r w:rsidRPr="00DE2832">
        <w:rPr>
          <w:rFonts w:eastAsia="Calibri"/>
          <w:sz w:val="24"/>
          <w:szCs w:val="24"/>
        </w:rPr>
        <w:t xml:space="preserve"> V, Habibi B. Etude des performances des filtres Pall (RC 100 et PL 100) pour la déleucocytation des concentrés de globules rouges et de plaquettes. Rev. Fr. Transfus. Hemobiol. 1989;32(4):307–322. doi:10.1016/S1140-4639(89)80006-1 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f</w:t>
      </w:r>
      <w:r w:rsidRPr="00DE2832">
        <w:rPr>
          <w:rFonts w:eastAsia="Calibri"/>
          <w:sz w:val="24"/>
          <w:szCs w:val="24"/>
        </w:rPr>
        <w:t>Rogers</w:t>
      </w:r>
      <w:proofErr w:type="spellEnd"/>
      <w:r w:rsidRPr="00DE2832">
        <w:rPr>
          <w:rFonts w:eastAsia="Calibri"/>
          <w:sz w:val="24"/>
          <w:szCs w:val="24"/>
        </w:rPr>
        <w:t xml:space="preserve"> S E, Edmondson D, Goodrick M J, Standen G R, Franck V, Reppucci A, et al. Prestorage white cell reduction in saline-adenine-glucose-mannitol red cells by use of an integral filter: evaluation of storage values and in vivo recovery. Transfusion. 1995;35(9):727–733. doi:10.1046/j.1537-2995.</w:t>
      </w:r>
      <w:proofErr w:type="gramStart"/>
      <w:r w:rsidRPr="00DE2832">
        <w:rPr>
          <w:rFonts w:eastAsia="Calibri"/>
          <w:sz w:val="24"/>
          <w:szCs w:val="24"/>
        </w:rPr>
        <w:t>1995.35996029155.x</w:t>
      </w:r>
      <w:proofErr w:type="gramEnd"/>
      <w:r w:rsidRPr="00DE2832">
        <w:rPr>
          <w:rFonts w:eastAsia="Calibri"/>
          <w:sz w:val="24"/>
          <w:szCs w:val="24"/>
        </w:rPr>
        <w:t>        </w:t>
      </w:r>
    </w:p>
    <w:p w:rsidR="00454D69" w:rsidRPr="00DE2832" w:rsidRDefault="00454D69" w:rsidP="00454D69">
      <w:pPr>
        <w:spacing w:after="0" w:line="240" w:lineRule="auto"/>
        <w:rPr>
          <w:rFonts w:eastAsia="Calibri"/>
          <w:sz w:val="24"/>
          <w:szCs w:val="24"/>
          <w:lang w:val="es-419"/>
        </w:rPr>
      </w:pPr>
      <w:proofErr w:type="spellStart"/>
      <w:r w:rsidRPr="00DE2832">
        <w:rPr>
          <w:rFonts w:eastAsia="Calibri"/>
          <w:sz w:val="24"/>
          <w:szCs w:val="24"/>
          <w:vertAlign w:val="superscript"/>
        </w:rPr>
        <w:t>g</w:t>
      </w:r>
      <w:r w:rsidRPr="00DE2832">
        <w:rPr>
          <w:rFonts w:eastAsia="Calibri"/>
          <w:sz w:val="24"/>
          <w:szCs w:val="24"/>
        </w:rPr>
        <w:t>Neumüller</w:t>
      </w:r>
      <w:proofErr w:type="spellEnd"/>
      <w:r w:rsidRPr="00DE2832">
        <w:rPr>
          <w:rFonts w:eastAsia="Calibri"/>
          <w:sz w:val="24"/>
          <w:szCs w:val="24"/>
        </w:rPr>
        <w:t xml:space="preserve"> J, Schwartz D W M, Mayr W R. Demonstration by Flow Cytometry of the Numbers of Residual White Blood Cells and Platelets in Filtered Red Blood Cell Concentrates and Plasma Preparations. </w:t>
      </w:r>
      <w:r w:rsidRPr="00DE2832">
        <w:rPr>
          <w:rFonts w:eastAsia="Calibri"/>
          <w:sz w:val="24"/>
          <w:szCs w:val="24"/>
          <w:lang w:val="es-419"/>
        </w:rPr>
        <w:t>Vox Sang.1997;73(4):220–229. doi:10.1046/j.1423-0410.</w:t>
      </w:r>
      <w:proofErr w:type="gramStart"/>
      <w:r w:rsidRPr="00DE2832">
        <w:rPr>
          <w:rFonts w:eastAsia="Calibri"/>
          <w:sz w:val="24"/>
          <w:szCs w:val="24"/>
          <w:lang w:val="es-419"/>
        </w:rPr>
        <w:t>1997.7340220.x</w:t>
      </w:r>
      <w:proofErr w:type="gramEnd"/>
    </w:p>
    <w:p w:rsidR="00344538" w:rsidRPr="00454D69" w:rsidRDefault="00454D69" w:rsidP="00454D69">
      <w:proofErr w:type="spellStart"/>
      <w:r w:rsidRPr="00DE2832">
        <w:rPr>
          <w:rFonts w:eastAsia="Calibri"/>
          <w:sz w:val="24"/>
          <w:szCs w:val="24"/>
          <w:vertAlign w:val="superscript"/>
          <w:lang w:val="es-419"/>
        </w:rPr>
        <w:t>h</w:t>
      </w:r>
      <w:r w:rsidRPr="00DE2832">
        <w:rPr>
          <w:rFonts w:eastAsia="Calibri"/>
          <w:sz w:val="24"/>
          <w:szCs w:val="24"/>
          <w:lang w:val="es-419"/>
        </w:rPr>
        <w:t>Pall</w:t>
      </w:r>
      <w:proofErr w:type="spellEnd"/>
      <w:r w:rsidRPr="00DE2832">
        <w:rPr>
          <w:rFonts w:eastAsia="Calibri"/>
          <w:sz w:val="24"/>
          <w:szCs w:val="24"/>
          <w:lang w:val="es-419"/>
        </w:rPr>
        <w:t xml:space="preserve"> </w:t>
      </w:r>
      <w:proofErr w:type="spellStart"/>
      <w:r w:rsidRPr="00DE2832">
        <w:rPr>
          <w:rFonts w:eastAsia="Calibri"/>
          <w:sz w:val="24"/>
          <w:szCs w:val="24"/>
          <w:lang w:val="es-419"/>
        </w:rPr>
        <w:t>catalog</w:t>
      </w:r>
      <w:proofErr w:type="spellEnd"/>
      <w:r w:rsidRPr="00DE2832">
        <w:rPr>
          <w:rFonts w:eastAsia="Calibri"/>
          <w:sz w:val="24"/>
          <w:szCs w:val="24"/>
          <w:lang w:val="es-419"/>
        </w:rPr>
        <w:t xml:space="preserve"> of </w:t>
      </w:r>
      <w:proofErr w:type="spellStart"/>
      <w:r w:rsidRPr="00DE2832">
        <w:rPr>
          <w:rFonts w:eastAsia="Calibri"/>
          <w:sz w:val="24"/>
          <w:szCs w:val="24"/>
          <w:lang w:val="es-419"/>
        </w:rPr>
        <w:t>leucodepletion</w:t>
      </w:r>
      <w:proofErr w:type="spellEnd"/>
      <w:r w:rsidRPr="00DE2832">
        <w:rPr>
          <w:rFonts w:eastAsia="Calibri"/>
          <w:sz w:val="24"/>
          <w:szCs w:val="24"/>
          <w:lang w:val="es-419"/>
        </w:rPr>
        <w:t xml:space="preserve"> filters - Laboratorio y filtración pie de cama o cabecera</w:t>
      </w:r>
    </w:p>
    <w:sectPr w:rsidR="00344538" w:rsidRPr="00454D69" w:rsidSect="00454D6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20E5E"/>
    <w:multiLevelType w:val="multilevel"/>
    <w:tmpl w:val="B554CB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7B"/>
    <w:rsid w:val="00005A5E"/>
    <w:rsid w:val="00330C58"/>
    <w:rsid w:val="00406205"/>
    <w:rsid w:val="00454D69"/>
    <w:rsid w:val="00521094"/>
    <w:rsid w:val="00610F76"/>
    <w:rsid w:val="00611E7B"/>
    <w:rsid w:val="00687B8A"/>
    <w:rsid w:val="009577BA"/>
    <w:rsid w:val="00967AF6"/>
    <w:rsid w:val="00D25325"/>
    <w:rsid w:val="00DE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618A"/>
  <w15:chartTrackingRefBased/>
  <w15:docId w15:val="{407A071B-7107-4493-9CEC-3CFAB2DB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7B"/>
    <w:pPr>
      <w:spacing w:after="240" w:line="360" w:lineRule="auto"/>
      <w:jc w:val="both"/>
    </w:pPr>
    <w:rPr>
      <w:rFonts w:ascii="Arial" w:eastAsia="Arial" w:hAnsi="Arial" w:cs="Arial"/>
      <w:sz w:val="20"/>
      <w:szCs w:val="20"/>
      <w:lang w:val="en-US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67A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11E7B"/>
    <w:pPr>
      <w:widowControl w:val="0"/>
      <w:autoSpaceDE w:val="0"/>
      <w:autoSpaceDN w:val="0"/>
      <w:adjustRightInd w:val="0"/>
      <w:spacing w:before="120" w:after="120" w:line="240" w:lineRule="auto"/>
      <w:outlineLvl w:val="2"/>
    </w:pPr>
    <w:rPr>
      <w:rFonts w:asciiTheme="minorHAnsi" w:hAnsiTheme="minorHAnsi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11E7B"/>
    <w:rPr>
      <w:rFonts w:eastAsia="Arial" w:cs="Arial"/>
      <w:b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967A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1667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Dejigov</dc:creator>
  <cp:keywords/>
  <dc:description/>
  <cp:lastModifiedBy>NATASHA DEJIGOV MONTEIRO DA SILVA</cp:lastModifiedBy>
  <cp:revision>7</cp:revision>
  <dcterms:created xsi:type="dcterms:W3CDTF">2023-10-08T16:18:00Z</dcterms:created>
  <dcterms:modified xsi:type="dcterms:W3CDTF">2023-12-26T18:03:00Z</dcterms:modified>
</cp:coreProperties>
</file>