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156" w:afterLines="50" w:line="360" w:lineRule="auto"/>
        <w:rPr>
          <w:rFonts w:ascii="Times New Roman" w:hAnsi="Times New Roman" w:cs="Times New Roman"/>
          <w:b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</w:pPr>
      <w:bookmarkStart w:id="2" w:name="_GoBack"/>
      <w:r>
        <w:rPr>
          <w:rFonts w:ascii="Times New Roman" w:hAnsi="Times New Roman" w:cs="Times New Roman"/>
          <w:b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Supplementary materials</w:t>
      </w:r>
      <w:r>
        <w:rPr>
          <w:rFonts w:hint="eastAsia" w:ascii="Times New Roman" w:hAnsi="Times New Roman" w:cs="Times New Roman"/>
          <w:b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:</w:t>
      </w:r>
    </w:p>
    <w:bookmarkEnd w:id="2"/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hint="eastAsia"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Results of Three-way ANOVA for the effects of endophyte (E), nitrogen concentrations (N) and sowing rate (S) on plant height, chlorophyll content, photosynthetic rate and water use efficiency of </w:t>
      </w:r>
      <w:r>
        <w:rPr>
          <w:rFonts w:ascii="Times New Roman" w:hAnsi="Times New Roman" w:cs="Times New Roman"/>
          <w:i/>
          <w:sz w:val="20"/>
          <w:szCs w:val="20"/>
        </w:rPr>
        <w:t>Achnatherum inebrians</w:t>
      </w:r>
    </w:p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5"/>
        <w:tblW w:w="83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425"/>
        <w:gridCol w:w="1134"/>
        <w:gridCol w:w="851"/>
        <w:gridCol w:w="850"/>
        <w:gridCol w:w="851"/>
        <w:gridCol w:w="709"/>
        <w:gridCol w:w="850"/>
        <w:gridCol w:w="709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64731622"/>
            <w:r>
              <w:rPr>
                <w:rFonts w:ascii="Times New Roman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lant height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Chlorophyll content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hotosynthetic rate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ater use efficiency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2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6.308</w:t>
            </w:r>
          </w:p>
        </w:tc>
        <w:tc>
          <w:tcPr>
            <w:tcW w:w="85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45.135</w:t>
            </w:r>
          </w:p>
        </w:tc>
        <w:tc>
          <w:tcPr>
            <w:tcW w:w="85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.997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.006</w:t>
            </w:r>
          </w:p>
        </w:tc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.805</w:t>
            </w:r>
          </w:p>
        </w:tc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342.375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.656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.013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.214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.303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.572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.538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.658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.366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.388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.253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.080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E*N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.166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.047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.769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.178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.191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*S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.226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.090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.244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.092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.617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.659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*S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.463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.978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.448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.313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.262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.467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*N*S</w:t>
            </w:r>
          </w:p>
        </w:tc>
        <w:tc>
          <w:tcPr>
            <w:tcW w:w="42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.895</w:t>
            </w:r>
          </w:p>
        </w:tc>
        <w:tc>
          <w:tcPr>
            <w:tcW w:w="85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.502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.363</w:t>
            </w:r>
          </w:p>
        </w:tc>
        <w:tc>
          <w:tcPr>
            <w:tcW w:w="85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.900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.952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.084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.901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.095</w:t>
            </w:r>
          </w:p>
        </w:tc>
      </w:tr>
      <w:bookmarkEnd w:id="0"/>
    </w:tbl>
    <w:p>
      <w:pPr>
        <w:jc w:val="center"/>
        <w:rPr>
          <w:rFonts w:hint="eastAsia" w:ascii="Times New Roman" w:hAnsi="Times New Roman" w:cs="Times New Roman"/>
          <w:sz w:val="20"/>
          <w:szCs w:val="20"/>
        </w:rPr>
      </w:pPr>
    </w:p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sz w:val="20"/>
          <w:szCs w:val="20"/>
        </w:rPr>
        <w:t>. Results of Three-way ANOVA for the effects of endophyte (E), nitrogen concentrations (N) and sowing rate (S) on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aboveground biomass and underground biomass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i/>
          <w:sz w:val="20"/>
          <w:szCs w:val="20"/>
        </w:rPr>
        <w:t>Achnatherum inebrians</w:t>
      </w:r>
    </w:p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5"/>
        <w:tblW w:w="71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824"/>
        <w:gridCol w:w="1269"/>
        <w:gridCol w:w="1211"/>
        <w:gridCol w:w="946"/>
        <w:gridCol w:w="1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34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824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4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aboveground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biomass</w:t>
            </w:r>
          </w:p>
        </w:tc>
        <w:tc>
          <w:tcPr>
            <w:tcW w:w="227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Underground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biomass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34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53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2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1137.699</w:t>
            </w:r>
          </w:p>
        </w:tc>
        <w:tc>
          <w:tcPr>
            <w:tcW w:w="1211" w:type="dxa"/>
            <w:tcBorders>
              <w:top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946" w:type="dxa"/>
            <w:tcBorders>
              <w:top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105.753</w:t>
            </w:r>
          </w:p>
        </w:tc>
        <w:tc>
          <w:tcPr>
            <w:tcW w:w="1327" w:type="dxa"/>
            <w:tcBorders>
              <w:top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2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4.159</w:t>
            </w:r>
          </w:p>
        </w:tc>
        <w:tc>
          <w:tcPr>
            <w:tcW w:w="1211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.010</w:t>
            </w:r>
          </w:p>
        </w:tc>
        <w:tc>
          <w:tcPr>
            <w:tcW w:w="946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3.840</w:t>
            </w:r>
          </w:p>
        </w:tc>
        <w:tc>
          <w:tcPr>
            <w:tcW w:w="1327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1" w:hRule="atLeast"/>
          <w:jc w:val="center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2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8.967</w:t>
            </w:r>
          </w:p>
        </w:tc>
        <w:tc>
          <w:tcPr>
            <w:tcW w:w="1211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.004</w:t>
            </w:r>
          </w:p>
        </w:tc>
        <w:tc>
          <w:tcPr>
            <w:tcW w:w="946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29.799</w:t>
            </w:r>
          </w:p>
        </w:tc>
        <w:tc>
          <w:tcPr>
            <w:tcW w:w="1327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1" w:hRule="atLeast"/>
          <w:jc w:val="center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E*N</w:t>
            </w:r>
          </w:p>
        </w:tc>
        <w:tc>
          <w:tcPr>
            <w:tcW w:w="82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1.574</w:t>
            </w:r>
          </w:p>
        </w:tc>
        <w:tc>
          <w:tcPr>
            <w:tcW w:w="1211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.207</w:t>
            </w:r>
          </w:p>
        </w:tc>
        <w:tc>
          <w:tcPr>
            <w:tcW w:w="946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1.497</w:t>
            </w:r>
          </w:p>
        </w:tc>
        <w:tc>
          <w:tcPr>
            <w:tcW w:w="1327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*S</w:t>
            </w:r>
          </w:p>
        </w:tc>
        <w:tc>
          <w:tcPr>
            <w:tcW w:w="82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.504</w:t>
            </w:r>
          </w:p>
        </w:tc>
        <w:tc>
          <w:tcPr>
            <w:tcW w:w="1211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.607</w:t>
            </w:r>
          </w:p>
        </w:tc>
        <w:tc>
          <w:tcPr>
            <w:tcW w:w="946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5.551</w:t>
            </w:r>
          </w:p>
        </w:tc>
        <w:tc>
          <w:tcPr>
            <w:tcW w:w="1327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*S</w:t>
            </w:r>
          </w:p>
        </w:tc>
        <w:tc>
          <w:tcPr>
            <w:tcW w:w="82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.626</w:t>
            </w:r>
          </w:p>
        </w:tc>
        <w:tc>
          <w:tcPr>
            <w:tcW w:w="1211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.602</w:t>
            </w:r>
          </w:p>
        </w:tc>
        <w:tc>
          <w:tcPr>
            <w:tcW w:w="946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.160</w:t>
            </w:r>
          </w:p>
        </w:tc>
        <w:tc>
          <w:tcPr>
            <w:tcW w:w="1327" w:type="dxa"/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5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*N*S</w:t>
            </w:r>
          </w:p>
        </w:tc>
        <w:tc>
          <w:tcPr>
            <w:tcW w:w="82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.551</w:t>
            </w:r>
          </w:p>
        </w:tc>
        <w:tc>
          <w:tcPr>
            <w:tcW w:w="1211" w:type="dxa"/>
            <w:tcBorders>
              <w:bottom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.650</w:t>
            </w:r>
          </w:p>
        </w:tc>
        <w:tc>
          <w:tcPr>
            <w:tcW w:w="946" w:type="dxa"/>
            <w:tcBorders>
              <w:bottom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1.041</w:t>
            </w:r>
          </w:p>
        </w:tc>
        <w:tc>
          <w:tcPr>
            <w:tcW w:w="1327" w:type="dxa"/>
            <w:tcBorders>
              <w:bottom w:val="single" w:color="auto" w:sz="4" w:space="0"/>
            </w:tcBorders>
            <w:vAlign w:val="top"/>
          </w:tcPr>
          <w:p>
            <w:pPr>
              <w:spacing w:beforeLines="-2147483648" w:afterLines="-2147483648" w:line="240" w:lineRule="auto"/>
              <w:ind w:left="0" w:leftChars="0" w:right="0" w:right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.382</w:t>
            </w:r>
          </w:p>
        </w:tc>
      </w:tr>
    </w:tbl>
    <w:p>
      <w:pPr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jc w:val="center"/>
        <w:rPr>
          <w:rFonts w:hint="eastAsia" w:ascii="Times New Roman" w:hAnsi="Times New Roman" w:cs="Times New Roman"/>
          <w:sz w:val="20"/>
          <w:szCs w:val="20"/>
        </w:rPr>
      </w:pPr>
    </w:p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Results of Three-way ANOVA for the effects of endophyte (E), nitrogen concentrations (N) and sowing rate (S) on total N accumulation, nitrogen utilization efficiency and nitrogen uptake efficiency of </w:t>
      </w:r>
      <w:r>
        <w:rPr>
          <w:rFonts w:ascii="Times New Roman" w:hAnsi="Times New Roman" w:cs="Times New Roman"/>
          <w:i/>
          <w:sz w:val="20"/>
          <w:szCs w:val="20"/>
        </w:rPr>
        <w:t>Achnatherum inebrians</w:t>
      </w:r>
    </w:p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5"/>
        <w:tblW w:w="83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511"/>
        <w:gridCol w:w="1363"/>
        <w:gridCol w:w="1023"/>
        <w:gridCol w:w="1022"/>
        <w:gridCol w:w="1023"/>
        <w:gridCol w:w="1037"/>
        <w:gridCol w:w="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34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N accumulation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Nitrogen utilization efficiency</w:t>
            </w:r>
          </w:p>
        </w:tc>
        <w:tc>
          <w:tcPr>
            <w:tcW w:w="1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Nitrogen uptake efficiency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4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0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3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.207</w:t>
            </w:r>
          </w:p>
        </w:tc>
        <w:tc>
          <w:tcPr>
            <w:tcW w:w="102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.651</w:t>
            </w:r>
          </w:p>
        </w:tc>
        <w:tc>
          <w:tcPr>
            <w:tcW w:w="102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.517</w:t>
            </w:r>
          </w:p>
        </w:tc>
        <w:tc>
          <w:tcPr>
            <w:tcW w:w="102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.065</w:t>
            </w:r>
          </w:p>
        </w:tc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2.462</w:t>
            </w:r>
          </w:p>
        </w:tc>
        <w:tc>
          <w:tcPr>
            <w:tcW w:w="83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74.833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102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.961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.004</w:t>
            </w:r>
          </w:p>
        </w:tc>
        <w:tc>
          <w:tcPr>
            <w:tcW w:w="10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52.631</w:t>
            </w:r>
          </w:p>
        </w:tc>
        <w:tc>
          <w:tcPr>
            <w:tcW w:w="83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51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.398</w:t>
            </w:r>
          </w:p>
        </w:tc>
        <w:tc>
          <w:tcPr>
            <w:tcW w:w="102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3.607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.329</w:t>
            </w:r>
          </w:p>
        </w:tc>
        <w:tc>
          <w:tcPr>
            <w:tcW w:w="8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E*N</w:t>
            </w:r>
          </w:p>
        </w:tc>
        <w:tc>
          <w:tcPr>
            <w:tcW w:w="51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.503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.607</w:t>
            </w:r>
          </w:p>
        </w:tc>
        <w:tc>
          <w:tcPr>
            <w:tcW w:w="102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.225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.307</w:t>
            </w:r>
          </w:p>
        </w:tc>
        <w:tc>
          <w:tcPr>
            <w:tcW w:w="10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.241</w:t>
            </w:r>
          </w:p>
        </w:tc>
        <w:tc>
          <w:tcPr>
            <w:tcW w:w="8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*S</w:t>
            </w:r>
          </w:p>
        </w:tc>
        <w:tc>
          <w:tcPr>
            <w:tcW w:w="51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.293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.831</w:t>
            </w:r>
          </w:p>
        </w:tc>
        <w:tc>
          <w:tcPr>
            <w:tcW w:w="102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.961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.083</w:t>
            </w:r>
          </w:p>
        </w:tc>
        <w:tc>
          <w:tcPr>
            <w:tcW w:w="10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.289</w:t>
            </w:r>
          </w:p>
        </w:tc>
        <w:tc>
          <w:tcPr>
            <w:tcW w:w="8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*S</w:t>
            </w:r>
          </w:p>
        </w:tc>
        <w:tc>
          <w:tcPr>
            <w:tcW w:w="511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.588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.738</w:t>
            </w:r>
          </w:p>
        </w:tc>
        <w:tc>
          <w:tcPr>
            <w:tcW w:w="102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.932</w:t>
            </w:r>
          </w:p>
        </w:tc>
        <w:tc>
          <w:tcPr>
            <w:tcW w:w="102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37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.751</w:t>
            </w:r>
          </w:p>
        </w:tc>
        <w:tc>
          <w:tcPr>
            <w:tcW w:w="83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*N*S</w:t>
            </w:r>
          </w:p>
        </w:tc>
        <w:tc>
          <w:tcPr>
            <w:tcW w:w="51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.338</w:t>
            </w:r>
          </w:p>
        </w:tc>
        <w:tc>
          <w:tcPr>
            <w:tcW w:w="102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.915</w:t>
            </w:r>
          </w:p>
        </w:tc>
        <w:tc>
          <w:tcPr>
            <w:tcW w:w="102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  <w:tc>
          <w:tcPr>
            <w:tcW w:w="102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.388</w:t>
            </w:r>
          </w:p>
        </w:tc>
        <w:tc>
          <w:tcPr>
            <w:tcW w:w="103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.584</w:t>
            </w:r>
          </w:p>
        </w:tc>
        <w:tc>
          <w:tcPr>
            <w:tcW w:w="83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.025</w:t>
            </w:r>
          </w:p>
        </w:tc>
      </w:tr>
    </w:tbl>
    <w:p>
      <w:pPr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Results of Two-way ANOVA for the effects of nitrogen concentrations (N) and </w:t>
      </w:r>
      <w:r>
        <w:rPr>
          <w:rFonts w:hint="eastAsia"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owing rate (S) on relative yield total and aggressivity of </w:t>
      </w:r>
      <w:r>
        <w:rPr>
          <w:rFonts w:ascii="Times New Roman" w:hAnsi="Times New Roman" w:cs="Times New Roman"/>
          <w:i/>
          <w:sz w:val="20"/>
          <w:szCs w:val="20"/>
        </w:rPr>
        <w:t>Achnatherum inebrians</w:t>
      </w:r>
    </w:p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64712546"/>
            <w:r>
              <w:rPr>
                <w:rFonts w:ascii="Times New Roman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1382" w:type="dxa"/>
            <w:vMerge w:val="restart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Relative yield total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Aggressivity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8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38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8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8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11.164</w:t>
            </w:r>
          </w:p>
        </w:tc>
        <w:tc>
          <w:tcPr>
            <w:tcW w:w="138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38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1.299</w:t>
            </w:r>
          </w:p>
        </w:tc>
        <w:tc>
          <w:tcPr>
            <w:tcW w:w="138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N*S</w:t>
            </w:r>
          </w:p>
        </w:tc>
        <w:tc>
          <w:tcPr>
            <w:tcW w:w="138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4.297</w:t>
            </w:r>
          </w:p>
        </w:tc>
        <w:tc>
          <w:tcPr>
            <w:tcW w:w="138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0.009</w:t>
            </w:r>
          </w:p>
        </w:tc>
        <w:tc>
          <w:tcPr>
            <w:tcW w:w="138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38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0.967</w:t>
            </w:r>
          </w:p>
        </w:tc>
      </w:tr>
      <w:bookmarkEnd w:id="1"/>
    </w:tbl>
    <w:p>
      <w:pPr>
        <w:jc w:val="center"/>
        <w:rPr>
          <w:rFonts w:hint="eastAsia" w:ascii="Times New Roman" w:hAnsi="Times New Roman" w:cs="Times New Roman"/>
          <w:sz w:val="20"/>
          <w:szCs w:val="20"/>
        </w:rPr>
      </w:pPr>
    </w:p>
    <w:p/>
    <w:sectPr>
      <w:footnotePr>
        <w:numFmt w:val="lowerRoman"/>
      </w:footnote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  <mc:AlternateContent>
        <mc:Choice Requires="wpsCustomData">
          <wpsCustomData:blankLineNoLineNum/>
        </mc:Choice>
      </mc:AlternateContent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lowerRoman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D3ADA"/>
    <w:rsid w:val="1BAA4585"/>
    <w:rsid w:val="28CD3ADA"/>
    <w:rsid w:val="70E7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" w:beforeLines="0" w:beforeAutospacing="0" w:after="10" w:afterLines="0" w:afterAutospacing="0" w:line="576" w:lineRule="auto"/>
      <w:jc w:val="center"/>
      <w:outlineLvl w:val="0"/>
    </w:pPr>
    <w:rPr>
      <w:rFonts w:ascii="Times New Roman" w:hAnsi="Times New Roman" w:eastAsia="黑体"/>
      <w:b/>
      <w:kern w:val="44"/>
      <w:sz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50" w:beforeLines="50" w:after="50" w:afterLines="50" w:line="440" w:lineRule="exact"/>
      <w:outlineLvl w:val="1"/>
    </w:pPr>
    <w:rPr>
      <w:rFonts w:ascii="Times New Roman" w:hAnsi="Times New Roman" w:eastAsia="黑体" w:cstheme="majorBidi"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2 Char"/>
    <w:link w:val="3"/>
    <w:qFormat/>
    <w:uiPriority w:val="0"/>
    <w:rPr>
      <w:rFonts w:ascii="Times New Roman" w:hAnsi="Times New Roman" w:eastAsia="黑体"/>
      <w:b/>
      <w:sz w:val="28"/>
    </w:rPr>
  </w:style>
  <w:style w:type="paragraph" w:customStyle="1" w:styleId="8">
    <w:name w:val="EndNote Bibliography"/>
    <w:basedOn w:val="1"/>
    <w:qFormat/>
    <w:uiPriority w:val="0"/>
    <w:rPr>
      <w:rFonts w:hint="eastAsia" w:ascii="等线" w:hAnsi="等线" w:eastAsia="等线" w:cs="等线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2023-12-10T08:52:00Z</dcterms:created>
  <dc:creator>芝笙</dc:creator>
  <cp:lastModifiedBy>芝笙</cp:lastModifiedBy>
  <dcterms:modified xsi:type="dcterms:W3CDTF">2023-12-10T10:25:00Z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