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4B0E84" w14:textId="18E7748B" w:rsidR="00DA0F3E" w:rsidRDefault="00183397" w:rsidP="00DA0F3E">
      <w:pPr>
        <w:spacing w:after="0" w:afterAutospacing="0"/>
        <w:rPr>
          <w:bCs/>
        </w:rPr>
      </w:pPr>
      <w:r>
        <w:rPr>
          <w:b/>
        </w:rPr>
        <w:t xml:space="preserve">Additional file 2. </w:t>
      </w:r>
      <w:r w:rsidR="00DA0F3E" w:rsidRPr="008D43DC">
        <w:rPr>
          <w:b/>
        </w:rPr>
        <w:t xml:space="preserve">Table </w:t>
      </w:r>
      <w:r w:rsidR="00DA0F3E">
        <w:rPr>
          <w:b/>
        </w:rPr>
        <w:t>S2</w:t>
      </w:r>
      <w:r w:rsidR="00DA0F3E" w:rsidRPr="008D43DC">
        <w:rPr>
          <w:b/>
        </w:rPr>
        <w:t xml:space="preserve">. PCR screening of </w:t>
      </w:r>
      <w:proofErr w:type="spellStart"/>
      <w:r w:rsidR="00DA0F3E" w:rsidRPr="00F05A43">
        <w:rPr>
          <w:b/>
          <w:i/>
          <w:iCs/>
        </w:rPr>
        <w:t>Cardinium</w:t>
      </w:r>
      <w:proofErr w:type="spellEnd"/>
      <w:r w:rsidR="00DA0F3E">
        <w:rPr>
          <w:b/>
        </w:rPr>
        <w:t xml:space="preserve">, </w:t>
      </w:r>
      <w:r w:rsidR="00DA0F3E" w:rsidRPr="00F05A43">
        <w:rPr>
          <w:b/>
          <w:i/>
          <w:iCs/>
        </w:rPr>
        <w:t>Rickettsia</w:t>
      </w:r>
      <w:r w:rsidR="00DA0F3E">
        <w:rPr>
          <w:b/>
        </w:rPr>
        <w:t xml:space="preserve">, and </w:t>
      </w:r>
      <w:proofErr w:type="spellStart"/>
      <w:r w:rsidR="00DA0F3E" w:rsidRPr="00F05A43">
        <w:rPr>
          <w:b/>
          <w:i/>
          <w:iCs/>
        </w:rPr>
        <w:t>Spiroplasma</w:t>
      </w:r>
      <w:proofErr w:type="spellEnd"/>
      <w:r w:rsidR="00DA0F3E" w:rsidRPr="008D43DC">
        <w:rPr>
          <w:b/>
        </w:rPr>
        <w:t xml:space="preserve"> in wild mosquitoes from Singapore. </w:t>
      </w:r>
    </w:p>
    <w:tbl>
      <w:tblPr>
        <w:tblStyle w:val="TableGrid"/>
        <w:tblW w:w="414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3"/>
        <w:gridCol w:w="1763"/>
        <w:gridCol w:w="1295"/>
        <w:gridCol w:w="1396"/>
        <w:gridCol w:w="1583"/>
      </w:tblGrid>
      <w:tr w:rsidR="00DA0F3E" w14:paraId="7F899AF3" w14:textId="77777777" w:rsidTr="00535765">
        <w:trPr>
          <w:jc w:val="center"/>
        </w:trPr>
        <w:tc>
          <w:tcPr>
            <w:tcW w:w="1059" w:type="pct"/>
            <w:tcBorders>
              <w:top w:val="single" w:sz="8" w:space="0" w:color="auto"/>
              <w:bottom w:val="single" w:sz="4" w:space="0" w:color="auto"/>
            </w:tcBorders>
          </w:tcPr>
          <w:p w14:paraId="7F78CF04" w14:textId="77777777" w:rsidR="00DA0F3E" w:rsidRDefault="00DA0F3E" w:rsidP="00535765">
            <w:pPr>
              <w:spacing w:after="0" w:afterAutospacing="0" w:line="240" w:lineRule="auto"/>
              <w:jc w:val="center"/>
              <w:rPr>
                <w:bCs/>
              </w:rPr>
            </w:pPr>
            <w:r w:rsidRPr="003F0708">
              <w:rPr>
                <w:b/>
              </w:rPr>
              <w:t>Reproductive endosymbionts</w:t>
            </w:r>
          </w:p>
        </w:tc>
        <w:tc>
          <w:tcPr>
            <w:tcW w:w="1151" w:type="pct"/>
            <w:tcBorders>
              <w:top w:val="single" w:sz="8" w:space="0" w:color="auto"/>
              <w:bottom w:val="single" w:sz="4" w:space="0" w:color="auto"/>
            </w:tcBorders>
          </w:tcPr>
          <w:p w14:paraId="58AAD053" w14:textId="77777777" w:rsidR="00DA0F3E" w:rsidRPr="003F0708" w:rsidRDefault="00DA0F3E" w:rsidP="00535765">
            <w:pPr>
              <w:spacing w:after="0" w:afterAutospacing="0" w:line="240" w:lineRule="auto"/>
              <w:jc w:val="center"/>
              <w:rPr>
                <w:b/>
              </w:rPr>
            </w:pPr>
            <w:r w:rsidRPr="003F0708">
              <w:rPr>
                <w:b/>
              </w:rPr>
              <w:t>Individuals screened</w:t>
            </w:r>
          </w:p>
          <w:p w14:paraId="2C06F45E" w14:textId="77777777" w:rsidR="00DA0F3E" w:rsidRDefault="00DA0F3E" w:rsidP="00535765">
            <w:pPr>
              <w:spacing w:after="0" w:afterAutospacing="0" w:line="240" w:lineRule="auto"/>
              <w:jc w:val="center"/>
              <w:rPr>
                <w:bCs/>
              </w:rPr>
            </w:pPr>
            <w:r w:rsidRPr="003F0708">
              <w:rPr>
                <w:b/>
              </w:rPr>
              <w:t>(Tissues screened)</w:t>
            </w:r>
          </w:p>
        </w:tc>
        <w:tc>
          <w:tcPr>
            <w:tcW w:w="845" w:type="pct"/>
            <w:tcBorders>
              <w:top w:val="single" w:sz="8" w:space="0" w:color="auto"/>
              <w:bottom w:val="single" w:sz="4" w:space="0" w:color="auto"/>
            </w:tcBorders>
          </w:tcPr>
          <w:p w14:paraId="21D9896D" w14:textId="77777777" w:rsidR="00DA0F3E" w:rsidRDefault="00DA0F3E" w:rsidP="00535765">
            <w:pPr>
              <w:spacing w:after="0" w:afterAutospacing="0" w:line="240" w:lineRule="auto"/>
              <w:jc w:val="center"/>
              <w:rPr>
                <w:bCs/>
              </w:rPr>
            </w:pPr>
            <w:r w:rsidRPr="003F0708">
              <w:rPr>
                <w:b/>
              </w:rPr>
              <w:t>Potential infection (%)</w:t>
            </w:r>
          </w:p>
        </w:tc>
        <w:tc>
          <w:tcPr>
            <w:tcW w:w="911" w:type="pct"/>
            <w:tcBorders>
              <w:top w:val="single" w:sz="8" w:space="0" w:color="auto"/>
              <w:bottom w:val="single" w:sz="4" w:space="0" w:color="auto"/>
            </w:tcBorders>
          </w:tcPr>
          <w:p w14:paraId="3179D4D1" w14:textId="77777777" w:rsidR="00DA0F3E" w:rsidRDefault="00DA0F3E" w:rsidP="00535765">
            <w:pPr>
              <w:spacing w:after="0" w:afterAutospacing="0" w:line="240" w:lineRule="auto"/>
              <w:jc w:val="center"/>
              <w:rPr>
                <w:bCs/>
              </w:rPr>
            </w:pPr>
            <w:r w:rsidRPr="003F0708">
              <w:rPr>
                <w:b/>
              </w:rPr>
              <w:t>Amplicons sent</w:t>
            </w:r>
            <w:r>
              <w:rPr>
                <w:b/>
              </w:rPr>
              <w:t xml:space="preserve"> </w:t>
            </w:r>
            <w:r w:rsidRPr="003F0708">
              <w:rPr>
                <w:b/>
              </w:rPr>
              <w:t>for sequencing</w:t>
            </w:r>
          </w:p>
        </w:tc>
        <w:tc>
          <w:tcPr>
            <w:tcW w:w="1033" w:type="pct"/>
            <w:tcBorders>
              <w:top w:val="single" w:sz="8" w:space="0" w:color="auto"/>
              <w:bottom w:val="single" w:sz="4" w:space="0" w:color="auto"/>
            </w:tcBorders>
          </w:tcPr>
          <w:p w14:paraId="29E634F0" w14:textId="77777777" w:rsidR="00DA0F3E" w:rsidRDefault="00DA0F3E" w:rsidP="00535765">
            <w:pPr>
              <w:spacing w:after="0" w:afterAutospacing="0" w:line="240" w:lineRule="auto"/>
              <w:jc w:val="center"/>
              <w:rPr>
                <w:bCs/>
              </w:rPr>
            </w:pPr>
            <w:r w:rsidRPr="003F0708">
              <w:rPr>
                <w:b/>
              </w:rPr>
              <w:t>Confirmed infection (%)</w:t>
            </w:r>
          </w:p>
        </w:tc>
      </w:tr>
      <w:tr w:rsidR="00DA0F3E" w14:paraId="0547632D" w14:textId="77777777" w:rsidTr="00535765">
        <w:trPr>
          <w:jc w:val="center"/>
        </w:trPr>
        <w:tc>
          <w:tcPr>
            <w:tcW w:w="1059" w:type="pct"/>
          </w:tcPr>
          <w:p w14:paraId="5D0A4C38" w14:textId="77777777" w:rsidR="00DA0F3E" w:rsidRDefault="00DA0F3E" w:rsidP="00535765">
            <w:pPr>
              <w:spacing w:after="0" w:afterAutospacing="0" w:line="240" w:lineRule="auto"/>
              <w:jc w:val="center"/>
              <w:rPr>
                <w:bCs/>
              </w:rPr>
            </w:pPr>
            <w:proofErr w:type="spellStart"/>
            <w:r w:rsidRPr="003F0708">
              <w:rPr>
                <w:bCs/>
                <w:i/>
              </w:rPr>
              <w:t>Cardinium</w:t>
            </w:r>
            <w:proofErr w:type="spellEnd"/>
          </w:p>
        </w:tc>
        <w:tc>
          <w:tcPr>
            <w:tcW w:w="1151" w:type="pct"/>
          </w:tcPr>
          <w:p w14:paraId="6F1AE891" w14:textId="77777777" w:rsidR="00DA0F3E" w:rsidRDefault="00DA0F3E" w:rsidP="00535765">
            <w:pPr>
              <w:spacing w:after="0" w:afterAutospacing="0" w:line="240" w:lineRule="auto"/>
              <w:jc w:val="center"/>
              <w:rPr>
                <w:bCs/>
              </w:rPr>
            </w:pPr>
            <w:r w:rsidRPr="003F0708">
              <w:rPr>
                <w:rFonts w:eastAsia="Arial"/>
              </w:rPr>
              <w:t>126 (378)</w:t>
            </w:r>
          </w:p>
        </w:tc>
        <w:tc>
          <w:tcPr>
            <w:tcW w:w="845" w:type="pct"/>
          </w:tcPr>
          <w:p w14:paraId="7658F5EA" w14:textId="77777777" w:rsidR="00DA0F3E" w:rsidRPr="003F0708" w:rsidRDefault="00DA0F3E" w:rsidP="00535765">
            <w:pPr>
              <w:spacing w:after="0" w:afterAutospacing="0" w:line="240" w:lineRule="auto"/>
              <w:jc w:val="center"/>
              <w:rPr>
                <w:rFonts w:eastAsia="Arial"/>
              </w:rPr>
            </w:pPr>
            <w:r w:rsidRPr="003F0708">
              <w:rPr>
                <w:rFonts w:eastAsia="Arial"/>
              </w:rPr>
              <w:t>13/126</w:t>
            </w:r>
          </w:p>
          <w:p w14:paraId="4DDEF9EF" w14:textId="77777777" w:rsidR="00DA0F3E" w:rsidRDefault="00DA0F3E" w:rsidP="00535765">
            <w:pPr>
              <w:spacing w:after="0" w:afterAutospacing="0" w:line="240" w:lineRule="auto"/>
              <w:jc w:val="center"/>
              <w:rPr>
                <w:rFonts w:eastAsia="Arial"/>
              </w:rPr>
            </w:pPr>
            <w:r w:rsidRPr="003F0708">
              <w:rPr>
                <w:rFonts w:eastAsia="Arial"/>
              </w:rPr>
              <w:t>(10.3%)</w:t>
            </w:r>
          </w:p>
          <w:p w14:paraId="7E271D43" w14:textId="77777777" w:rsidR="00DA0F3E" w:rsidRDefault="00DA0F3E" w:rsidP="00535765">
            <w:pPr>
              <w:spacing w:after="0" w:afterAutospacing="0" w:line="240" w:lineRule="auto"/>
              <w:jc w:val="center"/>
              <w:rPr>
                <w:bCs/>
              </w:rPr>
            </w:pPr>
          </w:p>
        </w:tc>
        <w:tc>
          <w:tcPr>
            <w:tcW w:w="911" w:type="pct"/>
          </w:tcPr>
          <w:p w14:paraId="3D9A9292" w14:textId="77777777" w:rsidR="00DA0F3E" w:rsidRDefault="00DA0F3E" w:rsidP="00535765">
            <w:pPr>
              <w:spacing w:after="0" w:afterAutospacing="0" w:line="240" w:lineRule="auto"/>
              <w:jc w:val="center"/>
              <w:rPr>
                <w:bCs/>
              </w:rPr>
            </w:pPr>
            <w:r w:rsidRPr="003F0708">
              <w:rPr>
                <w:rFonts w:eastAsia="Arial"/>
              </w:rPr>
              <w:t>12</w:t>
            </w:r>
          </w:p>
        </w:tc>
        <w:tc>
          <w:tcPr>
            <w:tcW w:w="1033" w:type="pct"/>
          </w:tcPr>
          <w:p w14:paraId="6DF5AEFF" w14:textId="77777777" w:rsidR="00DA0F3E" w:rsidRDefault="00DA0F3E" w:rsidP="00535765">
            <w:pPr>
              <w:spacing w:after="0" w:afterAutospacing="0" w:line="240" w:lineRule="auto"/>
              <w:jc w:val="center"/>
              <w:rPr>
                <w:bCs/>
              </w:rPr>
            </w:pPr>
            <w:r w:rsidRPr="003F0708">
              <w:rPr>
                <w:rFonts w:eastAsia="Arial"/>
              </w:rPr>
              <w:t>2/12 (16.7%)</w:t>
            </w:r>
          </w:p>
        </w:tc>
      </w:tr>
      <w:tr w:rsidR="00DA0F3E" w14:paraId="32DA2D91" w14:textId="77777777" w:rsidTr="00535765">
        <w:trPr>
          <w:jc w:val="center"/>
        </w:trPr>
        <w:tc>
          <w:tcPr>
            <w:tcW w:w="1059" w:type="pct"/>
          </w:tcPr>
          <w:p w14:paraId="1EB4769D" w14:textId="77777777" w:rsidR="00DA0F3E" w:rsidRDefault="00DA0F3E" w:rsidP="00535765">
            <w:pPr>
              <w:spacing w:after="0" w:afterAutospacing="0" w:line="240" w:lineRule="auto"/>
              <w:jc w:val="center"/>
              <w:rPr>
                <w:bCs/>
              </w:rPr>
            </w:pPr>
            <w:r w:rsidRPr="003F0708">
              <w:rPr>
                <w:bCs/>
                <w:i/>
              </w:rPr>
              <w:t>Rickettsia</w:t>
            </w:r>
          </w:p>
        </w:tc>
        <w:tc>
          <w:tcPr>
            <w:tcW w:w="1151" w:type="pct"/>
          </w:tcPr>
          <w:p w14:paraId="0C372088" w14:textId="77777777" w:rsidR="00DA0F3E" w:rsidRDefault="00DA0F3E" w:rsidP="00535765">
            <w:pPr>
              <w:spacing w:after="0" w:afterAutospacing="0" w:line="240" w:lineRule="auto"/>
              <w:jc w:val="center"/>
              <w:rPr>
                <w:bCs/>
              </w:rPr>
            </w:pPr>
            <w:r w:rsidRPr="003F0708">
              <w:rPr>
                <w:rFonts w:eastAsia="Arial"/>
              </w:rPr>
              <w:t>126 (378)</w:t>
            </w:r>
          </w:p>
        </w:tc>
        <w:tc>
          <w:tcPr>
            <w:tcW w:w="845" w:type="pct"/>
          </w:tcPr>
          <w:p w14:paraId="39E7BD6D" w14:textId="77777777" w:rsidR="00DA0F3E" w:rsidRPr="003F0708" w:rsidRDefault="00DA0F3E" w:rsidP="00535765">
            <w:pPr>
              <w:spacing w:after="0" w:afterAutospacing="0" w:line="240" w:lineRule="auto"/>
              <w:jc w:val="center"/>
              <w:rPr>
                <w:rFonts w:eastAsia="Arial"/>
              </w:rPr>
            </w:pPr>
            <w:r w:rsidRPr="003F0708">
              <w:rPr>
                <w:rFonts w:eastAsia="Arial"/>
              </w:rPr>
              <w:t>36/126</w:t>
            </w:r>
          </w:p>
          <w:p w14:paraId="0A5AC509" w14:textId="77777777" w:rsidR="00DA0F3E" w:rsidRDefault="00DA0F3E" w:rsidP="00535765">
            <w:pPr>
              <w:spacing w:after="0" w:afterAutospacing="0" w:line="240" w:lineRule="auto"/>
              <w:jc w:val="center"/>
              <w:rPr>
                <w:rFonts w:eastAsia="Arial"/>
              </w:rPr>
            </w:pPr>
            <w:r w:rsidRPr="003F0708">
              <w:rPr>
                <w:rFonts w:eastAsia="Arial"/>
              </w:rPr>
              <w:t>(28.6%)</w:t>
            </w:r>
          </w:p>
          <w:p w14:paraId="574593DB" w14:textId="77777777" w:rsidR="00DA0F3E" w:rsidRDefault="00DA0F3E" w:rsidP="00535765">
            <w:pPr>
              <w:spacing w:after="0" w:afterAutospacing="0" w:line="240" w:lineRule="auto"/>
              <w:jc w:val="center"/>
              <w:rPr>
                <w:bCs/>
              </w:rPr>
            </w:pPr>
          </w:p>
        </w:tc>
        <w:tc>
          <w:tcPr>
            <w:tcW w:w="911" w:type="pct"/>
          </w:tcPr>
          <w:p w14:paraId="23460B22" w14:textId="77777777" w:rsidR="00DA0F3E" w:rsidRDefault="00DA0F3E" w:rsidP="00535765">
            <w:pPr>
              <w:spacing w:after="0" w:afterAutospacing="0" w:line="240" w:lineRule="auto"/>
              <w:jc w:val="center"/>
              <w:rPr>
                <w:bCs/>
              </w:rPr>
            </w:pPr>
            <w:r w:rsidRPr="003F0708">
              <w:rPr>
                <w:rFonts w:eastAsia="Arial"/>
              </w:rPr>
              <w:t>21</w:t>
            </w:r>
          </w:p>
        </w:tc>
        <w:tc>
          <w:tcPr>
            <w:tcW w:w="1033" w:type="pct"/>
          </w:tcPr>
          <w:p w14:paraId="5125D145" w14:textId="77777777" w:rsidR="00DA0F3E" w:rsidRDefault="00DA0F3E" w:rsidP="00535765">
            <w:pPr>
              <w:spacing w:after="0" w:afterAutospacing="0" w:line="240" w:lineRule="auto"/>
              <w:jc w:val="center"/>
              <w:rPr>
                <w:bCs/>
              </w:rPr>
            </w:pPr>
            <w:r w:rsidRPr="003F0708">
              <w:rPr>
                <w:rFonts w:eastAsia="Arial"/>
              </w:rPr>
              <w:t>0/21 (0%)</w:t>
            </w:r>
          </w:p>
        </w:tc>
      </w:tr>
      <w:tr w:rsidR="00DA0F3E" w14:paraId="22A9E8E3" w14:textId="77777777" w:rsidTr="00535765">
        <w:trPr>
          <w:jc w:val="center"/>
        </w:trPr>
        <w:tc>
          <w:tcPr>
            <w:tcW w:w="1059" w:type="pct"/>
            <w:tcBorders>
              <w:bottom w:val="single" w:sz="4" w:space="0" w:color="auto"/>
            </w:tcBorders>
          </w:tcPr>
          <w:p w14:paraId="7712E3EC" w14:textId="77777777" w:rsidR="00DA0F3E" w:rsidRPr="003F0708" w:rsidRDefault="00DA0F3E" w:rsidP="00535765">
            <w:pPr>
              <w:spacing w:after="0" w:afterAutospacing="0" w:line="240" w:lineRule="auto"/>
              <w:jc w:val="center"/>
              <w:rPr>
                <w:bCs/>
                <w:i/>
              </w:rPr>
            </w:pPr>
            <w:proofErr w:type="spellStart"/>
            <w:r w:rsidRPr="003F0708">
              <w:rPr>
                <w:bCs/>
                <w:i/>
              </w:rPr>
              <w:t>Spiroplasma</w:t>
            </w:r>
            <w:proofErr w:type="spellEnd"/>
          </w:p>
        </w:tc>
        <w:tc>
          <w:tcPr>
            <w:tcW w:w="1151" w:type="pct"/>
            <w:tcBorders>
              <w:bottom w:val="single" w:sz="4" w:space="0" w:color="auto"/>
            </w:tcBorders>
          </w:tcPr>
          <w:p w14:paraId="2ABEC32E" w14:textId="77777777" w:rsidR="00DA0F3E" w:rsidRDefault="00DA0F3E" w:rsidP="00535765">
            <w:pPr>
              <w:spacing w:after="0" w:afterAutospacing="0" w:line="240" w:lineRule="auto"/>
              <w:jc w:val="center"/>
              <w:rPr>
                <w:bCs/>
              </w:rPr>
            </w:pPr>
            <w:r w:rsidRPr="003F0708">
              <w:rPr>
                <w:rFonts w:eastAsia="Arial"/>
              </w:rPr>
              <w:t>62 (186)</w:t>
            </w:r>
          </w:p>
        </w:tc>
        <w:tc>
          <w:tcPr>
            <w:tcW w:w="845" w:type="pct"/>
            <w:tcBorders>
              <w:bottom w:val="single" w:sz="4" w:space="0" w:color="auto"/>
            </w:tcBorders>
          </w:tcPr>
          <w:p w14:paraId="73528BA8" w14:textId="77777777" w:rsidR="00DA0F3E" w:rsidRPr="003F0708" w:rsidRDefault="00DA0F3E" w:rsidP="00535765">
            <w:pPr>
              <w:spacing w:after="0" w:afterAutospacing="0" w:line="240" w:lineRule="auto"/>
              <w:jc w:val="center"/>
              <w:rPr>
                <w:rFonts w:eastAsia="Arial"/>
              </w:rPr>
            </w:pPr>
            <w:r w:rsidRPr="003F0708">
              <w:rPr>
                <w:rFonts w:eastAsia="Arial"/>
              </w:rPr>
              <w:t>55/62</w:t>
            </w:r>
          </w:p>
          <w:p w14:paraId="40C4A4F7" w14:textId="77777777" w:rsidR="00DA0F3E" w:rsidRDefault="00DA0F3E" w:rsidP="00535765">
            <w:pPr>
              <w:spacing w:after="0" w:afterAutospacing="0" w:line="240" w:lineRule="auto"/>
              <w:jc w:val="center"/>
              <w:rPr>
                <w:bCs/>
              </w:rPr>
            </w:pPr>
            <w:r w:rsidRPr="003F0708">
              <w:rPr>
                <w:rFonts w:eastAsia="Arial"/>
              </w:rPr>
              <w:t>(88.7%)</w:t>
            </w:r>
          </w:p>
        </w:tc>
        <w:tc>
          <w:tcPr>
            <w:tcW w:w="911" w:type="pct"/>
            <w:tcBorders>
              <w:bottom w:val="single" w:sz="4" w:space="0" w:color="auto"/>
            </w:tcBorders>
          </w:tcPr>
          <w:p w14:paraId="52F9782A" w14:textId="77777777" w:rsidR="00DA0F3E" w:rsidRDefault="00DA0F3E" w:rsidP="00535765">
            <w:pPr>
              <w:spacing w:after="0" w:afterAutospacing="0" w:line="240" w:lineRule="auto"/>
              <w:jc w:val="center"/>
              <w:rPr>
                <w:bCs/>
              </w:rPr>
            </w:pPr>
            <w:r w:rsidRPr="003F0708">
              <w:rPr>
                <w:rFonts w:eastAsia="Arial"/>
              </w:rPr>
              <w:t>16</w:t>
            </w:r>
          </w:p>
        </w:tc>
        <w:tc>
          <w:tcPr>
            <w:tcW w:w="1033" w:type="pct"/>
            <w:tcBorders>
              <w:bottom w:val="single" w:sz="4" w:space="0" w:color="auto"/>
            </w:tcBorders>
          </w:tcPr>
          <w:p w14:paraId="4783B455" w14:textId="77777777" w:rsidR="00DA0F3E" w:rsidRDefault="00DA0F3E" w:rsidP="00535765">
            <w:pPr>
              <w:spacing w:after="0" w:afterAutospacing="0" w:line="240" w:lineRule="auto"/>
              <w:jc w:val="center"/>
              <w:rPr>
                <w:bCs/>
              </w:rPr>
            </w:pPr>
            <w:r w:rsidRPr="003F0708">
              <w:rPr>
                <w:rFonts w:eastAsia="Arial"/>
              </w:rPr>
              <w:t>0/16 (0%)</w:t>
            </w:r>
          </w:p>
        </w:tc>
      </w:tr>
    </w:tbl>
    <w:p w14:paraId="6B58154B" w14:textId="77777777" w:rsidR="00DA0F3E" w:rsidRDefault="00DA0F3E" w:rsidP="00DA0F3E">
      <w:pPr>
        <w:spacing w:after="0" w:afterAutospacing="0" w:line="240" w:lineRule="auto"/>
      </w:pPr>
    </w:p>
    <w:p w14:paraId="2D35CD5E" w14:textId="0D9FF301" w:rsidR="00DA0F3E" w:rsidRDefault="00DA0F3E" w:rsidP="00DA0F3E">
      <w:pPr>
        <w:spacing w:after="0" w:afterAutospacing="0" w:line="240" w:lineRule="auto"/>
        <w:jc w:val="both"/>
      </w:pPr>
      <w:r>
        <w:t>The following primers were used for PCR: (</w:t>
      </w:r>
      <w:proofErr w:type="spellStart"/>
      <w:r>
        <w:t>i</w:t>
      </w:r>
      <w:proofErr w:type="spellEnd"/>
      <w:r>
        <w:t xml:space="preserve">) </w:t>
      </w:r>
      <w:proofErr w:type="spellStart"/>
      <w:r w:rsidRPr="00F05A43">
        <w:rPr>
          <w:i/>
          <w:iCs/>
        </w:rPr>
        <w:t>Cardinium</w:t>
      </w:r>
      <w:proofErr w:type="spellEnd"/>
      <w:r>
        <w:t xml:space="preserve"> (16S rRNA) </w:t>
      </w:r>
      <w:proofErr w:type="spellStart"/>
      <w:r w:rsidRPr="00F05A43">
        <w:t>CarFB</w:t>
      </w:r>
      <w:proofErr w:type="spellEnd"/>
      <w:r w:rsidRPr="00F05A43">
        <w:t>-F</w:t>
      </w:r>
      <w:r>
        <w:t xml:space="preserve">: </w:t>
      </w:r>
      <w:r w:rsidRPr="00F05A43">
        <w:t xml:space="preserve"> GCGGTGTAAAATGAGCGTG</w:t>
      </w:r>
      <w:r>
        <w:t xml:space="preserve"> </w:t>
      </w:r>
      <w:r w:rsidRPr="00F05A43">
        <w:t xml:space="preserve">and </w:t>
      </w:r>
      <w:proofErr w:type="spellStart"/>
      <w:r w:rsidRPr="00F05A43">
        <w:t>CarFB</w:t>
      </w:r>
      <w:proofErr w:type="spellEnd"/>
      <w:r w:rsidRPr="00F05A43">
        <w:t>-R</w:t>
      </w:r>
      <w:r>
        <w:t xml:space="preserve">: </w:t>
      </w:r>
      <w:r w:rsidRPr="00F05A43">
        <w:t>ACCTMTTCTTAACTCAAGCCT</w:t>
      </w:r>
      <w:r>
        <w:t xml:space="preserve"> </w:t>
      </w:r>
      <w:r>
        <w:fldChar w:fldCharType="begin" w:fldLock="1"/>
      </w:r>
      <w:r>
        <w:instrText>ADDIN CSL_CITATION {"citationItems":[{"id":"ITEM-1","itemData":{"author":[{"dropping-particle":"","family":"Weeks","given":"A R","non-dropping-particle":"","parse-names":false,"suffix":""},{"dropping-particle":"","family":"Breeuwer","given":"Johannes A J","non-dropping-particle":"","parse-names":false,"suffix":""}],"container-title":"Insect symbiosis","id":"ITEM-1","issued":{"date-parts":[["2003"]]},"page":"165-176","title":"A new bacterium from the Cytophaga-Flavobacterium-Bacteroides phylum that causes sex ratio distortion","type":"article-journal"},"uris":["http://www.mendeley.com/documents/?uuid=b96e6ee4-1f2b-4145-bc9d-b7d944bdd604"]}],"mendeley":{"formattedCitation":"[1]","plainTextFormattedCitation":"[1]","previouslyFormattedCitation":"[1]"},"properties":{"noteIndex":0},"schema":"https://github.com/citation-style-language/schema/raw/master/csl-citation.json"}</w:instrText>
      </w:r>
      <w:r>
        <w:fldChar w:fldCharType="separate"/>
      </w:r>
      <w:r w:rsidRPr="00F05A43">
        <w:rPr>
          <w:noProof/>
        </w:rPr>
        <w:t>[1]</w:t>
      </w:r>
      <w:r>
        <w:fldChar w:fldCharType="end"/>
      </w:r>
      <w:r>
        <w:t xml:space="preserve">; (ii) </w:t>
      </w:r>
      <w:r w:rsidRPr="00BF73B7">
        <w:rPr>
          <w:i/>
          <w:iCs/>
        </w:rPr>
        <w:t>Rickettsia</w:t>
      </w:r>
      <w:r>
        <w:t xml:space="preserve"> (citrate gene) </w:t>
      </w:r>
      <w:r w:rsidRPr="008D43DC">
        <w:t>Rics741-F</w:t>
      </w:r>
      <w:r>
        <w:t xml:space="preserve">: </w:t>
      </w:r>
      <w:r w:rsidRPr="008D43DC">
        <w:t>CATCCGGAGCTAATGGTTTTGC</w:t>
      </w:r>
      <w:r>
        <w:t xml:space="preserve"> and </w:t>
      </w:r>
      <w:r w:rsidRPr="008D43DC">
        <w:t>Rcit1197-R</w:t>
      </w:r>
      <w:r>
        <w:t xml:space="preserve">: </w:t>
      </w:r>
      <w:r w:rsidRPr="008D43DC">
        <w:t>CATTTCTTTCCATTGTGCCATC</w:t>
      </w:r>
      <w:r>
        <w:t xml:space="preserve"> </w:t>
      </w:r>
      <w:r>
        <w:fldChar w:fldCharType="begin" w:fldLock="1"/>
      </w:r>
      <w:r>
        <w:instrText>ADDIN CSL_CITATION {"citationItems":[{"id":"ITEM-1","itemData":{"DOI":"10.1007/s002849900283","ISSN":"03438651","abstract":"The phylogeny of a previously unidentified, obligate laticifer- inhabiting bacterium associated with the papaya bunchy top disease was investigated. Portions of genes corresponding to those for 16S rRNA, the flavoprotein subunit of succinate dehydrogenase (SdhA), citrate synthase (GltA), and the 17-kDa rickettsial common antigen were isolated and sequenced from the non-cultivable bacterium from diseased plants. Comparative sequence analyses consistently indicated that the bacterium is a member of the α- subdivision of the Proteobacteria and of the genus Rickettsia. The rickettsia was detected by polymerase chain reaction in diseased, but not healthy, papaya tissues and in the leafhopper vector, Empoasca papayae, providing further evidence of the possible etiological role of the bacterium in the disease. Although Rickettsia have been found naturally in arthropods and can be pathogenic to humans and other vertebrates, this is the first evidence of its kind implicating a Rickettsia as a plant pathogen.","author":[{"dropping-particle":"","family":"Davis","given":"Michael J.","non-dropping-particle":"","parse-names":false,"suffix":""},{"dropping-particle":"","family":"Ying","given":"Zhentu","non-dropping-particle":"","parse-names":false,"suffix":""},{"dropping-particle":"","family":"Brunner","given":"Bryan R.","non-dropping-particle":"","parse-names":false,"suffix":""},{"dropping-particle":"","family":"Pantoja","given":"Alberto","non-dropping-particle":"","parse-names":false,"suffix":""},{"dropping-particle":"","family":"Ferwerda","given":"Feiko H.","non-dropping-particle":"","parse-names":false,"suffix":""}],"container-title":"Current Microbiology","id":"ITEM-1","issue":"2","issued":{"date-parts":[["1998"]]},"page":"80-84","title":"Rickettsial relative associated with papaya bunchy top disease","type":"article-journal","volume":"36"},"uris":["http://www.mendeley.com/documents/?uuid=fd7e2ad8-f0f3-4e28-8131-df3b6479e2fe"]}],"mendeley":{"formattedCitation":"[2]","plainTextFormattedCitation":"[2]","previouslyFormattedCitation":"[2]"},"properties":{"noteIndex":0},"schema":"https://github.com/citation-style-language/schema/raw/master/csl-citation.json"}</w:instrText>
      </w:r>
      <w:r>
        <w:fldChar w:fldCharType="separate"/>
      </w:r>
      <w:r w:rsidRPr="00BF73B7">
        <w:rPr>
          <w:noProof/>
        </w:rPr>
        <w:t>[2]</w:t>
      </w:r>
      <w:r>
        <w:fldChar w:fldCharType="end"/>
      </w:r>
      <w:r>
        <w:t xml:space="preserve">; (iii) </w:t>
      </w:r>
      <w:proofErr w:type="spellStart"/>
      <w:r w:rsidRPr="00BF73B7">
        <w:rPr>
          <w:i/>
          <w:iCs/>
        </w:rPr>
        <w:t>Spiroplasma</w:t>
      </w:r>
      <w:proofErr w:type="spellEnd"/>
      <w:r>
        <w:t xml:space="preserve"> (</w:t>
      </w:r>
      <w:r w:rsidRPr="008D43DC">
        <w:t>intergenic ribosomal spacer and adjacent regions between the 3’-end of 16S and 5’-end of the 23S</w:t>
      </w:r>
      <w:r>
        <w:t xml:space="preserve">) </w:t>
      </w:r>
      <w:r w:rsidRPr="008D43DC">
        <w:t>Spits-J04</w:t>
      </w:r>
      <w:r>
        <w:t xml:space="preserve">: </w:t>
      </w:r>
      <w:r w:rsidRPr="008D43DC">
        <w:t>GCCAGAAGTCAGTGTCCTAACCG</w:t>
      </w:r>
      <w:r>
        <w:t xml:space="preserve"> and</w:t>
      </w:r>
      <w:r w:rsidRPr="00BF73B7">
        <w:t xml:space="preserve"> </w:t>
      </w:r>
      <w:r w:rsidRPr="008D43DC">
        <w:t>Spits-N55</w:t>
      </w:r>
      <w:r>
        <w:t xml:space="preserve">: </w:t>
      </w:r>
      <w:r w:rsidRPr="008D43DC">
        <w:t>ATTCCAAGGCATCCACCATACG</w:t>
      </w:r>
      <w:r>
        <w:t xml:space="preserve"> </w:t>
      </w:r>
      <w:r>
        <w:fldChar w:fldCharType="begin" w:fldLock="1"/>
      </w:r>
      <w:r>
        <w:instrText>ADDIN CSL_CITATION {"citationItems":[{"id":"ITEM-1","itemData":{"DOI":"10.1046/j.1365-2583.1999.00151.x","ISSN":"09621075","PMID":"10634973","author":[{"dropping-particle":"","family":"Majerus","given":"Tamsin M.O.","non-dropping-particle":"","parse-names":false,"suffix":""},{"dropping-particle":"","family":"Graf Von Der Schulenburg","given":"J. H.","non-dropping-particle":"","parse-names":false,"suffix":""},{"dropping-particle":"","family":"Majerus","given":"M. E.N.","non-dropping-particle":"","parse-names":false,"suffix":""},{"dropping-particle":"","family":"Hurst","given":"G. D.D.","non-dropping-particle":"","parse-names":false,"suffix":""}],"container-title":"Insect Molecular Biology","id":"ITEM-1","issue":"4","issued":{"date-parts":[["1999"]]},"page":"551-555","title":"Molecular identification of a male-killing agent in the ladybird Harmonia axyridis (Pallas) (Coleoptera: Coccinellidae)","type":"article-journal","volume":"8"},"uris":["http://www.mendeley.com/documents/?uuid=9073d209-1b6c-4cd1-8f02-4b9f876078e7"]}],"mendeley":{"formattedCitation":"[3]","plainTextFormattedCitation":"[3]","previouslyFormattedCitation":"[3]"},"properties":{"noteIndex":0},"schema":"https://github.com/citation-style-language/schema/raw/master/csl-citation.json"}</w:instrText>
      </w:r>
      <w:r>
        <w:fldChar w:fldCharType="separate"/>
      </w:r>
      <w:r w:rsidRPr="00BF73B7">
        <w:rPr>
          <w:noProof/>
        </w:rPr>
        <w:t>[3]</w:t>
      </w:r>
      <w:r>
        <w:fldChar w:fldCharType="end"/>
      </w:r>
      <w:r>
        <w:t xml:space="preserve">. </w:t>
      </w:r>
      <w:r w:rsidRPr="005D10BF">
        <w:t xml:space="preserve">Tissues screened refers to the total number of tissues screened for the endosymbiont. This number includes leg, gut, and reproductive tissues of each screened individual. </w:t>
      </w:r>
      <w:r>
        <w:t>Potential infection is calculated based on amplicon visualisation without additional DNA sequencing. Confirmed infection was determined after sending a subset of amplicons for Sanger sequencing</w:t>
      </w:r>
      <w:r w:rsidR="00EA1D03">
        <w:t xml:space="preserve">. Results </w:t>
      </w:r>
      <w:r>
        <w:t xml:space="preserve">suggest that the </w:t>
      </w:r>
      <w:r w:rsidRPr="005D10BF">
        <w:t>percentage of true positives was very low</w:t>
      </w:r>
      <w:r>
        <w:t xml:space="preserve"> for the screening of these endosymbionts. </w:t>
      </w:r>
      <w:r w:rsidRPr="005E2454">
        <w:t xml:space="preserve">This implies that DNA sequencing as a follow-up procedure is necessary to validate infection especially for the screening of </w:t>
      </w:r>
      <w:proofErr w:type="spellStart"/>
      <w:r w:rsidRPr="005E2454">
        <w:rPr>
          <w:i/>
          <w:iCs/>
        </w:rPr>
        <w:t>Cardinium</w:t>
      </w:r>
      <w:proofErr w:type="spellEnd"/>
      <w:r w:rsidRPr="005E2454">
        <w:t xml:space="preserve">, </w:t>
      </w:r>
      <w:r w:rsidRPr="005E2454">
        <w:rPr>
          <w:i/>
          <w:iCs/>
        </w:rPr>
        <w:t>Rickettsia</w:t>
      </w:r>
      <w:r w:rsidRPr="005E2454">
        <w:t xml:space="preserve">, and </w:t>
      </w:r>
      <w:proofErr w:type="spellStart"/>
      <w:r w:rsidRPr="005E2454">
        <w:rPr>
          <w:i/>
          <w:iCs/>
        </w:rPr>
        <w:t>Spiroplasma</w:t>
      </w:r>
      <w:proofErr w:type="spellEnd"/>
      <w:r w:rsidRPr="005E2454">
        <w:t>.</w:t>
      </w:r>
    </w:p>
    <w:p w14:paraId="4C3A2855" w14:textId="77777777" w:rsidR="00194F9E" w:rsidRDefault="00194F9E" w:rsidP="00DA0F3E">
      <w:pPr>
        <w:spacing w:after="0" w:afterAutospacing="0" w:line="240" w:lineRule="auto"/>
        <w:jc w:val="both"/>
      </w:pPr>
    </w:p>
    <w:p w14:paraId="20EB9602" w14:textId="77777777" w:rsidR="00194F9E" w:rsidRDefault="00194F9E" w:rsidP="00194F9E">
      <w:pPr>
        <w:widowControl w:val="0"/>
        <w:autoSpaceDE w:val="0"/>
        <w:autoSpaceDN w:val="0"/>
        <w:adjustRightInd w:val="0"/>
      </w:pPr>
    </w:p>
    <w:p w14:paraId="60A16DBF" w14:textId="0B06DA26" w:rsidR="00194F9E" w:rsidRPr="00194F9E" w:rsidRDefault="00194F9E" w:rsidP="00194F9E">
      <w:pPr>
        <w:widowControl w:val="0"/>
        <w:autoSpaceDE w:val="0"/>
        <w:autoSpaceDN w:val="0"/>
        <w:adjustRightInd w:val="0"/>
        <w:rPr>
          <w:b/>
          <w:bCs/>
        </w:rPr>
      </w:pPr>
      <w:r w:rsidRPr="00194F9E">
        <w:rPr>
          <w:b/>
          <w:bCs/>
        </w:rPr>
        <w:t>References</w:t>
      </w:r>
    </w:p>
    <w:p w14:paraId="50A5DF1C" w14:textId="6E2A1CD8" w:rsidR="00194F9E" w:rsidRPr="00194F9E" w:rsidRDefault="00DA0F3E" w:rsidP="00194F9E">
      <w:pPr>
        <w:widowControl w:val="0"/>
        <w:autoSpaceDE w:val="0"/>
        <w:autoSpaceDN w:val="0"/>
        <w:adjustRightInd w:val="0"/>
        <w:rPr>
          <w:rFonts w:cs="Times New Roman"/>
          <w:noProof/>
          <w:szCs w:val="24"/>
        </w:rPr>
      </w:pPr>
      <w:r>
        <w:fldChar w:fldCharType="begin" w:fldLock="1"/>
      </w:r>
      <w:r>
        <w:instrText xml:space="preserve">ADDIN Mendeley Bibliography CSL_BIBLIOGRAPHY </w:instrText>
      </w:r>
      <w:r>
        <w:fldChar w:fldCharType="separate"/>
      </w:r>
      <w:r w:rsidR="00194F9E" w:rsidRPr="00194F9E">
        <w:rPr>
          <w:rFonts w:cs="Times New Roman"/>
          <w:noProof/>
          <w:szCs w:val="24"/>
        </w:rPr>
        <w:t xml:space="preserve">1. Weeks AR, Breeuwer JAJ. A new bacterium from the Cytophaga-Flavobacterium-Bacteroides phylum that causes sex ratio distortion. Insect symbiosis. 2003;165–76. </w:t>
      </w:r>
    </w:p>
    <w:p w14:paraId="066D251E" w14:textId="77777777" w:rsidR="00194F9E" w:rsidRPr="00194F9E" w:rsidRDefault="00194F9E" w:rsidP="00194F9E">
      <w:pPr>
        <w:widowControl w:val="0"/>
        <w:autoSpaceDE w:val="0"/>
        <w:autoSpaceDN w:val="0"/>
        <w:adjustRightInd w:val="0"/>
        <w:rPr>
          <w:rFonts w:cs="Times New Roman"/>
          <w:noProof/>
          <w:szCs w:val="24"/>
        </w:rPr>
      </w:pPr>
      <w:r w:rsidRPr="00194F9E">
        <w:rPr>
          <w:rFonts w:cs="Times New Roman"/>
          <w:noProof/>
          <w:szCs w:val="24"/>
        </w:rPr>
        <w:t xml:space="preserve">2. Davis MJ, Ying Z, Brunner BR, Pantoja A, Ferwerda FH. Rickettsial relative associated with papaya bunchy top disease. Curr Microbiol. 1998;36:80–4. </w:t>
      </w:r>
    </w:p>
    <w:p w14:paraId="1A186CCB" w14:textId="26B57141" w:rsidR="00594603" w:rsidRDefault="00194F9E" w:rsidP="00194F9E">
      <w:pPr>
        <w:widowControl w:val="0"/>
        <w:autoSpaceDE w:val="0"/>
        <w:autoSpaceDN w:val="0"/>
        <w:adjustRightInd w:val="0"/>
      </w:pPr>
      <w:r w:rsidRPr="00194F9E">
        <w:rPr>
          <w:rFonts w:cs="Times New Roman"/>
          <w:noProof/>
          <w:szCs w:val="24"/>
        </w:rPr>
        <w:t xml:space="preserve">3. Majerus TMO, Graf Von Der Schulenburg JH, Majerus MEN, Hurst GDD. Molecular identification of a male-killing agent in the ladybird Harmonia axyridis (Pallas) (Coleoptera: Coccinellidae). Insect Mol Biol. 1999;8:551–5. </w:t>
      </w:r>
      <w:r w:rsidR="00DA0F3E">
        <w:fldChar w:fldCharType="end"/>
      </w:r>
    </w:p>
    <w:sectPr w:rsidR="00594603" w:rsidSect="003E7F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F3E"/>
    <w:rsid w:val="00025697"/>
    <w:rsid w:val="00183397"/>
    <w:rsid w:val="00194F9E"/>
    <w:rsid w:val="003E7F40"/>
    <w:rsid w:val="00462EE0"/>
    <w:rsid w:val="00512105"/>
    <w:rsid w:val="006F128D"/>
    <w:rsid w:val="00726372"/>
    <w:rsid w:val="0093453F"/>
    <w:rsid w:val="00C56826"/>
    <w:rsid w:val="00DA0F3E"/>
    <w:rsid w:val="00EA1D03"/>
    <w:rsid w:val="00F32900"/>
  </w:rsids>
  <m:mathPr>
    <m:mathFont m:val="Cambria Math"/>
    <m:brkBin m:val="before"/>
    <m:brkBinSub m:val="--"/>
    <m:smallFrac m:val="0"/>
    <m:dispDef/>
    <m:lMargin m:val="0"/>
    <m:rMargin m:val="0"/>
    <m:defJc m:val="centerGroup"/>
    <m:wrapIndent m:val="1440"/>
    <m:intLim m:val="subSup"/>
    <m:naryLim m:val="undOvr"/>
  </m:mathPr>
  <w:themeFontLang w:val="en-SG"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F23EE"/>
  <w15:chartTrackingRefBased/>
  <w15:docId w15:val="{1DF2B615-0EB1-4F8E-9C8C-EFFE5A6F7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0F3E"/>
    <w:pPr>
      <w:spacing w:after="100" w:afterAutospacing="1" w:line="480" w:lineRule="auto"/>
    </w:pPr>
    <w:rPr>
      <w:rFonts w:ascii="Times New Roman" w:hAnsi="Times New Roman"/>
      <w:lang w:val="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A0F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A0F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0F3E"/>
    <w:rPr>
      <w:rFonts w:ascii="Segoe UI" w:hAnsi="Segoe UI" w:cs="Segoe UI"/>
      <w:sz w:val="18"/>
      <w:szCs w:val="18"/>
      <w:lang w:val="en-S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7A4714-CF80-4325-BE40-CDA5B708F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978</Words>
  <Characters>5575</Characters>
  <Application>Microsoft Office Word</Application>
  <DocSecurity>0</DocSecurity>
  <Lines>46</Lines>
  <Paragraphs>13</Paragraphs>
  <ScaleCrop>false</ScaleCrop>
  <Company/>
  <LinksUpToDate>false</LinksUpToDate>
  <CharactersWithSpaces>6540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Huicong Ding</dc:creator>
  <cp:keywords/>
  <dc:description/>
  <cp:lastModifiedBy>Huicong Ding</cp:lastModifiedBy>
  <cp:revision>4</cp:revision>
  <dcterms:created xsi:type="dcterms:W3CDTF">2020-05-18T16:59:00Z</dcterms:created>
  <dcterms:modified xsi:type="dcterms:W3CDTF">2020-06-23T14:17:00Z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http://csl.mendeley.com/styles/520515371/apa</vt:lpwstr>
  </property>
  <property fmtid="{D5CDD505-2E9C-101B-9397-08002B2CF9AE}" pid="7" name="Mendeley Recent Style Name 2_1">
    <vt:lpwstr>American Psychological Association 6th edition - Huicong Ding</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http://www.zotero.org/styles/cell</vt:lpwstr>
  </property>
  <property fmtid="{D5CDD505-2E9C-101B-9397-08002B2CF9AE}" pid="11" name="Mendeley Recent Style Name 4_1">
    <vt:lpwstr>Cell</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http://www.zotero.org/styles/parasites-and-vectors</vt:lpwstr>
  </property>
  <property fmtid="{D5CDD505-2E9C-101B-9397-08002B2CF9AE}" pid="19" name="Mendeley Recent Style Name 8_1">
    <vt:lpwstr>Parasites &amp; Vectors</vt:lpwstr>
  </property>
  <property fmtid="{D5CDD505-2E9C-101B-9397-08002B2CF9AE}" pid="20" name="Mendeley Recent Style Id 9_1">
    <vt:lpwstr>http://www.zotero.org/styles/springer-vancouver</vt:lpwstr>
  </property>
  <property fmtid="{D5CDD505-2E9C-101B-9397-08002B2CF9AE}" pid="21" name="Mendeley Recent Style Name 9_1">
    <vt:lpwstr>Springer - Vancouver</vt:lpwstr>
  </property>
  <property fmtid="{D5CDD505-2E9C-101B-9397-08002B2CF9AE}" pid="22" name="Mendeley Document_1">
    <vt:lpwstr>True</vt:lpwstr>
  </property>
  <property fmtid="{D5CDD505-2E9C-101B-9397-08002B2CF9AE}" pid="23" name="Mendeley Unique User Id_1">
    <vt:lpwstr>8862eed8-f021-3ba9-bf46-8d1f690fc507</vt:lpwstr>
  </property>
  <property fmtid="{D5CDD505-2E9C-101B-9397-08002B2CF9AE}" pid="24" name="Mendeley Citation Style_1">
    <vt:lpwstr>http://www.zotero.org/styles/parasites-and-vectors</vt:lpwstr>
  </property>
</Properties>
</file>