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51E1" w14:textId="77777777" w:rsidR="001D2E8E" w:rsidRPr="00CC4719" w:rsidRDefault="001D2E8E" w:rsidP="001D2E8E">
      <w:pPr>
        <w:pStyle w:val="Heading1"/>
        <w:rPr>
          <w:color w:val="000000" w:themeColor="text1"/>
          <w:sz w:val="28"/>
          <w:szCs w:val="28"/>
        </w:rPr>
      </w:pPr>
      <w:bookmarkStart w:id="0" w:name="_Hlk153971794"/>
      <w:r>
        <w:rPr>
          <w:color w:val="000000" w:themeColor="text1"/>
          <w:sz w:val="28"/>
          <w:szCs w:val="28"/>
        </w:rPr>
        <w:t>S</w:t>
      </w:r>
      <w:r w:rsidRPr="00A96BE1">
        <w:rPr>
          <w:color w:val="000000" w:themeColor="text1"/>
          <w:sz w:val="28"/>
          <w:szCs w:val="28"/>
        </w:rPr>
        <w:t>upplementary</w:t>
      </w:r>
      <w:bookmarkEnd w:id="0"/>
      <w:r w:rsidRPr="00CC471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tables</w:t>
      </w:r>
    </w:p>
    <w:p w14:paraId="0944DB24" w14:textId="77777777" w:rsidR="001D2E8E" w:rsidRPr="00322CFA" w:rsidRDefault="001D2E8E" w:rsidP="001D2E8E">
      <w:pPr>
        <w:widowControl w:val="0"/>
        <w:spacing w:line="240" w:lineRule="auto"/>
        <w:jc w:val="both"/>
        <w:rPr>
          <w:rFonts w:eastAsia="SimSun"/>
          <w:b/>
          <w:bCs/>
          <w:kern w:val="2"/>
          <w:lang w:eastAsia="zh-CN"/>
        </w:rPr>
      </w:pPr>
      <w:r w:rsidRPr="00322CFA">
        <w:rPr>
          <w:rFonts w:eastAsia="SimSun"/>
          <w:b/>
          <w:bCs/>
          <w:kern w:val="2"/>
          <w:lang w:eastAsia="zh-CN"/>
        </w:rPr>
        <w:t xml:space="preserve">Table S1 </w:t>
      </w:r>
      <w:r w:rsidRPr="00322CFA">
        <w:rPr>
          <w:rFonts w:eastAsia="SimSun" w:hint="eastAsia"/>
          <w:b/>
          <w:bCs/>
          <w:kern w:val="2"/>
          <w:lang w:eastAsia="zh-CN"/>
        </w:rPr>
        <w:t>KEGG</w:t>
      </w:r>
      <w:r w:rsidRPr="00322CFA">
        <w:rPr>
          <w:rFonts w:eastAsia="SimSun"/>
          <w:b/>
          <w:bCs/>
          <w:kern w:val="2"/>
          <w:lang w:eastAsia="zh-CN"/>
        </w:rPr>
        <w:t xml:space="preserve"> </w:t>
      </w:r>
      <w:r w:rsidRPr="00322CFA">
        <w:rPr>
          <w:rFonts w:eastAsia="SimSun" w:hint="eastAsia"/>
          <w:b/>
          <w:bCs/>
          <w:kern w:val="2"/>
          <w:lang w:eastAsia="zh-CN"/>
        </w:rPr>
        <w:t>En</w:t>
      </w:r>
      <w:r w:rsidRPr="00322CFA">
        <w:rPr>
          <w:rFonts w:eastAsia="SimSun"/>
          <w:b/>
          <w:bCs/>
          <w:kern w:val="2"/>
          <w:lang w:eastAsia="zh-CN"/>
        </w:rPr>
        <w:t xml:space="preserve">richment of characteristic metabolites </w:t>
      </w:r>
      <w:r w:rsidRPr="00322CFA">
        <w:rPr>
          <w:rFonts w:eastAsia="SimSun" w:hint="eastAsia"/>
          <w:b/>
          <w:bCs/>
          <w:kern w:val="2"/>
          <w:lang w:eastAsia="zh-CN"/>
        </w:rPr>
        <w:t>from</w:t>
      </w:r>
      <w:r w:rsidRPr="00322CFA">
        <w:rPr>
          <w:rFonts w:eastAsia="SimSun"/>
          <w:b/>
          <w:bCs/>
          <w:kern w:val="2"/>
          <w:lang w:eastAsia="zh-CN"/>
        </w:rPr>
        <w:t xml:space="preserve"> comparing group </w:t>
      </w:r>
      <w:r w:rsidRPr="00322CFA">
        <w:rPr>
          <w:rFonts w:eastAsia="SimSun" w:hint="eastAsia"/>
          <w:b/>
          <w:bCs/>
          <w:kern w:val="2"/>
          <w:lang w:eastAsia="zh-CN"/>
        </w:rPr>
        <w:t>Van</w:t>
      </w:r>
      <w:r w:rsidRPr="00322CFA">
        <w:rPr>
          <w:rFonts w:eastAsia="SimSun"/>
          <w:b/>
          <w:bCs/>
          <w:kern w:val="2"/>
          <w:lang w:eastAsia="zh-CN"/>
        </w:rPr>
        <w:t>+</w:t>
      </w:r>
      <w:r w:rsidRPr="00322CFA">
        <w:rPr>
          <w:rFonts w:eastAsia="SimSun" w:hint="eastAsia"/>
          <w:b/>
          <w:bCs/>
          <w:kern w:val="2"/>
          <w:lang w:eastAsia="zh-CN"/>
        </w:rPr>
        <w:t>TSS</w:t>
      </w:r>
      <w:r w:rsidRPr="00322CFA">
        <w:rPr>
          <w:rFonts w:eastAsia="SimSun"/>
          <w:b/>
          <w:bCs/>
          <w:kern w:val="2"/>
          <w:lang w:eastAsia="zh-CN"/>
        </w:rPr>
        <w:t xml:space="preserve"> with </w:t>
      </w:r>
      <w:r w:rsidRPr="00322CFA">
        <w:rPr>
          <w:rFonts w:eastAsia="SimSun" w:hint="eastAsia"/>
          <w:b/>
          <w:bCs/>
          <w:kern w:val="2"/>
          <w:lang w:eastAsia="zh-CN"/>
        </w:rPr>
        <w:t>Van</w:t>
      </w:r>
      <w:r>
        <w:rPr>
          <w:rFonts w:eastAsia="SimSun"/>
          <w:b/>
          <w:bCs/>
          <w:kern w:val="2"/>
          <w:lang w:eastAsia="zh-CN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53"/>
        <w:gridCol w:w="1394"/>
        <w:gridCol w:w="1905"/>
        <w:gridCol w:w="794"/>
        <w:gridCol w:w="3453"/>
      </w:tblGrid>
      <w:tr w:rsidR="001D2E8E" w:rsidRPr="00322CFA" w14:paraId="6BF51BA3" w14:textId="77777777" w:rsidTr="00ED34AE">
        <w:trPr>
          <w:trHeight w:val="288"/>
        </w:trPr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97A29C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  <w:t>Tissue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60CCC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  <w:t>MapID</w:t>
            </w:r>
          </w:p>
        </w:tc>
        <w:tc>
          <w:tcPr>
            <w:tcW w:w="186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5A496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  <w:t>MapTitle</w:t>
            </w:r>
          </w:p>
        </w:tc>
        <w:tc>
          <w:tcPr>
            <w:tcW w:w="79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7C3FE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  <w:t>Pvalue</w:t>
            </w:r>
          </w:p>
        </w:tc>
        <w:tc>
          <w:tcPr>
            <w:tcW w:w="345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6B545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SimSun"/>
                <w:b/>
                <w:bCs/>
                <w:color w:val="000000"/>
                <w:sz w:val="20"/>
                <w:szCs w:val="20"/>
                <w:lang w:eastAsia="zh-CN"/>
              </w:rPr>
              <w:t>MetaIDs</w:t>
            </w:r>
          </w:p>
        </w:tc>
      </w:tr>
      <w:tr w:rsidR="001D2E8E" w:rsidRPr="00322CFA" w14:paraId="1B9A154E" w14:textId="77777777" w:rsidTr="00ED34AE">
        <w:trPr>
          <w:trHeight w:val="288"/>
        </w:trPr>
        <w:tc>
          <w:tcPr>
            <w:tcW w:w="993" w:type="dxa"/>
            <w:vMerge w:val="restart"/>
            <w:tcBorders>
              <w:top w:val="single" w:sz="8" w:space="0" w:color="auto"/>
            </w:tcBorders>
            <w:vAlign w:val="center"/>
          </w:tcPr>
          <w:p w14:paraId="35323AEB" w14:textId="77777777" w:rsidR="001D2E8E" w:rsidRPr="00322CFA" w:rsidRDefault="001D2E8E" w:rsidP="00ED34A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SimSun"/>
                <w:color w:val="000000"/>
                <w:sz w:val="20"/>
                <w:szCs w:val="20"/>
                <w:lang w:eastAsia="zh-CN"/>
              </w:rPr>
              <w:t>Liver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2934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>map00590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895F2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>Arachidonic acid metabolism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D2787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 xml:space="preserve">0.015 </w:t>
            </w:r>
          </w:p>
        </w:tc>
        <w:tc>
          <w:tcPr>
            <w:tcW w:w="3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22BE1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>Prostaglandin E2; Prostaglandin H2; Lipoxin B4; Thromboxane B2; Prostaglandin D2; 16(R)-HETE; Arachidonic acid; Prostaglandin J2; 5-OxoETE</w:t>
            </w:r>
          </w:p>
        </w:tc>
      </w:tr>
      <w:tr w:rsidR="001D2E8E" w:rsidRPr="00322CFA" w14:paraId="6FF54CB1" w14:textId="77777777" w:rsidTr="00ED34AE">
        <w:trPr>
          <w:trHeight w:val="288"/>
        </w:trPr>
        <w:tc>
          <w:tcPr>
            <w:tcW w:w="993" w:type="dxa"/>
            <w:vMerge/>
            <w:tcBorders>
              <w:bottom w:val="single" w:sz="8" w:space="0" w:color="auto"/>
            </w:tcBorders>
            <w:vAlign w:val="center"/>
          </w:tcPr>
          <w:p w14:paraId="01301E84" w14:textId="77777777" w:rsidR="001D2E8E" w:rsidRPr="00322CFA" w:rsidRDefault="001D2E8E" w:rsidP="00ED34AE">
            <w:pPr>
              <w:widowControl w:val="0"/>
              <w:adjustRightInd w:val="0"/>
              <w:snapToGrid w:val="0"/>
              <w:spacing w:line="240" w:lineRule="auto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0F64E1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>map04924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9DC4B0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>Renin secretion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8F54B8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 xml:space="preserve">0.044 </w:t>
            </w:r>
          </w:p>
        </w:tc>
        <w:tc>
          <w:tcPr>
            <w:tcW w:w="34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B1B839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>Prostaglandin E2; Adenosine; Adenosine 5'-monophosphate</w:t>
            </w:r>
          </w:p>
        </w:tc>
      </w:tr>
      <w:tr w:rsidR="001D2E8E" w:rsidRPr="00322CFA" w14:paraId="385C3CC4" w14:textId="77777777" w:rsidTr="00ED34AE">
        <w:trPr>
          <w:trHeight w:val="288"/>
        </w:trPr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08C23A1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SimSun"/>
                <w:color w:val="000000"/>
                <w:sz w:val="20"/>
                <w:szCs w:val="20"/>
                <w:lang w:eastAsia="zh-CN"/>
              </w:rPr>
              <w:t>Colon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B3F9EC0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>map00564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B9D543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>Glycerophospholipid metabolism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E3736F1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DengXian"/>
                <w:color w:val="000000"/>
                <w:kern w:val="2"/>
                <w:sz w:val="20"/>
                <w:szCs w:val="20"/>
                <w:lang w:eastAsia="zh-CN"/>
              </w:rPr>
              <w:t xml:space="preserve">0.009 </w:t>
            </w:r>
          </w:p>
        </w:tc>
        <w:tc>
          <w:tcPr>
            <w:tcW w:w="345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7439FF5" w14:textId="77777777" w:rsidR="001D2E8E" w:rsidRPr="00322CFA" w:rsidRDefault="001D2E8E" w:rsidP="00ED34AE">
            <w:pPr>
              <w:adjustRightInd w:val="0"/>
              <w:snapToGrid w:val="0"/>
              <w:spacing w:line="240" w:lineRule="auto"/>
              <w:jc w:val="both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322CFA">
              <w:rPr>
                <w:rFonts w:eastAsia="SimSun"/>
                <w:color w:val="000000"/>
                <w:sz w:val="20"/>
                <w:szCs w:val="20"/>
                <w:lang w:eastAsia="zh-CN"/>
              </w:rPr>
              <w:t>O-Phosphorylethanolamine; Phosphoethanolamine; Phosphocholine; Cytidine 5'-diphosphocholine</w:t>
            </w:r>
          </w:p>
        </w:tc>
      </w:tr>
    </w:tbl>
    <w:p w14:paraId="4593FEF9" w14:textId="77777777" w:rsidR="001D2E8E" w:rsidRPr="00322CFA" w:rsidRDefault="001D2E8E" w:rsidP="001D2E8E">
      <w:pPr>
        <w:widowControl w:val="0"/>
        <w:spacing w:line="240" w:lineRule="auto"/>
        <w:jc w:val="both"/>
        <w:rPr>
          <w:rFonts w:eastAsia="DengXian"/>
          <w:kern w:val="2"/>
          <w:sz w:val="21"/>
          <w:szCs w:val="21"/>
          <w:lang w:eastAsia="zh-CN"/>
        </w:rPr>
      </w:pPr>
      <w:r w:rsidRPr="00322CFA">
        <w:rPr>
          <w:rFonts w:eastAsia="DengXian"/>
          <w:b/>
          <w:bCs/>
          <w:kern w:val="2"/>
          <w:sz w:val="21"/>
          <w:szCs w:val="21"/>
          <w:lang w:eastAsia="zh-CN"/>
        </w:rPr>
        <w:t>MapID</w:t>
      </w:r>
      <w:r w:rsidRPr="00322CFA">
        <w:rPr>
          <w:rFonts w:eastAsia="DengXian"/>
          <w:kern w:val="2"/>
          <w:sz w:val="21"/>
          <w:szCs w:val="21"/>
          <w:lang w:eastAsia="zh-CN"/>
        </w:rPr>
        <w:t>：</w:t>
      </w:r>
      <w:r w:rsidRPr="00322CFA">
        <w:rPr>
          <w:rFonts w:eastAsia="DengXian" w:hint="eastAsia"/>
          <w:kern w:val="2"/>
          <w:sz w:val="21"/>
          <w:szCs w:val="21"/>
          <w:lang w:eastAsia="zh-CN"/>
        </w:rPr>
        <w:t>m</w:t>
      </w:r>
      <w:r w:rsidRPr="00322CFA">
        <w:rPr>
          <w:rFonts w:eastAsia="DengXian"/>
          <w:kern w:val="2"/>
          <w:sz w:val="21"/>
          <w:szCs w:val="21"/>
          <w:lang w:eastAsia="zh-CN"/>
        </w:rPr>
        <w:t>ap ID of</w:t>
      </w:r>
      <w:r w:rsidRPr="00322CFA">
        <w:rPr>
          <w:rFonts w:eastAsia="DengXian" w:hint="eastAsia"/>
          <w:kern w:val="2"/>
          <w:sz w:val="21"/>
          <w:szCs w:val="21"/>
          <w:lang w:eastAsia="zh-CN"/>
        </w:rPr>
        <w:t xml:space="preserve"> </w:t>
      </w:r>
      <w:r w:rsidRPr="00322CFA">
        <w:rPr>
          <w:rFonts w:eastAsia="DengXian"/>
          <w:kern w:val="2"/>
          <w:sz w:val="21"/>
          <w:szCs w:val="21"/>
          <w:lang w:eastAsia="zh-CN"/>
        </w:rPr>
        <w:t>e</w:t>
      </w:r>
      <w:r w:rsidRPr="00322CFA">
        <w:rPr>
          <w:rFonts w:eastAsia="DengXian" w:hint="eastAsia"/>
          <w:kern w:val="2"/>
          <w:sz w:val="21"/>
          <w:szCs w:val="21"/>
          <w:lang w:eastAsia="zh-CN"/>
        </w:rPr>
        <w:t>nriched</w:t>
      </w:r>
      <w:r w:rsidRPr="00322CFA">
        <w:rPr>
          <w:rFonts w:eastAsia="DengXian"/>
          <w:kern w:val="2"/>
          <w:sz w:val="21"/>
          <w:szCs w:val="21"/>
          <w:lang w:eastAsia="zh-CN"/>
        </w:rPr>
        <w:t xml:space="preserve"> KEGG Pathway. </w:t>
      </w:r>
      <w:r w:rsidRPr="00322CFA">
        <w:rPr>
          <w:rFonts w:eastAsia="DengXian"/>
          <w:b/>
          <w:bCs/>
          <w:kern w:val="2"/>
          <w:sz w:val="21"/>
          <w:szCs w:val="21"/>
          <w:lang w:eastAsia="zh-CN"/>
        </w:rPr>
        <w:t>MapTitle</w:t>
      </w:r>
      <w:r w:rsidRPr="00322CFA">
        <w:rPr>
          <w:rFonts w:eastAsia="DengXian"/>
          <w:kern w:val="2"/>
          <w:sz w:val="21"/>
          <w:szCs w:val="21"/>
          <w:lang w:eastAsia="zh-CN"/>
        </w:rPr>
        <w:t>：</w:t>
      </w:r>
      <w:r w:rsidRPr="00322CFA">
        <w:rPr>
          <w:rFonts w:eastAsia="DengXian" w:hint="eastAsia"/>
          <w:kern w:val="2"/>
          <w:sz w:val="21"/>
          <w:szCs w:val="21"/>
          <w:lang w:eastAsia="zh-CN"/>
        </w:rPr>
        <w:t>t</w:t>
      </w:r>
      <w:r w:rsidRPr="00322CFA">
        <w:rPr>
          <w:rFonts w:eastAsia="DengXian"/>
          <w:kern w:val="2"/>
          <w:sz w:val="21"/>
          <w:szCs w:val="21"/>
          <w:lang w:eastAsia="zh-CN"/>
        </w:rPr>
        <w:t xml:space="preserve">itle of enriched KEGG Pathway. </w:t>
      </w:r>
      <w:r w:rsidRPr="00322CFA">
        <w:rPr>
          <w:rFonts w:eastAsia="DengXian"/>
          <w:b/>
          <w:bCs/>
          <w:color w:val="000000"/>
          <w:sz w:val="22"/>
          <w:szCs w:val="22"/>
          <w:lang w:eastAsia="zh-CN"/>
        </w:rPr>
        <w:t>P-value:</w:t>
      </w:r>
      <w:r w:rsidRPr="00322CFA">
        <w:rPr>
          <w:rFonts w:eastAsia="DengXian"/>
          <w:kern w:val="2"/>
          <w:sz w:val="21"/>
          <w:szCs w:val="21"/>
          <w:lang w:eastAsia="zh-CN"/>
        </w:rPr>
        <w:t xml:space="preserve"> Over Representation Analysis was implemented using the </w:t>
      </w:r>
      <w:r w:rsidRPr="00322CFA">
        <w:rPr>
          <w:rFonts w:eastAsia="DengXian"/>
          <w:i/>
          <w:iCs/>
          <w:kern w:val="2"/>
          <w:sz w:val="21"/>
          <w:szCs w:val="21"/>
          <w:lang w:eastAsia="zh-CN"/>
        </w:rPr>
        <w:t>hypergeometric test</w:t>
      </w:r>
      <w:r w:rsidRPr="00322CFA">
        <w:rPr>
          <w:rFonts w:eastAsia="DengXian"/>
          <w:kern w:val="2"/>
          <w:sz w:val="21"/>
          <w:szCs w:val="21"/>
          <w:lang w:eastAsia="zh-CN"/>
        </w:rPr>
        <w:t xml:space="preserve"> to evaluate whether a particular metabolite set is represented more than expected by chance within the given compound list. One-tailed </w:t>
      </w:r>
      <w:r w:rsidRPr="00322CFA">
        <w:rPr>
          <w:rFonts w:eastAsia="DengXian"/>
          <w:i/>
          <w:iCs/>
          <w:kern w:val="2"/>
          <w:sz w:val="21"/>
          <w:szCs w:val="21"/>
          <w:lang w:eastAsia="zh-CN"/>
        </w:rPr>
        <w:t>p</w:t>
      </w:r>
      <w:r w:rsidRPr="00322CFA">
        <w:rPr>
          <w:rFonts w:eastAsia="DengXian"/>
          <w:kern w:val="2"/>
          <w:sz w:val="21"/>
          <w:szCs w:val="21"/>
          <w:lang w:eastAsia="zh-CN"/>
        </w:rPr>
        <w:t xml:space="preserve"> values are provided after adjusting for multiple testing. </w:t>
      </w:r>
      <w:r w:rsidRPr="00322CFA">
        <w:rPr>
          <w:rFonts w:eastAsia="DengXian"/>
          <w:b/>
          <w:bCs/>
          <w:kern w:val="2"/>
          <w:sz w:val="21"/>
          <w:szCs w:val="21"/>
          <w:lang w:eastAsia="zh-CN"/>
        </w:rPr>
        <w:t>MetaIDs</w:t>
      </w:r>
      <w:r w:rsidRPr="00322CFA">
        <w:rPr>
          <w:rFonts w:eastAsia="DengXian"/>
          <w:kern w:val="2"/>
          <w:sz w:val="21"/>
          <w:szCs w:val="21"/>
          <w:lang w:eastAsia="zh-CN"/>
        </w:rPr>
        <w:t>：</w:t>
      </w:r>
      <w:r w:rsidRPr="00322CFA">
        <w:rPr>
          <w:rFonts w:eastAsia="DengXian"/>
          <w:kern w:val="2"/>
          <w:sz w:val="21"/>
          <w:szCs w:val="21"/>
          <w:lang w:eastAsia="zh-CN"/>
        </w:rPr>
        <w:t>list of those input metabolites that participated in this KEGG Pathway.</w:t>
      </w:r>
    </w:p>
    <w:p w14:paraId="59A97324" w14:textId="77777777" w:rsidR="001D2E8E" w:rsidRDefault="001D2E8E" w:rsidP="001D2E8E">
      <w:pPr>
        <w:spacing w:before="240" w:line="360" w:lineRule="auto"/>
        <w:rPr>
          <w:color w:val="000000" w:themeColor="text1"/>
        </w:rPr>
      </w:pPr>
      <w:r w:rsidRPr="0009669E">
        <w:rPr>
          <w:b/>
          <w:bCs/>
          <w:color w:val="000000" w:themeColor="text1"/>
        </w:rPr>
        <w:t>Table S2.</w:t>
      </w:r>
      <w:r w:rsidRPr="0009669E">
        <w:rPr>
          <w:color w:val="000000" w:themeColor="text1"/>
        </w:rPr>
        <w:t xml:space="preserve"> Analysis of characteristic metabolites derived from </w:t>
      </w:r>
      <w:r>
        <w:t xml:space="preserve">the </w:t>
      </w:r>
      <w:r w:rsidRPr="0009669E">
        <w:rPr>
          <w:color w:val="000000" w:themeColor="text1"/>
        </w:rPr>
        <w:t xml:space="preserve">liver between </w:t>
      </w:r>
      <w:r>
        <w:t>the</w:t>
      </w:r>
      <w:r w:rsidRPr="0009669E">
        <w:rPr>
          <w:color w:val="000000" w:themeColor="text1"/>
        </w:rPr>
        <w:t xml:space="preserve"> TSS </w:t>
      </w:r>
      <w:r>
        <w:t>and</w:t>
      </w:r>
      <w:r w:rsidRPr="0009669E">
        <w:rPr>
          <w:color w:val="000000" w:themeColor="text1"/>
        </w:rPr>
        <w:t xml:space="preserve"> Con</w:t>
      </w:r>
      <w:r>
        <w:t xml:space="preserve"> treatment groups</w:t>
      </w:r>
      <w:r w:rsidRPr="0009669E">
        <w:rPr>
          <w:color w:val="000000" w:themeColor="text1"/>
        </w:rPr>
        <w:t>.</w:t>
      </w:r>
    </w:p>
    <w:p w14:paraId="54B3205E" w14:textId="77777777" w:rsidR="001D2E8E" w:rsidRPr="00A73FAF" w:rsidRDefault="001D2E8E" w:rsidP="001D2E8E">
      <w:pPr>
        <w:spacing w:before="240"/>
        <w:ind w:firstLineChars="200" w:firstLine="480"/>
        <w:rPr>
          <w:i/>
          <w:iCs/>
          <w:color w:val="000000" w:themeColor="text1"/>
        </w:rPr>
      </w:pPr>
      <w:r w:rsidRPr="00A73FAF">
        <w:rPr>
          <w:i/>
          <w:iCs/>
          <w:color w:val="000000" w:themeColor="text1"/>
        </w:rPr>
        <w:t>Displayed as excel files for appropriate exhibition</w:t>
      </w:r>
    </w:p>
    <w:p w14:paraId="76ED8C63" w14:textId="77777777" w:rsidR="001D2E8E" w:rsidRDefault="001D2E8E" w:rsidP="001D2E8E">
      <w:pPr>
        <w:spacing w:before="240" w:line="360" w:lineRule="auto"/>
        <w:rPr>
          <w:color w:val="000000" w:themeColor="text1"/>
        </w:rPr>
      </w:pPr>
      <w:r w:rsidRPr="0009669E">
        <w:rPr>
          <w:b/>
          <w:bCs/>
          <w:color w:val="000000" w:themeColor="text1"/>
        </w:rPr>
        <w:t>Table S3.</w:t>
      </w:r>
      <w:r w:rsidRPr="0009669E">
        <w:rPr>
          <w:color w:val="000000" w:themeColor="text1"/>
        </w:rPr>
        <w:t xml:space="preserve"> Analysis of characteristic metabolites derived from </w:t>
      </w:r>
      <w:r>
        <w:t xml:space="preserve">the </w:t>
      </w:r>
      <w:r w:rsidRPr="0009669E">
        <w:rPr>
          <w:color w:val="000000" w:themeColor="text1"/>
        </w:rPr>
        <w:t xml:space="preserve">colon between </w:t>
      </w:r>
      <w:r>
        <w:t>the</w:t>
      </w:r>
      <w:r w:rsidRPr="0009669E">
        <w:rPr>
          <w:color w:val="000000" w:themeColor="text1"/>
        </w:rPr>
        <w:t xml:space="preserve"> TSS </w:t>
      </w:r>
      <w:r>
        <w:t>and</w:t>
      </w:r>
      <w:r w:rsidRPr="0009669E">
        <w:rPr>
          <w:color w:val="000000" w:themeColor="text1"/>
        </w:rPr>
        <w:t xml:space="preserve"> Con</w:t>
      </w:r>
      <w:r>
        <w:t xml:space="preserve"> treatment groups</w:t>
      </w:r>
      <w:r w:rsidRPr="0009669E">
        <w:rPr>
          <w:color w:val="000000" w:themeColor="text1"/>
        </w:rPr>
        <w:t>.</w:t>
      </w:r>
    </w:p>
    <w:p w14:paraId="122FB4CB" w14:textId="77777777" w:rsidR="001D2E8E" w:rsidRPr="00A73FAF" w:rsidRDefault="001D2E8E" w:rsidP="001D2E8E">
      <w:pPr>
        <w:spacing w:before="240"/>
        <w:ind w:firstLineChars="200" w:firstLine="480"/>
        <w:rPr>
          <w:i/>
          <w:iCs/>
          <w:color w:val="000000" w:themeColor="text1"/>
        </w:rPr>
      </w:pPr>
      <w:r w:rsidRPr="00A73FAF">
        <w:rPr>
          <w:i/>
          <w:iCs/>
          <w:color w:val="000000" w:themeColor="text1"/>
        </w:rPr>
        <w:t>Displayed as excel files for appropriate exhibition</w:t>
      </w:r>
    </w:p>
    <w:p w14:paraId="4B3788EB" w14:textId="77777777" w:rsidR="001D2E8E" w:rsidRPr="00CC4719" w:rsidRDefault="001D2E8E" w:rsidP="001D2E8E">
      <w:pPr>
        <w:pStyle w:val="Heading1"/>
        <w:rPr>
          <w:color w:val="000000" w:themeColor="text1"/>
          <w:sz w:val="28"/>
          <w:szCs w:val="28"/>
        </w:rPr>
      </w:pPr>
      <w:bookmarkStart w:id="1" w:name="OLE_LINK54"/>
      <w:r w:rsidRPr="00906C80">
        <w:rPr>
          <w:color w:val="000000" w:themeColor="text1"/>
          <w:sz w:val="28"/>
          <w:szCs w:val="28"/>
        </w:rPr>
        <w:lastRenderedPageBreak/>
        <w:t>Supplementary</w:t>
      </w:r>
      <w:r w:rsidRPr="00CC4719">
        <w:rPr>
          <w:color w:val="000000" w:themeColor="text1"/>
          <w:sz w:val="28"/>
          <w:szCs w:val="28"/>
        </w:rPr>
        <w:t xml:space="preserve"> figure</w:t>
      </w:r>
      <w:r>
        <w:rPr>
          <w:color w:val="000000" w:themeColor="text1"/>
          <w:sz w:val="28"/>
          <w:szCs w:val="28"/>
        </w:rPr>
        <w:t>s</w:t>
      </w:r>
    </w:p>
    <w:bookmarkEnd w:id="1"/>
    <w:p w14:paraId="2C8C698D" w14:textId="77777777" w:rsidR="001D2E8E" w:rsidRDefault="001D2E8E" w:rsidP="001D2E8E">
      <w:pPr>
        <w:spacing w:before="240" w:line="360" w:lineRule="auto"/>
        <w:rPr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030C8800" wp14:editId="5871441B">
            <wp:extent cx="5396865" cy="2823845"/>
            <wp:effectExtent l="0" t="0" r="0" b="0"/>
            <wp:docPr id="7602698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A1952" w14:textId="77777777" w:rsidR="001D2E8E" w:rsidRPr="00906C80" w:rsidRDefault="001D2E8E" w:rsidP="001D2E8E">
      <w:pPr>
        <w:spacing w:before="240" w:line="240" w:lineRule="auto"/>
        <w:rPr>
          <w:sz w:val="21"/>
          <w:szCs w:val="21"/>
        </w:rPr>
      </w:pPr>
      <w:r w:rsidRPr="00906C80">
        <w:rPr>
          <w:b/>
          <w:bCs/>
          <w:color w:val="000000" w:themeColor="text1"/>
          <w:sz w:val="21"/>
          <w:szCs w:val="21"/>
        </w:rPr>
        <w:t>Figure S1</w:t>
      </w:r>
      <w:r w:rsidRPr="00906C80">
        <w:rPr>
          <w:color w:val="000000" w:themeColor="text1"/>
          <w:sz w:val="21"/>
          <w:szCs w:val="21"/>
        </w:rPr>
        <w:t xml:space="preserve">. Metabolic profiling of comparable treatments of Van+TSS </w:t>
      </w:r>
      <w:r w:rsidRPr="00906C80">
        <w:rPr>
          <w:i/>
          <w:iCs/>
          <w:color w:val="000000" w:themeColor="text1"/>
          <w:sz w:val="21"/>
          <w:szCs w:val="21"/>
        </w:rPr>
        <w:t>vs</w:t>
      </w:r>
      <w:r w:rsidRPr="00906C80">
        <w:rPr>
          <w:color w:val="000000" w:themeColor="text1"/>
          <w:sz w:val="21"/>
          <w:szCs w:val="21"/>
        </w:rPr>
        <w:t xml:space="preserve"> Van.</w:t>
      </w:r>
      <w:r w:rsidRPr="00906C80">
        <w:rPr>
          <w:b/>
          <w:bCs/>
          <w:color w:val="000000" w:themeColor="text1"/>
          <w:sz w:val="21"/>
          <w:szCs w:val="21"/>
        </w:rPr>
        <w:t xml:space="preserve"> a)</w:t>
      </w:r>
      <w:r w:rsidRPr="00906C80">
        <w:rPr>
          <w:color w:val="000000" w:themeColor="text1"/>
          <w:sz w:val="21"/>
          <w:szCs w:val="21"/>
        </w:rPr>
        <w:t xml:space="preserve"> and </w:t>
      </w:r>
      <w:r w:rsidRPr="00906C80">
        <w:rPr>
          <w:b/>
          <w:bCs/>
          <w:color w:val="000000" w:themeColor="text1"/>
          <w:sz w:val="21"/>
          <w:szCs w:val="21"/>
        </w:rPr>
        <w:t>b)</w:t>
      </w:r>
      <w:r w:rsidRPr="00906C80">
        <w:rPr>
          <w:color w:val="000000" w:themeColor="text1"/>
          <w:sz w:val="21"/>
          <w:szCs w:val="21"/>
        </w:rPr>
        <w:t xml:space="preserve"> The top 20 up</w:t>
      </w:r>
      <w:r w:rsidRPr="00906C80">
        <w:rPr>
          <w:sz w:val="21"/>
          <w:szCs w:val="21"/>
        </w:rPr>
        <w:t>-</w:t>
      </w:r>
      <w:r w:rsidRPr="00906C80">
        <w:rPr>
          <w:color w:val="000000" w:themeColor="text1"/>
          <w:sz w:val="21"/>
          <w:szCs w:val="21"/>
        </w:rPr>
        <w:t xml:space="preserve"> and </w:t>
      </w:r>
      <w:r w:rsidRPr="00906C80">
        <w:rPr>
          <w:sz w:val="21"/>
          <w:szCs w:val="21"/>
        </w:rPr>
        <w:t>downregulated</w:t>
      </w:r>
      <w:r w:rsidRPr="00906C80">
        <w:rPr>
          <w:color w:val="000000" w:themeColor="text1"/>
          <w:sz w:val="21"/>
          <w:szCs w:val="21"/>
        </w:rPr>
        <w:t xml:space="preserve"> liver and colon metabolites for each change from </w:t>
      </w:r>
      <w:r w:rsidRPr="00906C80">
        <w:rPr>
          <w:sz w:val="21"/>
          <w:szCs w:val="21"/>
        </w:rPr>
        <w:t xml:space="preserve">the </w:t>
      </w:r>
      <w:r w:rsidRPr="00906C80">
        <w:rPr>
          <w:color w:val="000000" w:themeColor="text1"/>
          <w:sz w:val="21"/>
          <w:szCs w:val="21"/>
        </w:rPr>
        <w:t xml:space="preserve">compared treatments of </w:t>
      </w:r>
      <w:r w:rsidRPr="00906C80">
        <w:rPr>
          <w:sz w:val="21"/>
          <w:szCs w:val="21"/>
        </w:rPr>
        <w:t>the</w:t>
      </w:r>
      <w:r w:rsidRPr="00906C80">
        <w:rPr>
          <w:color w:val="000000" w:themeColor="text1"/>
          <w:sz w:val="21"/>
          <w:szCs w:val="21"/>
        </w:rPr>
        <w:t xml:space="preserve"> Van+TSS </w:t>
      </w:r>
      <w:r w:rsidRPr="00906C80">
        <w:rPr>
          <w:sz w:val="21"/>
          <w:szCs w:val="21"/>
        </w:rPr>
        <w:t xml:space="preserve">group </w:t>
      </w:r>
      <w:r w:rsidRPr="00906C80">
        <w:rPr>
          <w:color w:val="000000" w:themeColor="text1"/>
          <w:sz w:val="21"/>
          <w:szCs w:val="21"/>
        </w:rPr>
        <w:t xml:space="preserve">versus </w:t>
      </w:r>
      <w:r w:rsidRPr="00906C80">
        <w:rPr>
          <w:sz w:val="21"/>
          <w:szCs w:val="21"/>
        </w:rPr>
        <w:t xml:space="preserve">the </w:t>
      </w:r>
      <w:r w:rsidRPr="00906C80">
        <w:rPr>
          <w:color w:val="000000" w:themeColor="text1"/>
          <w:sz w:val="21"/>
          <w:szCs w:val="21"/>
        </w:rPr>
        <w:t>Van</w:t>
      </w:r>
      <w:r w:rsidRPr="00906C80">
        <w:rPr>
          <w:sz w:val="21"/>
          <w:szCs w:val="21"/>
        </w:rPr>
        <w:t xml:space="preserve"> group. Abbreviations</w:t>
      </w:r>
      <w:r w:rsidRPr="00906C80">
        <w:rPr>
          <w:color w:val="000000" w:themeColor="text1"/>
          <w:sz w:val="21"/>
          <w:szCs w:val="21"/>
        </w:rPr>
        <w:t xml:space="preserve">: ADR, adenosine diphosphate ribose; </w:t>
      </w:r>
      <w:r w:rsidRPr="00906C80">
        <w:rPr>
          <w:rFonts w:hint="eastAsia"/>
          <w:color w:val="000000" w:themeColor="text1"/>
          <w:sz w:val="21"/>
          <w:szCs w:val="21"/>
        </w:rPr>
        <w:t>K</w:t>
      </w:r>
      <w:r w:rsidRPr="00906C80">
        <w:rPr>
          <w:color w:val="000000" w:themeColor="text1"/>
          <w:sz w:val="21"/>
          <w:szCs w:val="21"/>
        </w:rPr>
        <w:t>PGE2,8-iso-15-keto prostaglandin E2; DP</w:t>
      </w:r>
      <w:r w:rsidRPr="00906C80">
        <w:rPr>
          <w:rFonts w:hint="eastAsia"/>
          <w:color w:val="000000" w:themeColor="text1"/>
          <w:sz w:val="21"/>
          <w:szCs w:val="21"/>
        </w:rPr>
        <w:t>G</w:t>
      </w:r>
      <w:r w:rsidRPr="00906C80">
        <w:rPr>
          <w:color w:val="000000" w:themeColor="text1"/>
          <w:sz w:val="21"/>
          <w:szCs w:val="21"/>
        </w:rPr>
        <w:t>A1, 15-deoxy-</w:t>
      </w:r>
      <w:r w:rsidRPr="00906C80">
        <w:rPr>
          <w:sz w:val="21"/>
          <w:szCs w:val="21"/>
        </w:rPr>
        <w:t xml:space="preserve">126, </w:t>
      </w:r>
      <w:r w:rsidRPr="00906C80">
        <w:rPr>
          <w:color w:val="000000" w:themeColor="text1"/>
          <w:sz w:val="21"/>
          <w:szCs w:val="21"/>
        </w:rPr>
        <w:t xml:space="preserve">14-prostaglandin A1; DPA, (2R)-2,3-dihydroxypropanoic acid; TBDCA, trans-2-Butene-1,4-dicarboxylic acid; AHMPE, (2E)-N-(4-acetamidobutyl)-3-(4-hydroxy-3-methoxyphenyl)prop-2-enamide; MAOA, 2-{2-[2,5-di(methoxycarbonyl)anilino]-2-oxoethoxy}acetic acid; CTPDP, N-[2-chloro-6-(trifluoromethoxy)phenyl]-2,2-dimethylpropanamide; HMMMNA, N-[(4-hydroxy-3-methoxyphenyl)methyl]-8-methylnonanamide; MUG, 4-Methylumbelliferyl glucuronide; HMPHP, 2-hydroxy-1-(4-methoxyphenyl)propyl hexopyranoside; DIYA, (2-oxo-2,3-dihydro-1H-indol-3-yl)acetic acid; </w:t>
      </w:r>
      <w:r w:rsidRPr="00906C80">
        <w:rPr>
          <w:sz w:val="21"/>
          <w:szCs w:val="21"/>
        </w:rPr>
        <w:t>CDIP,</w:t>
      </w:r>
    </w:p>
    <w:p w14:paraId="7B6A231F" w14:textId="77777777" w:rsidR="001D2E8E" w:rsidRPr="0009669E" w:rsidRDefault="001D2E8E" w:rsidP="001D2E8E">
      <w:pPr>
        <w:spacing w:before="240" w:line="360" w:lineRule="auto"/>
        <w:rPr>
          <w:iCs/>
          <w:color w:val="000000" w:themeColor="text1"/>
        </w:rPr>
      </w:pPr>
      <w:r>
        <w:rPr>
          <w:noProof/>
        </w:rPr>
        <w:drawing>
          <wp:inline distT="0" distB="0" distL="0" distR="0" wp14:anchorId="6BB88995" wp14:editId="02DFA2B2">
            <wp:extent cx="5396865" cy="2909570"/>
            <wp:effectExtent l="0" t="0" r="0" b="5080"/>
            <wp:docPr id="11982431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24F47" w14:textId="77777777" w:rsidR="001D2E8E" w:rsidRDefault="001D2E8E" w:rsidP="001D2E8E">
      <w:pPr>
        <w:spacing w:before="240" w:line="240" w:lineRule="auto"/>
        <w:rPr>
          <w:iCs/>
          <w:color w:val="000000" w:themeColor="text1"/>
          <w:sz w:val="21"/>
          <w:szCs w:val="21"/>
        </w:rPr>
      </w:pPr>
      <w:r w:rsidRPr="00906C80">
        <w:rPr>
          <w:b/>
          <w:bCs/>
          <w:color w:val="000000" w:themeColor="text1"/>
          <w:sz w:val="21"/>
          <w:szCs w:val="21"/>
        </w:rPr>
        <w:t xml:space="preserve">Figure S2. </w:t>
      </w:r>
      <w:bookmarkStart w:id="2" w:name="_Hlk135248997"/>
      <w:r w:rsidRPr="00906C80">
        <w:rPr>
          <w:iCs/>
          <w:sz w:val="21"/>
          <w:szCs w:val="21"/>
        </w:rPr>
        <w:t>Cometabolism</w:t>
      </w:r>
      <w:r w:rsidRPr="00906C80">
        <w:rPr>
          <w:iCs/>
          <w:color w:val="000000" w:themeColor="text1"/>
          <w:sz w:val="21"/>
          <w:szCs w:val="21"/>
        </w:rPr>
        <w:t xml:space="preserve"> of colon</w:t>
      </w:r>
      <w:r w:rsidRPr="00906C80">
        <w:rPr>
          <w:iCs/>
          <w:sz w:val="21"/>
          <w:szCs w:val="21"/>
        </w:rPr>
        <w:t>-</w:t>
      </w:r>
      <w:r w:rsidRPr="00906C80">
        <w:rPr>
          <w:iCs/>
          <w:color w:val="000000" w:themeColor="text1"/>
          <w:sz w:val="21"/>
          <w:szCs w:val="21"/>
        </w:rPr>
        <w:t xml:space="preserve">derived metabolites by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 xml:space="preserve">gut microbiota and its host </w:t>
      </w:r>
      <w:r w:rsidRPr="00906C80">
        <w:rPr>
          <w:iCs/>
          <w:sz w:val="21"/>
          <w:szCs w:val="21"/>
        </w:rPr>
        <w:t>during</w:t>
      </w:r>
      <w:r w:rsidRPr="00906C80">
        <w:rPr>
          <w:iCs/>
          <w:color w:val="000000" w:themeColor="text1"/>
          <w:sz w:val="21"/>
          <w:szCs w:val="21"/>
        </w:rPr>
        <w:t xml:space="preserve"> TSS treatment</w:t>
      </w:r>
      <w:r w:rsidRPr="00906C80">
        <w:rPr>
          <w:rFonts w:hint="eastAsia"/>
          <w:iCs/>
          <w:color w:val="000000" w:themeColor="text1"/>
          <w:sz w:val="21"/>
          <w:szCs w:val="21"/>
        </w:rPr>
        <w:t>.</w:t>
      </w:r>
      <w:r w:rsidRPr="00906C80">
        <w:rPr>
          <w:b/>
          <w:bCs/>
          <w:iCs/>
          <w:color w:val="000000" w:themeColor="text1"/>
          <w:sz w:val="21"/>
          <w:szCs w:val="21"/>
        </w:rPr>
        <w:t xml:space="preserve"> a)</w:t>
      </w:r>
      <w:r w:rsidRPr="00906C80">
        <w:rPr>
          <w:iCs/>
          <w:color w:val="000000" w:themeColor="text1"/>
          <w:sz w:val="21"/>
          <w:szCs w:val="21"/>
        </w:rPr>
        <w:t xml:space="preserve"> Overview of the numbers of </w:t>
      </w:r>
      <w:r w:rsidRPr="00906C80">
        <w:rPr>
          <w:iCs/>
          <w:sz w:val="21"/>
          <w:szCs w:val="21"/>
        </w:rPr>
        <w:t>significantly</w:t>
      </w:r>
      <w:r w:rsidRPr="00906C80">
        <w:rPr>
          <w:iCs/>
          <w:color w:val="000000" w:themeColor="text1"/>
          <w:sz w:val="21"/>
          <w:szCs w:val="21"/>
        </w:rPr>
        <w:t xml:space="preserve"> changed colon metabolites that came </w:t>
      </w:r>
      <w:r w:rsidRPr="00906C80">
        <w:rPr>
          <w:iCs/>
          <w:color w:val="000000" w:themeColor="text1"/>
          <w:sz w:val="21"/>
          <w:szCs w:val="21"/>
        </w:rPr>
        <w:lastRenderedPageBreak/>
        <w:t xml:space="preserve">from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 xml:space="preserve">host, microbiota, cometabolism, and </w:t>
      </w:r>
      <w:r w:rsidRPr="00906C80">
        <w:rPr>
          <w:iCs/>
          <w:sz w:val="21"/>
          <w:szCs w:val="21"/>
        </w:rPr>
        <w:t>other sources</w:t>
      </w:r>
      <w:r w:rsidRPr="00906C80">
        <w:rPr>
          <w:iCs/>
          <w:color w:val="000000" w:themeColor="text1"/>
          <w:sz w:val="21"/>
          <w:szCs w:val="21"/>
        </w:rPr>
        <w:t xml:space="preserve">. </w:t>
      </w:r>
      <w:r w:rsidRPr="00906C80">
        <w:rPr>
          <w:b/>
          <w:bCs/>
          <w:iCs/>
          <w:color w:val="000000" w:themeColor="text1"/>
          <w:sz w:val="21"/>
          <w:szCs w:val="21"/>
        </w:rPr>
        <w:t xml:space="preserve">b) </w:t>
      </w:r>
      <w:r w:rsidRPr="00906C80">
        <w:rPr>
          <w:rFonts w:hint="eastAsia"/>
          <w:iCs/>
          <w:color w:val="000000" w:themeColor="text1"/>
          <w:sz w:val="21"/>
          <w:szCs w:val="21"/>
        </w:rPr>
        <w:t>En</w:t>
      </w:r>
      <w:r w:rsidRPr="00906C80">
        <w:rPr>
          <w:iCs/>
          <w:color w:val="000000" w:themeColor="text1"/>
          <w:sz w:val="21"/>
          <w:szCs w:val="21"/>
        </w:rPr>
        <w:t xml:space="preserve">riched metabolic pathways from metabolite pathway enrichment analysis (MPEA) according to the differentially abundant metabolites from bacteria,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 xml:space="preserve">host, or both. </w:t>
      </w:r>
      <w:r w:rsidRPr="00906C80">
        <w:rPr>
          <w:b/>
          <w:bCs/>
          <w:iCs/>
          <w:color w:val="000000" w:themeColor="text1"/>
          <w:sz w:val="21"/>
          <w:szCs w:val="21"/>
        </w:rPr>
        <w:t>c)</w:t>
      </w:r>
      <w:r w:rsidRPr="00906C80">
        <w:rPr>
          <w:iCs/>
          <w:color w:val="000000" w:themeColor="text1"/>
          <w:sz w:val="21"/>
          <w:szCs w:val="21"/>
        </w:rPr>
        <w:t xml:space="preserve"> Heatmap of Spearman correlation coefficients between screened metabolites and microbes.</w:t>
      </w:r>
      <w:r w:rsidRPr="00906C80">
        <w:rPr>
          <w:b/>
          <w:bCs/>
          <w:iCs/>
          <w:color w:val="000000" w:themeColor="text1"/>
          <w:sz w:val="21"/>
          <w:szCs w:val="21"/>
        </w:rPr>
        <w:t xml:space="preserve"> d)</w:t>
      </w:r>
      <w:r w:rsidRPr="00906C80">
        <w:rPr>
          <w:iCs/>
          <w:color w:val="000000" w:themeColor="text1"/>
          <w:sz w:val="21"/>
          <w:szCs w:val="21"/>
        </w:rPr>
        <w:t xml:space="preserve"> BIO-Sankey network for the top metabolic pathway of cometabolism, in which the network </w:t>
      </w:r>
      <w:r w:rsidRPr="00906C80">
        <w:rPr>
          <w:iCs/>
          <w:sz w:val="21"/>
          <w:szCs w:val="21"/>
        </w:rPr>
        <w:t>included</w:t>
      </w:r>
      <w:r w:rsidRPr="00906C80">
        <w:rPr>
          <w:iCs/>
          <w:color w:val="000000" w:themeColor="text1"/>
          <w:sz w:val="21"/>
          <w:szCs w:val="21"/>
        </w:rPr>
        <w:t xml:space="preserve"> all the microbiota that participated in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 xml:space="preserve">network. </w:t>
      </w:r>
      <w:r w:rsidRPr="00906C80">
        <w:rPr>
          <w:b/>
          <w:bCs/>
          <w:iCs/>
          <w:color w:val="000000" w:themeColor="text1"/>
          <w:sz w:val="21"/>
          <w:szCs w:val="21"/>
        </w:rPr>
        <w:t>e)</w:t>
      </w:r>
      <w:r w:rsidRPr="00906C80">
        <w:rPr>
          <w:iCs/>
          <w:color w:val="000000" w:themeColor="text1"/>
          <w:sz w:val="21"/>
          <w:szCs w:val="21"/>
        </w:rPr>
        <w:t xml:space="preserve"> STA-Sankey network for the top metabolic pathway of cometabolism, in which the network </w:t>
      </w:r>
      <w:r w:rsidRPr="00906C80">
        <w:rPr>
          <w:iCs/>
          <w:sz w:val="21"/>
          <w:szCs w:val="21"/>
        </w:rPr>
        <w:t>shows the</w:t>
      </w:r>
      <w:r w:rsidRPr="00906C80">
        <w:rPr>
          <w:iCs/>
          <w:color w:val="000000" w:themeColor="text1"/>
          <w:sz w:val="21"/>
          <w:szCs w:val="21"/>
        </w:rPr>
        <w:t xml:space="preserve"> identified microbiota from TSS treatment. The red or green color of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>bars and bands indicates up</w:t>
      </w:r>
      <w:r w:rsidRPr="00906C80">
        <w:rPr>
          <w:iCs/>
          <w:sz w:val="21"/>
          <w:szCs w:val="21"/>
        </w:rPr>
        <w:t>-</w:t>
      </w:r>
      <w:r w:rsidRPr="00906C80">
        <w:rPr>
          <w:iCs/>
          <w:color w:val="000000" w:themeColor="text1"/>
          <w:sz w:val="21"/>
          <w:szCs w:val="21"/>
        </w:rPr>
        <w:t xml:space="preserve"> or </w:t>
      </w:r>
      <w:r w:rsidRPr="00906C80">
        <w:rPr>
          <w:iCs/>
          <w:sz w:val="21"/>
          <w:szCs w:val="21"/>
        </w:rPr>
        <w:t>downregulation</w:t>
      </w:r>
      <w:r w:rsidRPr="00906C80">
        <w:rPr>
          <w:iCs/>
          <w:color w:val="000000" w:themeColor="text1"/>
          <w:sz w:val="21"/>
          <w:szCs w:val="21"/>
        </w:rPr>
        <w:t xml:space="preserve"> of bacteria and metabolites or positive or negative correlations between them. The shades of color (dark or light) indicate the statistical significance of bacteria/</w:t>
      </w:r>
      <w:r w:rsidRPr="00906C80">
        <w:rPr>
          <w:iCs/>
          <w:sz w:val="21"/>
          <w:szCs w:val="21"/>
        </w:rPr>
        <w:t>metabolites</w:t>
      </w:r>
      <w:r w:rsidRPr="00906C80">
        <w:rPr>
          <w:iCs/>
          <w:color w:val="000000" w:themeColor="text1"/>
          <w:sz w:val="21"/>
          <w:szCs w:val="21"/>
        </w:rPr>
        <w:t xml:space="preserve"> and their correlations, respectively. 0.01&lt;*</w:t>
      </w:r>
      <w:r w:rsidRPr="00906C80">
        <w:rPr>
          <w:i/>
          <w:color w:val="000000" w:themeColor="text1"/>
          <w:sz w:val="21"/>
          <w:szCs w:val="21"/>
        </w:rPr>
        <w:t>p</w:t>
      </w:r>
      <w:r w:rsidRPr="00906C80">
        <w:rPr>
          <w:iCs/>
          <w:color w:val="000000" w:themeColor="text1"/>
          <w:sz w:val="21"/>
          <w:szCs w:val="21"/>
        </w:rPr>
        <w:t xml:space="preserve"> &lt;0.05; **</w:t>
      </w:r>
      <w:r w:rsidRPr="00906C80">
        <w:rPr>
          <w:i/>
          <w:color w:val="000000" w:themeColor="text1"/>
          <w:sz w:val="21"/>
          <w:szCs w:val="21"/>
        </w:rPr>
        <w:t>p</w:t>
      </w:r>
      <w:r w:rsidRPr="00906C80">
        <w:rPr>
          <w:color w:val="000000" w:themeColor="text1"/>
          <w:sz w:val="21"/>
          <w:szCs w:val="21"/>
        </w:rPr>
        <w:t xml:space="preserve"> &lt;0.01. Abbreviations: </w:t>
      </w:r>
      <w:bookmarkEnd w:id="2"/>
      <w:r w:rsidRPr="00906C80">
        <w:rPr>
          <w:iCs/>
          <w:color w:val="000000" w:themeColor="text1"/>
          <w:sz w:val="21"/>
          <w:szCs w:val="21"/>
        </w:rPr>
        <w:t>PMP, 1-</w:t>
      </w:r>
      <w:r w:rsidRPr="00906C80">
        <w:rPr>
          <w:iCs/>
          <w:sz w:val="21"/>
          <w:szCs w:val="21"/>
        </w:rPr>
        <w:t>phenyl</w:t>
      </w:r>
      <w:r w:rsidRPr="00906C80">
        <w:rPr>
          <w:iCs/>
          <w:color w:val="000000" w:themeColor="text1"/>
          <w:sz w:val="21"/>
          <w:szCs w:val="21"/>
        </w:rPr>
        <w:t>-3-methyl-5-pyrazolone; BEP, 2-(1,3-benzodioxol-5-yl)-7-ethylimidazo[1,2-a]pyridine; 4-MCD, 4-</w:t>
      </w:r>
      <w:r w:rsidRPr="00906C80">
        <w:rPr>
          <w:iCs/>
          <w:sz w:val="21"/>
          <w:szCs w:val="21"/>
        </w:rPr>
        <w:t>methoxycinnamaldehyde</w:t>
      </w:r>
      <w:r w:rsidRPr="00906C80">
        <w:rPr>
          <w:iCs/>
          <w:color w:val="000000" w:themeColor="text1"/>
          <w:sz w:val="21"/>
          <w:szCs w:val="21"/>
        </w:rPr>
        <w:t>; TTPD, 1,3,7-trimethyl-2,3,6,7-tetrahydro-1H-purine-2,6-dione.</w:t>
      </w:r>
    </w:p>
    <w:p w14:paraId="6C3829BC" w14:textId="77777777" w:rsidR="001D2E8E" w:rsidRPr="00906C80" w:rsidRDefault="001D2E8E" w:rsidP="001D2E8E">
      <w:pPr>
        <w:spacing w:before="240" w:line="240" w:lineRule="auto"/>
        <w:rPr>
          <w:iCs/>
          <w:color w:val="000000" w:themeColor="text1"/>
          <w:sz w:val="21"/>
          <w:szCs w:val="21"/>
        </w:rPr>
      </w:pPr>
    </w:p>
    <w:p w14:paraId="41A6146C" w14:textId="77777777" w:rsidR="001D2E8E" w:rsidRPr="0009669E" w:rsidRDefault="001D2E8E" w:rsidP="001D2E8E">
      <w:pPr>
        <w:spacing w:before="240" w:line="360" w:lineRule="auto"/>
        <w:rPr>
          <w:iCs/>
          <w:color w:val="000000" w:themeColor="text1"/>
        </w:rPr>
      </w:pPr>
      <w:r>
        <w:rPr>
          <w:noProof/>
        </w:rPr>
        <w:drawing>
          <wp:inline distT="0" distB="0" distL="0" distR="0" wp14:anchorId="3B789A2F" wp14:editId="475E2C8B">
            <wp:extent cx="5396865" cy="3116580"/>
            <wp:effectExtent l="0" t="0" r="0" b="7620"/>
            <wp:docPr id="3454242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A4848" w14:textId="77777777" w:rsidR="001D2E8E" w:rsidRPr="00906C80" w:rsidRDefault="001D2E8E" w:rsidP="001D2E8E">
      <w:pPr>
        <w:spacing w:before="240" w:line="240" w:lineRule="auto"/>
        <w:rPr>
          <w:iCs/>
          <w:color w:val="000000" w:themeColor="text1"/>
          <w:sz w:val="21"/>
          <w:szCs w:val="21"/>
        </w:rPr>
      </w:pPr>
      <w:r w:rsidRPr="00906C80">
        <w:rPr>
          <w:b/>
          <w:bCs/>
          <w:color w:val="000000" w:themeColor="text1"/>
          <w:sz w:val="21"/>
          <w:szCs w:val="21"/>
        </w:rPr>
        <w:t xml:space="preserve">Figure S3. </w:t>
      </w:r>
      <w:bookmarkStart w:id="3" w:name="OLE_LINK23"/>
      <w:r w:rsidRPr="00906C80">
        <w:rPr>
          <w:iCs/>
          <w:sz w:val="21"/>
          <w:szCs w:val="21"/>
        </w:rPr>
        <w:t>Cometabolism</w:t>
      </w:r>
      <w:r w:rsidRPr="00906C80">
        <w:rPr>
          <w:iCs/>
          <w:color w:val="000000" w:themeColor="text1"/>
          <w:sz w:val="21"/>
          <w:szCs w:val="21"/>
        </w:rPr>
        <w:t xml:space="preserve"> of liver</w:t>
      </w:r>
      <w:r w:rsidRPr="00906C80">
        <w:rPr>
          <w:iCs/>
          <w:sz w:val="21"/>
          <w:szCs w:val="21"/>
        </w:rPr>
        <w:t>-</w:t>
      </w:r>
      <w:r w:rsidRPr="00906C80">
        <w:rPr>
          <w:iCs/>
          <w:color w:val="000000" w:themeColor="text1"/>
          <w:sz w:val="21"/>
          <w:szCs w:val="21"/>
        </w:rPr>
        <w:t xml:space="preserve">derived metabolites by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>gut microbiota and its host under TSS and vancomycin treatment</w:t>
      </w:r>
      <w:r w:rsidRPr="00906C80">
        <w:rPr>
          <w:rFonts w:hint="eastAsia"/>
          <w:iCs/>
          <w:color w:val="000000" w:themeColor="text1"/>
          <w:sz w:val="21"/>
          <w:szCs w:val="21"/>
        </w:rPr>
        <w:t>.</w:t>
      </w:r>
      <w:r w:rsidRPr="00906C80">
        <w:rPr>
          <w:b/>
          <w:bCs/>
          <w:iCs/>
          <w:color w:val="000000" w:themeColor="text1"/>
          <w:sz w:val="21"/>
          <w:szCs w:val="21"/>
        </w:rPr>
        <w:t xml:space="preserve"> a)</w:t>
      </w:r>
      <w:r w:rsidRPr="00906C80">
        <w:rPr>
          <w:iCs/>
          <w:color w:val="000000" w:themeColor="text1"/>
          <w:sz w:val="21"/>
          <w:szCs w:val="21"/>
        </w:rPr>
        <w:t xml:space="preserve"> Overview of the numbers of </w:t>
      </w:r>
      <w:r w:rsidRPr="00906C80">
        <w:rPr>
          <w:iCs/>
          <w:sz w:val="21"/>
          <w:szCs w:val="21"/>
        </w:rPr>
        <w:t>significantly</w:t>
      </w:r>
      <w:r w:rsidRPr="00906C80">
        <w:rPr>
          <w:iCs/>
          <w:color w:val="000000" w:themeColor="text1"/>
          <w:sz w:val="21"/>
          <w:szCs w:val="21"/>
        </w:rPr>
        <w:t xml:space="preserve"> changed liver metabolites that came from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 xml:space="preserve">host, microbiota, cometabolism, and </w:t>
      </w:r>
      <w:r w:rsidRPr="00906C80">
        <w:rPr>
          <w:iCs/>
          <w:sz w:val="21"/>
          <w:szCs w:val="21"/>
        </w:rPr>
        <w:t>other sources</w:t>
      </w:r>
      <w:r w:rsidRPr="00906C80">
        <w:rPr>
          <w:iCs/>
          <w:color w:val="000000" w:themeColor="text1"/>
          <w:sz w:val="21"/>
          <w:szCs w:val="21"/>
        </w:rPr>
        <w:t xml:space="preserve">. </w:t>
      </w:r>
      <w:r w:rsidRPr="00906C80">
        <w:rPr>
          <w:b/>
          <w:bCs/>
          <w:iCs/>
          <w:color w:val="000000" w:themeColor="text1"/>
          <w:sz w:val="21"/>
          <w:szCs w:val="21"/>
        </w:rPr>
        <w:t>b)</w:t>
      </w:r>
      <w:r w:rsidRPr="00906C80">
        <w:rPr>
          <w:iCs/>
          <w:color w:val="000000" w:themeColor="text1"/>
          <w:sz w:val="21"/>
          <w:szCs w:val="21"/>
        </w:rPr>
        <w:t xml:space="preserve"> </w:t>
      </w:r>
      <w:r w:rsidRPr="00906C80">
        <w:rPr>
          <w:rFonts w:hint="eastAsia"/>
          <w:iCs/>
          <w:color w:val="000000" w:themeColor="text1"/>
          <w:sz w:val="21"/>
          <w:szCs w:val="21"/>
        </w:rPr>
        <w:t>En</w:t>
      </w:r>
      <w:r w:rsidRPr="00906C80">
        <w:rPr>
          <w:iCs/>
          <w:color w:val="000000" w:themeColor="text1"/>
          <w:sz w:val="21"/>
          <w:szCs w:val="21"/>
        </w:rPr>
        <w:t xml:space="preserve">riched metabolic pathways from metabolite pathway enrichment analysis (MPEA) according to the differentially abundant metabolites from bacteria,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 xml:space="preserve">host, or both. </w:t>
      </w:r>
      <w:r w:rsidRPr="00906C80">
        <w:rPr>
          <w:b/>
          <w:bCs/>
          <w:iCs/>
          <w:color w:val="000000" w:themeColor="text1"/>
          <w:sz w:val="21"/>
          <w:szCs w:val="21"/>
        </w:rPr>
        <w:t>c)</w:t>
      </w:r>
      <w:r w:rsidRPr="00906C80">
        <w:rPr>
          <w:iCs/>
          <w:color w:val="000000" w:themeColor="text1"/>
          <w:sz w:val="21"/>
          <w:szCs w:val="21"/>
        </w:rPr>
        <w:t xml:space="preserve"> Heatmap of Spearman correlation coefficients between screened metabolites and microbes. </w:t>
      </w:r>
      <w:r w:rsidRPr="00906C80">
        <w:rPr>
          <w:b/>
          <w:bCs/>
          <w:iCs/>
          <w:color w:val="000000" w:themeColor="text1"/>
          <w:sz w:val="21"/>
          <w:szCs w:val="21"/>
        </w:rPr>
        <w:t xml:space="preserve">d) </w:t>
      </w:r>
      <w:r w:rsidRPr="00906C80">
        <w:rPr>
          <w:iCs/>
          <w:color w:val="000000" w:themeColor="text1"/>
          <w:sz w:val="21"/>
          <w:szCs w:val="21"/>
        </w:rPr>
        <w:t xml:space="preserve">BIO-Sankey network for the top metabolic pathway of cometabolism, in which the network </w:t>
      </w:r>
      <w:r w:rsidRPr="00906C80">
        <w:rPr>
          <w:iCs/>
          <w:sz w:val="21"/>
          <w:szCs w:val="21"/>
        </w:rPr>
        <w:t>included</w:t>
      </w:r>
      <w:r w:rsidRPr="00906C80">
        <w:rPr>
          <w:iCs/>
          <w:color w:val="000000" w:themeColor="text1"/>
          <w:sz w:val="21"/>
          <w:szCs w:val="21"/>
        </w:rPr>
        <w:t xml:space="preserve"> all the microbiota that participated in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 xml:space="preserve">network. </w:t>
      </w:r>
      <w:r w:rsidRPr="00906C80">
        <w:rPr>
          <w:b/>
          <w:bCs/>
          <w:iCs/>
          <w:color w:val="000000" w:themeColor="text1"/>
          <w:sz w:val="21"/>
          <w:szCs w:val="21"/>
        </w:rPr>
        <w:t>e)</w:t>
      </w:r>
      <w:r w:rsidRPr="00906C80">
        <w:rPr>
          <w:iCs/>
          <w:color w:val="000000" w:themeColor="text1"/>
          <w:sz w:val="21"/>
          <w:szCs w:val="21"/>
        </w:rPr>
        <w:t xml:space="preserve"> STA-Sankey network for the top metabolic pathway of cometabolism, in which the network </w:t>
      </w:r>
      <w:r w:rsidRPr="00906C80">
        <w:rPr>
          <w:iCs/>
          <w:sz w:val="21"/>
          <w:szCs w:val="21"/>
        </w:rPr>
        <w:t>shows the</w:t>
      </w:r>
      <w:r w:rsidRPr="00906C80">
        <w:rPr>
          <w:iCs/>
          <w:color w:val="000000" w:themeColor="text1"/>
          <w:sz w:val="21"/>
          <w:szCs w:val="21"/>
        </w:rPr>
        <w:t xml:space="preserve"> identified microbiota from TSS treatment. The red or green color of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>bars and bands indicates up</w:t>
      </w:r>
      <w:r w:rsidRPr="00906C80">
        <w:rPr>
          <w:iCs/>
          <w:sz w:val="21"/>
          <w:szCs w:val="21"/>
        </w:rPr>
        <w:t>-</w:t>
      </w:r>
      <w:r w:rsidRPr="00906C80">
        <w:rPr>
          <w:iCs/>
          <w:color w:val="000000" w:themeColor="text1"/>
          <w:sz w:val="21"/>
          <w:szCs w:val="21"/>
        </w:rPr>
        <w:t xml:space="preserve"> or </w:t>
      </w:r>
      <w:r w:rsidRPr="00906C80">
        <w:rPr>
          <w:iCs/>
          <w:sz w:val="21"/>
          <w:szCs w:val="21"/>
        </w:rPr>
        <w:t>downregulation</w:t>
      </w:r>
      <w:r w:rsidRPr="00906C80">
        <w:rPr>
          <w:iCs/>
          <w:color w:val="000000" w:themeColor="text1"/>
          <w:sz w:val="21"/>
          <w:szCs w:val="21"/>
        </w:rPr>
        <w:t xml:space="preserve"> of bacteria and metabolites or positive or negative correlations between them. The shades of color (dark or light) indicate the statistical significance of bacteria/</w:t>
      </w:r>
      <w:r w:rsidRPr="00906C80">
        <w:rPr>
          <w:iCs/>
          <w:sz w:val="21"/>
          <w:szCs w:val="21"/>
        </w:rPr>
        <w:t>metabolites</w:t>
      </w:r>
      <w:r w:rsidRPr="00906C80">
        <w:rPr>
          <w:iCs/>
          <w:color w:val="000000" w:themeColor="text1"/>
          <w:sz w:val="21"/>
          <w:szCs w:val="21"/>
        </w:rPr>
        <w:t xml:space="preserve"> and their correlations, respectively. 0.01&lt;*</w:t>
      </w:r>
      <w:r w:rsidRPr="00906C80">
        <w:rPr>
          <w:i/>
          <w:color w:val="000000" w:themeColor="text1"/>
          <w:sz w:val="21"/>
          <w:szCs w:val="21"/>
        </w:rPr>
        <w:t>p</w:t>
      </w:r>
      <w:r w:rsidRPr="00906C80">
        <w:rPr>
          <w:iCs/>
          <w:color w:val="000000" w:themeColor="text1"/>
          <w:sz w:val="21"/>
          <w:szCs w:val="21"/>
        </w:rPr>
        <w:t xml:space="preserve"> &lt;0.05; **</w:t>
      </w:r>
      <w:r w:rsidRPr="00906C80">
        <w:rPr>
          <w:i/>
          <w:color w:val="000000" w:themeColor="text1"/>
          <w:sz w:val="21"/>
          <w:szCs w:val="21"/>
        </w:rPr>
        <w:t>p</w:t>
      </w:r>
      <w:r w:rsidRPr="00906C80">
        <w:rPr>
          <w:iCs/>
          <w:color w:val="000000" w:themeColor="text1"/>
          <w:sz w:val="21"/>
          <w:szCs w:val="21"/>
        </w:rPr>
        <w:t xml:space="preserve"> &lt;0.01. Abbreviations:</w:t>
      </w:r>
      <w:bookmarkEnd w:id="3"/>
      <w:r w:rsidRPr="00906C80">
        <w:rPr>
          <w:iCs/>
          <w:color w:val="000000" w:themeColor="text1"/>
          <w:sz w:val="21"/>
          <w:szCs w:val="21"/>
        </w:rPr>
        <w:t xml:space="preserve"> AHMPE, (2E)-N-(4-acetamidobutyl)-3-(4-hydroxy-3-methoxyphenyl)prop-2-enamide; DTPBO, 1,3-dimethyl-6-(trifluoromethyl)-1H-pyrazolo[3,4-b]pyridin-4-ol; MILA, Methylimidazoleacetic acid; HHCA, 16-Hydroxyhexadecanoic acid; COEA, 4-(4-cyclohexylphenyl)-4-oxobut-2-enoic acid; HBYPA, (2R)-2-[(2R,5S)-5-[(2S)-2-hydroxybutyloxolan-2-yl]propanoic acid; PPYTP, 2-{[3-(2,3,4,5,6-pentamethylphenyl)prop-2-ynyl]oxy}tetrahydro-2H-pyran; HPD, 1-(4-hydroxyphenyl)propane-1,2-diol; APPC, 5-amino-1-phenyl-1H-pyrazole-4-carbonitrile; ECOA, ethyl 2-cyano-3-[(2-oxoazepan-3-yl)aminoacrylate; TTPD, 1,3,7-trimethyl-2,3,6,7-tetrahydro-1H-purine-2,6-dione; DPAE, 3,4-Dihydroxyphenylacetone; DPA, (2R)-2,3-</w:t>
      </w:r>
      <w:r w:rsidRPr="00906C80">
        <w:rPr>
          <w:iCs/>
          <w:color w:val="000000" w:themeColor="text1"/>
          <w:sz w:val="21"/>
          <w:szCs w:val="21"/>
        </w:rPr>
        <w:lastRenderedPageBreak/>
        <w:t>Dihydroxypropanoic acid; DPGA1, 15-Deoxy-Δ 12,14-prostaglandin A1; KPGE2,8-iso-15-keto Prostaglandin E2.</w:t>
      </w:r>
    </w:p>
    <w:p w14:paraId="5763ABDA" w14:textId="77777777" w:rsidR="001D2E8E" w:rsidRPr="0009669E" w:rsidRDefault="001D2E8E" w:rsidP="001D2E8E">
      <w:pPr>
        <w:spacing w:before="240" w:line="360" w:lineRule="auto"/>
        <w:rPr>
          <w:iCs/>
          <w:color w:val="000000" w:themeColor="text1"/>
        </w:rPr>
      </w:pPr>
      <w:r>
        <w:rPr>
          <w:noProof/>
        </w:rPr>
        <w:drawing>
          <wp:inline distT="0" distB="0" distL="0" distR="0" wp14:anchorId="056B4EC8" wp14:editId="7D692FDD">
            <wp:extent cx="5396865" cy="3429635"/>
            <wp:effectExtent l="0" t="0" r="0" b="0"/>
            <wp:docPr id="14160594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49ECB" w14:textId="77777777" w:rsidR="001D2E8E" w:rsidRPr="00906C80" w:rsidRDefault="001D2E8E" w:rsidP="001D2E8E">
      <w:pPr>
        <w:spacing w:before="240" w:line="240" w:lineRule="auto"/>
        <w:rPr>
          <w:iCs/>
          <w:color w:val="000000" w:themeColor="text1"/>
          <w:sz w:val="21"/>
          <w:szCs w:val="21"/>
        </w:rPr>
      </w:pPr>
      <w:r w:rsidRPr="00906C80">
        <w:rPr>
          <w:b/>
          <w:bCs/>
          <w:color w:val="000000" w:themeColor="text1"/>
          <w:sz w:val="21"/>
          <w:szCs w:val="21"/>
        </w:rPr>
        <w:t xml:space="preserve">Figure S4. </w:t>
      </w:r>
      <w:r w:rsidRPr="00906C80">
        <w:rPr>
          <w:iCs/>
          <w:sz w:val="21"/>
          <w:szCs w:val="21"/>
        </w:rPr>
        <w:t>Cometabolism</w:t>
      </w:r>
      <w:r w:rsidRPr="00906C80">
        <w:rPr>
          <w:iCs/>
          <w:color w:val="000000" w:themeColor="text1"/>
          <w:sz w:val="21"/>
          <w:szCs w:val="21"/>
        </w:rPr>
        <w:t xml:space="preserve"> of colon</w:t>
      </w:r>
      <w:r w:rsidRPr="00906C80">
        <w:rPr>
          <w:iCs/>
          <w:sz w:val="21"/>
          <w:szCs w:val="21"/>
        </w:rPr>
        <w:t>-</w:t>
      </w:r>
      <w:r w:rsidRPr="00906C80">
        <w:rPr>
          <w:iCs/>
          <w:color w:val="000000" w:themeColor="text1"/>
          <w:sz w:val="21"/>
          <w:szCs w:val="21"/>
        </w:rPr>
        <w:t xml:space="preserve">derived metabolites by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>gut microbiota and its host under TSS and vancomycin treatment</w:t>
      </w:r>
      <w:r w:rsidRPr="00906C80">
        <w:rPr>
          <w:rFonts w:hint="eastAsia"/>
          <w:iCs/>
          <w:color w:val="000000" w:themeColor="text1"/>
          <w:sz w:val="21"/>
          <w:szCs w:val="21"/>
        </w:rPr>
        <w:t>.</w:t>
      </w:r>
      <w:r w:rsidRPr="00906C80">
        <w:rPr>
          <w:iCs/>
          <w:color w:val="000000" w:themeColor="text1"/>
          <w:sz w:val="21"/>
          <w:szCs w:val="21"/>
        </w:rPr>
        <w:t xml:space="preserve"> </w:t>
      </w:r>
      <w:r w:rsidRPr="00906C80">
        <w:rPr>
          <w:b/>
          <w:bCs/>
          <w:iCs/>
          <w:color w:val="000000" w:themeColor="text1"/>
          <w:sz w:val="21"/>
          <w:szCs w:val="21"/>
        </w:rPr>
        <w:t>a)</w:t>
      </w:r>
      <w:r w:rsidRPr="00906C80">
        <w:rPr>
          <w:iCs/>
          <w:color w:val="000000" w:themeColor="text1"/>
          <w:sz w:val="21"/>
          <w:szCs w:val="21"/>
        </w:rPr>
        <w:t xml:space="preserve"> Overview of the numbers of </w:t>
      </w:r>
      <w:r w:rsidRPr="00906C80">
        <w:rPr>
          <w:iCs/>
          <w:sz w:val="21"/>
          <w:szCs w:val="21"/>
        </w:rPr>
        <w:t>significantly</w:t>
      </w:r>
      <w:r w:rsidRPr="00906C80">
        <w:rPr>
          <w:iCs/>
          <w:color w:val="000000" w:themeColor="text1"/>
          <w:sz w:val="21"/>
          <w:szCs w:val="21"/>
        </w:rPr>
        <w:t xml:space="preserve"> changed liver metabolites that came from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 xml:space="preserve">host, microbiota, cometabolism, and </w:t>
      </w:r>
      <w:r w:rsidRPr="00906C80">
        <w:rPr>
          <w:iCs/>
          <w:sz w:val="21"/>
          <w:szCs w:val="21"/>
        </w:rPr>
        <w:t>other sources</w:t>
      </w:r>
      <w:r w:rsidRPr="00906C80">
        <w:rPr>
          <w:iCs/>
          <w:color w:val="000000" w:themeColor="text1"/>
          <w:sz w:val="21"/>
          <w:szCs w:val="21"/>
        </w:rPr>
        <w:t xml:space="preserve">. </w:t>
      </w:r>
      <w:r w:rsidRPr="00906C80">
        <w:rPr>
          <w:b/>
          <w:bCs/>
          <w:iCs/>
          <w:color w:val="000000" w:themeColor="text1"/>
          <w:sz w:val="21"/>
          <w:szCs w:val="21"/>
        </w:rPr>
        <w:t>b)</w:t>
      </w:r>
      <w:r w:rsidRPr="00906C80">
        <w:rPr>
          <w:iCs/>
          <w:color w:val="000000" w:themeColor="text1"/>
          <w:sz w:val="21"/>
          <w:szCs w:val="21"/>
        </w:rPr>
        <w:t xml:space="preserve"> </w:t>
      </w:r>
      <w:r w:rsidRPr="00906C80">
        <w:rPr>
          <w:rFonts w:hint="eastAsia"/>
          <w:iCs/>
          <w:color w:val="000000" w:themeColor="text1"/>
          <w:sz w:val="21"/>
          <w:szCs w:val="21"/>
        </w:rPr>
        <w:t>En</w:t>
      </w:r>
      <w:r w:rsidRPr="00906C80">
        <w:rPr>
          <w:iCs/>
          <w:color w:val="000000" w:themeColor="text1"/>
          <w:sz w:val="21"/>
          <w:szCs w:val="21"/>
        </w:rPr>
        <w:t xml:space="preserve">riched metabolic pathways from metabolite pathway enrichment analysis (MPEA) according to the differentially abundant metabolites from bacteria,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 xml:space="preserve">host, or both. </w:t>
      </w:r>
      <w:r w:rsidRPr="00906C80">
        <w:rPr>
          <w:b/>
          <w:bCs/>
          <w:iCs/>
          <w:color w:val="000000" w:themeColor="text1"/>
          <w:sz w:val="21"/>
          <w:szCs w:val="21"/>
        </w:rPr>
        <w:t>c)</w:t>
      </w:r>
      <w:r w:rsidRPr="00906C80">
        <w:rPr>
          <w:iCs/>
          <w:color w:val="000000" w:themeColor="text1"/>
          <w:sz w:val="21"/>
          <w:szCs w:val="21"/>
        </w:rPr>
        <w:t xml:space="preserve"> Heatmap of Spearman correlation coefficients between screened metabolites and microbes. </w:t>
      </w:r>
      <w:r w:rsidRPr="00906C80">
        <w:rPr>
          <w:b/>
          <w:bCs/>
          <w:iCs/>
          <w:color w:val="000000" w:themeColor="text1"/>
          <w:sz w:val="21"/>
          <w:szCs w:val="21"/>
        </w:rPr>
        <w:t xml:space="preserve">d) </w:t>
      </w:r>
      <w:r w:rsidRPr="00906C80">
        <w:rPr>
          <w:iCs/>
          <w:color w:val="000000" w:themeColor="text1"/>
          <w:sz w:val="21"/>
          <w:szCs w:val="21"/>
        </w:rPr>
        <w:t xml:space="preserve">STA-Sankey network for the top metabolic pathway of cometabolism, in which the network </w:t>
      </w:r>
      <w:r w:rsidRPr="00906C80">
        <w:rPr>
          <w:iCs/>
          <w:sz w:val="21"/>
          <w:szCs w:val="21"/>
        </w:rPr>
        <w:t>shows the</w:t>
      </w:r>
      <w:r w:rsidRPr="00906C80">
        <w:rPr>
          <w:iCs/>
          <w:color w:val="000000" w:themeColor="text1"/>
          <w:sz w:val="21"/>
          <w:szCs w:val="21"/>
        </w:rPr>
        <w:t xml:space="preserve"> identified microbiota from TSS treatment. The red or green color of </w:t>
      </w:r>
      <w:r w:rsidRPr="00906C80">
        <w:rPr>
          <w:iCs/>
          <w:sz w:val="21"/>
          <w:szCs w:val="21"/>
        </w:rPr>
        <w:t xml:space="preserve">the </w:t>
      </w:r>
      <w:r w:rsidRPr="00906C80">
        <w:rPr>
          <w:iCs/>
          <w:color w:val="000000" w:themeColor="text1"/>
          <w:sz w:val="21"/>
          <w:szCs w:val="21"/>
        </w:rPr>
        <w:t>bars and bands indicates up</w:t>
      </w:r>
      <w:r w:rsidRPr="00906C80">
        <w:rPr>
          <w:iCs/>
          <w:sz w:val="21"/>
          <w:szCs w:val="21"/>
        </w:rPr>
        <w:t>-</w:t>
      </w:r>
      <w:r w:rsidRPr="00906C80">
        <w:rPr>
          <w:iCs/>
          <w:color w:val="000000" w:themeColor="text1"/>
          <w:sz w:val="21"/>
          <w:szCs w:val="21"/>
        </w:rPr>
        <w:t xml:space="preserve"> or </w:t>
      </w:r>
      <w:r w:rsidRPr="00906C80">
        <w:rPr>
          <w:iCs/>
          <w:sz w:val="21"/>
          <w:szCs w:val="21"/>
        </w:rPr>
        <w:t>downregulation</w:t>
      </w:r>
      <w:r w:rsidRPr="00906C80">
        <w:rPr>
          <w:iCs/>
          <w:color w:val="000000" w:themeColor="text1"/>
          <w:sz w:val="21"/>
          <w:szCs w:val="21"/>
        </w:rPr>
        <w:t xml:space="preserve"> of bacteria and metabolites or positive or negative correlations between them. The shades of color (dark or light) indicate the statistical significance of bacteria/</w:t>
      </w:r>
      <w:r w:rsidRPr="00906C80">
        <w:rPr>
          <w:iCs/>
          <w:sz w:val="21"/>
          <w:szCs w:val="21"/>
        </w:rPr>
        <w:t>metabolites</w:t>
      </w:r>
      <w:r w:rsidRPr="00906C80">
        <w:rPr>
          <w:iCs/>
          <w:color w:val="000000" w:themeColor="text1"/>
          <w:sz w:val="21"/>
          <w:szCs w:val="21"/>
        </w:rPr>
        <w:t xml:space="preserve"> and their correlations, respectively. 0.01&lt;*</w:t>
      </w:r>
      <w:r w:rsidRPr="00906C80">
        <w:rPr>
          <w:i/>
          <w:color w:val="000000" w:themeColor="text1"/>
          <w:sz w:val="21"/>
          <w:szCs w:val="21"/>
        </w:rPr>
        <w:t>p</w:t>
      </w:r>
      <w:r w:rsidRPr="00906C80">
        <w:rPr>
          <w:iCs/>
          <w:color w:val="000000" w:themeColor="text1"/>
          <w:sz w:val="21"/>
          <w:szCs w:val="21"/>
        </w:rPr>
        <w:t xml:space="preserve"> &lt;0.05; **</w:t>
      </w:r>
      <w:r w:rsidRPr="00906C80">
        <w:rPr>
          <w:i/>
          <w:color w:val="000000" w:themeColor="text1"/>
          <w:sz w:val="21"/>
          <w:szCs w:val="21"/>
        </w:rPr>
        <w:t>p</w:t>
      </w:r>
      <w:r w:rsidRPr="00906C80">
        <w:rPr>
          <w:iCs/>
          <w:color w:val="000000" w:themeColor="text1"/>
          <w:sz w:val="21"/>
          <w:szCs w:val="21"/>
        </w:rPr>
        <w:t xml:space="preserve"> &lt;0.01. Abbreviations: MAGP, Methyl alpha-D-glucopyranoside; PEA, Palmitoyl ethanolamide; MTFA, (6R,S)-5, 10-Methylene-5,6,7,8-</w:t>
      </w:r>
      <w:r w:rsidRPr="00906C80">
        <w:rPr>
          <w:iCs/>
          <w:sz w:val="21"/>
          <w:szCs w:val="21"/>
        </w:rPr>
        <w:t>Tetracycline</w:t>
      </w:r>
      <w:r w:rsidRPr="00906C80">
        <w:rPr>
          <w:iCs/>
          <w:color w:val="000000" w:themeColor="text1"/>
          <w:sz w:val="21"/>
          <w:szCs w:val="21"/>
        </w:rPr>
        <w:t>; ADP, Adenosine diphosphate; FMN, Flavin mononucleotide; HMDPO, 5-hydroxy-4-methoxy-5,6-dihydro-2H-pyran-2-one;</w:t>
      </w:r>
      <w:r w:rsidRPr="00906C80">
        <w:rPr>
          <w:iCs/>
          <w:sz w:val="21"/>
          <w:szCs w:val="21"/>
        </w:rPr>
        <w:t xml:space="preserve"> </w:t>
      </w:r>
      <w:r w:rsidRPr="00906C80">
        <w:rPr>
          <w:iCs/>
          <w:color w:val="000000" w:themeColor="text1"/>
          <w:sz w:val="21"/>
          <w:szCs w:val="21"/>
        </w:rPr>
        <w:t>KPGE2,8-iso-15-keto Prostaglandin E2; AGAP, N-</w:t>
      </w:r>
      <w:r w:rsidRPr="00906C80">
        <w:rPr>
          <w:iCs/>
          <w:sz w:val="21"/>
          <w:szCs w:val="21"/>
        </w:rPr>
        <w:t>acetylglucosamine</w:t>
      </w:r>
      <w:r w:rsidRPr="00906C80">
        <w:rPr>
          <w:iCs/>
          <w:color w:val="000000" w:themeColor="text1"/>
          <w:sz w:val="21"/>
          <w:szCs w:val="21"/>
        </w:rPr>
        <w:t xml:space="preserve"> 1-phosphate; CDP-choline, Cytidine 5-diphosphocholine; NMN, Nicotinamide mononucleotide; HMPHP, 2-Hydroxy-1-(4-methoxyphenyl)propyl hexopyranoside; DPGA1, 15-</w:t>
      </w:r>
      <w:r w:rsidRPr="00906C80">
        <w:rPr>
          <w:iCs/>
          <w:sz w:val="21"/>
          <w:szCs w:val="21"/>
        </w:rPr>
        <w:t>deoxy</w:t>
      </w:r>
      <w:r w:rsidRPr="00906C80">
        <w:rPr>
          <w:iCs/>
          <w:color w:val="000000" w:themeColor="text1"/>
          <w:sz w:val="21"/>
          <w:szCs w:val="21"/>
        </w:rPr>
        <w:t>-12,14-prostaglandin A1; MPPAA, N-[4-(4-methylpiperazino)phenyl-2-phenylacetamide.</w:t>
      </w:r>
    </w:p>
    <w:p w14:paraId="4AA28703" w14:textId="77777777" w:rsidR="000D4074" w:rsidRDefault="000D4074"/>
    <w:sectPr w:rsidR="000D4074" w:rsidSect="00832A04">
      <w:footerReference w:type="default" r:id="rId8"/>
      <w:pgSz w:w="11901" w:h="16840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5261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AE1725" wp14:editId="09BAC4DB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31811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AE172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9331811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E8E"/>
    <w:rsid w:val="000C30FD"/>
    <w:rsid w:val="000D4074"/>
    <w:rsid w:val="001D2E8E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A1BE5"/>
  <w15:chartTrackingRefBased/>
  <w15:docId w15:val="{2A449959-70C4-41F5-9814-E6D44091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E8E"/>
    <w:pPr>
      <w:spacing w:after="0" w:line="48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D2E8E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1D2E8E"/>
    <w:rPr>
      <w:rFonts w:ascii="Times New Roman" w:eastAsiaTheme="minorEastAsia" w:hAnsi="Times New Roman" w:cs="Arial"/>
      <w:b/>
      <w:bCs/>
      <w:kern w:val="32"/>
      <w:sz w:val="24"/>
      <w:szCs w:val="32"/>
      <w:lang w:eastAsia="en-GB"/>
      <w14:ligatures w14:val="none"/>
    </w:rPr>
  </w:style>
  <w:style w:type="paragraph" w:styleId="Footer">
    <w:name w:val="footer"/>
    <w:basedOn w:val="Normal"/>
    <w:link w:val="FooterChar"/>
    <w:qFormat/>
    <w:rsid w:val="001D2E8E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qFormat/>
    <w:rsid w:val="001D2E8E"/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D2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1056</Words>
  <Characters>6020</Characters>
  <Application>Microsoft Office Word</Application>
  <DocSecurity>0</DocSecurity>
  <Lines>50</Lines>
  <Paragraphs>14</Paragraphs>
  <ScaleCrop>false</ScaleCrop>
  <Company>Springer Nature</Company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2023-12-27T19:24:00Z</dcterms:created>
  <dcterms:modified xsi:type="dcterms:W3CDTF">2023-12-27T19:25:00Z</dcterms:modified>
</cp:coreProperties>
</file>