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C0434" w14:textId="77777777" w:rsidR="00F719DD" w:rsidRPr="00967EB9" w:rsidRDefault="00F719DD" w:rsidP="00F719DD">
      <w:r>
        <w:rPr>
          <w:noProof/>
        </w:rPr>
        <w:drawing>
          <wp:inline distT="0" distB="0" distL="0" distR="0" wp14:anchorId="7068A14E" wp14:editId="6E9BA3E0">
            <wp:extent cx="5686809" cy="5208116"/>
            <wp:effectExtent l="0" t="0" r="0" b="0"/>
            <wp:docPr id="4" name="Pictur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686809" cy="5208116"/>
                    </a:xfrm>
                    <a:prstGeom prst="rect">
                      <a:avLst/>
                    </a:prstGeom>
                  </pic:spPr>
                </pic:pic>
              </a:graphicData>
            </a:graphic>
          </wp:inline>
        </w:drawing>
      </w:r>
    </w:p>
    <w:p w14:paraId="260A338E" w14:textId="1187CF18" w:rsidR="00F719DD" w:rsidRPr="00967EB9" w:rsidRDefault="00865D00" w:rsidP="68D71F04">
      <w:r>
        <w:t xml:space="preserve">Supplementary Figure </w:t>
      </w:r>
      <w:r w:rsidR="0076251A">
        <w:t>1</w:t>
      </w:r>
      <w:r w:rsidR="00F719DD">
        <w:t xml:space="preserve"> – Reads that mapped to the </w:t>
      </w:r>
      <w:proofErr w:type="spellStart"/>
      <w:r w:rsidR="009E4EAE">
        <w:t>v</w:t>
      </w:r>
      <w:r w:rsidR="00F719DD">
        <w:t>irome</w:t>
      </w:r>
      <w:proofErr w:type="spellEnd"/>
      <w:r w:rsidR="00F719DD">
        <w:t xml:space="preserve"> co-assembly (left) and to cellular marker genes (SSU and LSU rDNA and other bacterial markers</w:t>
      </w:r>
      <w:r w:rsidR="111E5B52">
        <w:t xml:space="preserve"> from the tool </w:t>
      </w:r>
      <w:proofErr w:type="spellStart"/>
      <w:r w:rsidR="111E5B52">
        <w:t>ViromeQC</w:t>
      </w:r>
      <w:proofErr w:type="spellEnd"/>
      <w:r w:rsidR="00761EC5">
        <w:t>, ref</w:t>
      </w:r>
      <w:r w:rsidR="00761EC5" w:rsidRPr="00761EC5">
        <w:rPr>
          <w:vertAlign w:val="superscript"/>
        </w:rPr>
        <w:t>85</w:t>
      </w:r>
      <w:r w:rsidR="00F719DD">
        <w:t>) for the cellular metagenomes (&gt;0.2</w:t>
      </w:r>
      <w:r w:rsidR="00F719DD" w:rsidRPr="68D71F04">
        <w:t>µ</w:t>
      </w:r>
      <w:r w:rsidR="00F719DD">
        <w:t>m) and viral metagenomes (&lt;0.2</w:t>
      </w:r>
      <w:r w:rsidR="00F719DD" w:rsidRPr="68D71F04">
        <w:t>µ</w:t>
      </w:r>
      <w:r w:rsidR="00F719DD">
        <w:t>m, FeCl</w:t>
      </w:r>
      <w:r w:rsidR="00F719DD" w:rsidRPr="68D71F04">
        <w:rPr>
          <w:vertAlign w:val="subscript"/>
        </w:rPr>
        <w:t>3</w:t>
      </w:r>
      <w:r w:rsidR="00F719DD">
        <w:t xml:space="preserve"> flocculation method).</w:t>
      </w:r>
      <w:r w:rsidR="00084E4C">
        <w:t xml:space="preserve"> On average</w:t>
      </w:r>
      <w:r w:rsidR="009E4EAE">
        <w:t>,</w:t>
      </w:r>
      <w:r w:rsidR="00084E4C">
        <w:t xml:space="preserve"> </w:t>
      </w:r>
      <w:proofErr w:type="spellStart"/>
      <w:r w:rsidR="00084E4C">
        <w:t>viromes</w:t>
      </w:r>
      <w:proofErr w:type="spellEnd"/>
      <w:r w:rsidR="00084E4C">
        <w:t xml:space="preserve"> were 44x depleted in cellular marker genes compared to the cellular fraction (&gt;0.22 um) metagenomes.</w:t>
      </w:r>
    </w:p>
    <w:p w14:paraId="2990C01B" w14:textId="4BDFF4CF" w:rsidR="00B7103C" w:rsidRPr="00967EB9" w:rsidRDefault="00B7103C"/>
    <w:p w14:paraId="7271EF8B" w14:textId="77777777" w:rsidR="00037605" w:rsidRPr="00967EB9" w:rsidRDefault="00037605"/>
    <w:p w14:paraId="45D70F84" w14:textId="77777777" w:rsidR="00037605" w:rsidRPr="00967EB9" w:rsidRDefault="00037605"/>
    <w:p w14:paraId="1A976465" w14:textId="77777777" w:rsidR="00037605" w:rsidRPr="00967EB9" w:rsidRDefault="00037605"/>
    <w:p w14:paraId="5A4906E6" w14:textId="77777777" w:rsidR="00037605" w:rsidRPr="00967EB9" w:rsidRDefault="00037605"/>
    <w:p w14:paraId="3156BC85" w14:textId="3BA4EC47" w:rsidR="00037605" w:rsidRPr="00967EB9" w:rsidRDefault="009E4C60" w:rsidP="00037605">
      <w:r>
        <w:rPr>
          <w:noProof/>
        </w:rPr>
        <w:lastRenderedPageBreak/>
        <w:drawing>
          <wp:inline distT="0" distB="0" distL="0" distR="0" wp14:anchorId="37C15A11" wp14:editId="67F72119">
            <wp:extent cx="5731510" cy="4683760"/>
            <wp:effectExtent l="0" t="0" r="2540" b="2540"/>
            <wp:docPr id="1019643589"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643589" name="Picture 1" descr="A screenshot of a computer screen&#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4683760"/>
                    </a:xfrm>
                    <a:prstGeom prst="rect">
                      <a:avLst/>
                    </a:prstGeom>
                    <a:noFill/>
                    <a:ln>
                      <a:noFill/>
                    </a:ln>
                  </pic:spPr>
                </pic:pic>
              </a:graphicData>
            </a:graphic>
          </wp:inline>
        </w:drawing>
      </w:r>
    </w:p>
    <w:p w14:paraId="678AFDD3" w14:textId="577C7A18" w:rsidR="00037605" w:rsidRPr="00967EB9" w:rsidRDefault="00865D00" w:rsidP="00037605">
      <w:r w:rsidRPr="00967EB9">
        <w:t xml:space="preserve">Supplementary Figure </w:t>
      </w:r>
      <w:r w:rsidR="00037605" w:rsidRPr="00967EB9">
        <w:t>2 – Cellular community composition over the sampling period according to the number of 16S and 18S rRNA gene reads at the domain level (</w:t>
      </w:r>
      <w:r w:rsidR="007A5D6E">
        <w:rPr>
          <w:b/>
          <w:bCs/>
        </w:rPr>
        <w:t>a</w:t>
      </w:r>
      <w:r w:rsidR="00037605" w:rsidRPr="00967EB9">
        <w:t>), at the Class level for Bacteria and Archaea (</w:t>
      </w:r>
      <w:r w:rsidR="007A5D6E">
        <w:rPr>
          <w:b/>
          <w:bCs/>
        </w:rPr>
        <w:t>b</w:t>
      </w:r>
      <w:r w:rsidR="00037605" w:rsidRPr="00967EB9">
        <w:t>), and at the Phylum level for eukaryotic phytoplankton (</w:t>
      </w:r>
      <w:r w:rsidR="007A5D6E">
        <w:rPr>
          <w:b/>
          <w:bCs/>
        </w:rPr>
        <w:t>c</w:t>
      </w:r>
      <w:r w:rsidR="00037605" w:rsidRPr="00967EB9">
        <w:t>) and heterotrophic Eukaryotes (</w:t>
      </w:r>
      <w:r w:rsidR="007A5D6E">
        <w:rPr>
          <w:b/>
          <w:bCs/>
        </w:rPr>
        <w:t>d</w:t>
      </w:r>
      <w:r w:rsidR="00037605" w:rsidRPr="00967EB9">
        <w:t xml:space="preserve">). </w:t>
      </w:r>
    </w:p>
    <w:p w14:paraId="4C5D4617" w14:textId="77777777" w:rsidR="00037605" w:rsidRPr="00967EB9" w:rsidRDefault="00037605"/>
    <w:p w14:paraId="2E5DD4A4" w14:textId="77777777" w:rsidR="0076251A" w:rsidRPr="00967EB9" w:rsidRDefault="0076251A"/>
    <w:p w14:paraId="6566D660" w14:textId="77777777" w:rsidR="000556D1" w:rsidRDefault="000556D1"/>
    <w:p w14:paraId="34603CC1" w14:textId="77777777" w:rsidR="000556D1" w:rsidRDefault="000556D1">
      <w:r>
        <w:br w:type="page"/>
      </w:r>
    </w:p>
    <w:p w14:paraId="6B078D28" w14:textId="77777777" w:rsidR="000556D1" w:rsidRPr="00967EB9" w:rsidRDefault="000556D1" w:rsidP="000556D1">
      <w:r>
        <w:rPr>
          <w:noProof/>
        </w:rPr>
        <w:lastRenderedPageBreak/>
        <w:drawing>
          <wp:inline distT="0" distB="0" distL="0" distR="0" wp14:anchorId="0CF8D09A" wp14:editId="40676821">
            <wp:extent cx="5508642" cy="6640830"/>
            <wp:effectExtent l="0" t="0" r="0" b="7620"/>
            <wp:docPr id="108582177" name="Picture 2"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82177" name="Picture 2" descr="A graph of different colored lines&#10;&#10;Description automatically generated with medium conf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14122" cy="6647436"/>
                    </a:xfrm>
                    <a:prstGeom prst="rect">
                      <a:avLst/>
                    </a:prstGeom>
                    <a:noFill/>
                  </pic:spPr>
                </pic:pic>
              </a:graphicData>
            </a:graphic>
          </wp:inline>
        </w:drawing>
      </w:r>
    </w:p>
    <w:p w14:paraId="7B75C62A" w14:textId="2CE7BCE4" w:rsidR="00A80936" w:rsidRPr="00967EB9" w:rsidRDefault="000556D1">
      <w:r>
        <w:t>Supplementary Figure</w:t>
      </w:r>
      <w:r w:rsidR="0122A5AA">
        <w:t xml:space="preserve"> 3</w:t>
      </w:r>
      <w:r>
        <w:t xml:space="preserve"> – Seasonal dynamics of (</w:t>
      </w:r>
      <w:r w:rsidRPr="7CDA1E83">
        <w:rPr>
          <w:b/>
          <w:bCs/>
        </w:rPr>
        <w:t>A</w:t>
      </w:r>
      <w:r>
        <w:t>) species richness (number of viral scaffolds with abundance &gt; 0.001 % of the reads) and (</w:t>
      </w:r>
      <w:r w:rsidRPr="7CDA1E83">
        <w:rPr>
          <w:b/>
          <w:bCs/>
        </w:rPr>
        <w:t>B</w:t>
      </w:r>
      <w:r>
        <w:t>) Simpson evenness index, and (</w:t>
      </w:r>
      <w:r w:rsidRPr="7CDA1E83">
        <w:rPr>
          <w:b/>
          <w:bCs/>
        </w:rPr>
        <w:t>C</w:t>
      </w:r>
      <w:r>
        <w:t>) Shannon diversity index in effective number of species (ENS). Sampling is irregular and squares indicate the month of the year, and the grey line indicates the winter sampling gap between April and November 2018.</w:t>
      </w:r>
      <w:r w:rsidR="00A80936" w:rsidRPr="00967EB9">
        <w:br w:type="page"/>
      </w:r>
    </w:p>
    <w:p w14:paraId="4B44B561" w14:textId="05169B3A" w:rsidR="0076251A" w:rsidRPr="00967EB9" w:rsidRDefault="0076251A" w:rsidP="7CDA1E83">
      <w:pPr>
        <w:sectPr w:rsidR="0076251A" w:rsidRPr="00967EB9">
          <w:pgSz w:w="11906" w:h="16838"/>
          <w:pgMar w:top="1440" w:right="1440" w:bottom="1440" w:left="1440" w:header="708" w:footer="708" w:gutter="0"/>
          <w:cols w:space="708"/>
          <w:docGrid w:linePitch="360"/>
        </w:sectPr>
      </w:pPr>
    </w:p>
    <w:p w14:paraId="4D14D490" w14:textId="7D5A423B" w:rsidR="002921D0" w:rsidRPr="00967EB9" w:rsidRDefault="00761EC5" w:rsidP="00B7103C">
      <w:r>
        <w:rPr>
          <w:noProof/>
        </w:rPr>
        <w:lastRenderedPageBreak/>
        <w:drawing>
          <wp:inline distT="0" distB="0" distL="0" distR="0" wp14:anchorId="3CE87316" wp14:editId="6F2272CB">
            <wp:extent cx="8711384" cy="5207452"/>
            <wp:effectExtent l="0" t="0" r="0" b="0"/>
            <wp:docPr id="10525284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723533" cy="5214715"/>
                    </a:xfrm>
                    <a:prstGeom prst="rect">
                      <a:avLst/>
                    </a:prstGeom>
                    <a:noFill/>
                  </pic:spPr>
                </pic:pic>
              </a:graphicData>
            </a:graphic>
          </wp:inline>
        </w:drawing>
      </w:r>
    </w:p>
    <w:p w14:paraId="0ABE4C9B" w14:textId="3C5CCC07" w:rsidR="001D39A2" w:rsidRPr="00967EB9" w:rsidRDefault="00865D00">
      <w:pPr>
        <w:sectPr w:rsidR="001D39A2" w:rsidRPr="00967EB9" w:rsidSect="001D39A2">
          <w:pgSz w:w="16838" w:h="11906" w:orient="landscape"/>
          <w:pgMar w:top="1440" w:right="1440" w:bottom="1440" w:left="1440" w:header="708" w:footer="708" w:gutter="0"/>
          <w:cols w:space="708"/>
          <w:docGrid w:linePitch="360"/>
        </w:sectPr>
      </w:pPr>
      <w:r>
        <w:t>Supplementary Figure</w:t>
      </w:r>
      <w:r w:rsidR="002921D0">
        <w:t xml:space="preserve"> </w:t>
      </w:r>
      <w:r w:rsidR="005320E1">
        <w:t>4</w:t>
      </w:r>
      <w:r w:rsidR="002921D0">
        <w:t xml:space="preserve"> – vContact2 virus gene sharing network coloured by predicted host taxa (</w:t>
      </w:r>
      <w:r w:rsidR="007A5D6E">
        <w:t>a</w:t>
      </w:r>
      <w:r w:rsidR="002921D0">
        <w:t xml:space="preserve">).  </w:t>
      </w:r>
      <w:r w:rsidR="00C8742F">
        <w:t>P</w:t>
      </w:r>
      <w:r w:rsidR="002921D0">
        <w:t>redicted host prediction per virus taxon (</w:t>
      </w:r>
      <w:r w:rsidR="007A5D6E">
        <w:t>b</w:t>
      </w:r>
      <w:r w:rsidR="002921D0">
        <w:t>) and virus taxa per host prediction (</w:t>
      </w:r>
      <w:r w:rsidR="007A5D6E">
        <w:t>c</w:t>
      </w:r>
      <w:r w:rsidR="002921D0">
        <w:t>)</w:t>
      </w:r>
      <w:r w:rsidR="00041F8C">
        <w:t>.</w:t>
      </w:r>
    </w:p>
    <w:p w14:paraId="12F96A7C" w14:textId="48B95E64" w:rsidR="005320E1" w:rsidRDefault="00CB2E90" w:rsidP="005320E1">
      <w:r>
        <w:rPr>
          <w:noProof/>
        </w:rPr>
        <w:lastRenderedPageBreak/>
        <w:drawing>
          <wp:inline distT="0" distB="0" distL="0" distR="0" wp14:anchorId="4B996CF3" wp14:editId="2158122E">
            <wp:extent cx="5727700" cy="4062730"/>
            <wp:effectExtent l="0" t="0" r="6350" b="0"/>
            <wp:docPr id="5072572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27700" cy="4062730"/>
                    </a:xfrm>
                    <a:prstGeom prst="rect">
                      <a:avLst/>
                    </a:prstGeom>
                    <a:noFill/>
                    <a:ln>
                      <a:noFill/>
                    </a:ln>
                  </pic:spPr>
                </pic:pic>
              </a:graphicData>
            </a:graphic>
          </wp:inline>
        </w:drawing>
      </w:r>
    </w:p>
    <w:p w14:paraId="0576C1AF" w14:textId="3E527010" w:rsidR="005320E1" w:rsidRDefault="005320E1" w:rsidP="005320E1">
      <w:r w:rsidRPr="002032B1">
        <w:t xml:space="preserve">Supplementary Figure </w:t>
      </w:r>
      <w:r>
        <w:t>5 –</w:t>
      </w:r>
      <w:r w:rsidRPr="002032B1">
        <w:t xml:space="preserve"> Seasonal dynamics of viral scaffolds containing markers of lysogeny.</w:t>
      </w:r>
      <w:r>
        <w:t xml:space="preserve"> </w:t>
      </w:r>
      <w:r w:rsidRPr="002032B1">
        <w:t xml:space="preserve">a-c, abundance of viral scaffolds containing </w:t>
      </w:r>
      <w:r w:rsidR="00B43AB4">
        <w:t>i</w:t>
      </w:r>
      <w:r w:rsidRPr="002032B1">
        <w:t xml:space="preserve">ntegrase, </w:t>
      </w:r>
      <w:proofErr w:type="spellStart"/>
      <w:r w:rsidRPr="002032B1">
        <w:t>excisionase</w:t>
      </w:r>
      <w:proofErr w:type="spellEnd"/>
      <w:r w:rsidRPr="002032B1">
        <w:t>, and prophage repressor expressed in vertical coverage (read</w:t>
      </w:r>
      <w:r>
        <w:t xml:space="preserve"> abundance normalised by scaffold length) for the viral (&lt;0.22 </w:t>
      </w:r>
      <w:r w:rsidRPr="6D124F78">
        <w:t>µ</w:t>
      </w:r>
      <w:r>
        <w:t xml:space="preserve">m) and cellular (&gt;0.22 </w:t>
      </w:r>
      <w:r w:rsidRPr="6D124F78">
        <w:t>µ</w:t>
      </w:r>
      <w:r>
        <w:t>m) fractions.  Black dots represent bacteria</w:t>
      </w:r>
      <w:r w:rsidR="0004018E">
        <w:t>l</w:t>
      </w:r>
      <w:r>
        <w:t xml:space="preserve"> cell abundances determined by flow cytometry, and the grey line indicates the winter sampling gap between April and November 2018.</w:t>
      </w:r>
    </w:p>
    <w:p w14:paraId="4CD15127" w14:textId="37F1179D" w:rsidR="005320E1" w:rsidRDefault="005320E1">
      <w:pPr>
        <w:rPr>
          <w:rFonts w:ascii="Calibri" w:eastAsia="Times New Roman" w:hAnsi="Calibri" w:cs="Calibri"/>
          <w:color w:val="000000"/>
          <w:lang w:eastAsia="en-GB"/>
        </w:rPr>
      </w:pPr>
    </w:p>
    <w:p w14:paraId="3FCD07EB" w14:textId="77777777" w:rsidR="005320E1" w:rsidRDefault="005320E1">
      <w:pPr>
        <w:rPr>
          <w:rFonts w:ascii="Calibri" w:eastAsia="Times New Roman" w:hAnsi="Calibri" w:cs="Calibri"/>
          <w:color w:val="000000"/>
          <w:lang w:eastAsia="en-GB"/>
        </w:rPr>
      </w:pPr>
    </w:p>
    <w:p w14:paraId="69F3B773" w14:textId="3D504E1C" w:rsidR="0086289E" w:rsidRDefault="00F14B39">
      <w:pPr>
        <w:rPr>
          <w:rFonts w:ascii="Calibri" w:eastAsia="Times New Roman" w:hAnsi="Calibri" w:cs="Calibri"/>
          <w:color w:val="000000"/>
          <w:lang w:eastAsia="en-GB"/>
        </w:rPr>
      </w:pPr>
      <w:r>
        <w:rPr>
          <w:rFonts w:ascii="Calibri" w:eastAsia="Times New Roman" w:hAnsi="Calibri" w:cs="Calibri"/>
          <w:noProof/>
          <w:color w:val="000000"/>
          <w:lang w:eastAsia="en-GB"/>
        </w:rPr>
        <w:lastRenderedPageBreak/>
        <w:drawing>
          <wp:inline distT="0" distB="0" distL="0" distR="0" wp14:anchorId="69F5CD4F" wp14:editId="27F3ADAF">
            <wp:extent cx="5047615" cy="6206490"/>
            <wp:effectExtent l="0" t="0" r="635" b="3810"/>
            <wp:docPr id="206910710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47615" cy="6206490"/>
                    </a:xfrm>
                    <a:prstGeom prst="rect">
                      <a:avLst/>
                    </a:prstGeom>
                    <a:noFill/>
                  </pic:spPr>
                </pic:pic>
              </a:graphicData>
            </a:graphic>
          </wp:inline>
        </w:drawing>
      </w:r>
    </w:p>
    <w:p w14:paraId="50136037" w14:textId="72CC43F5" w:rsidR="00F14B39" w:rsidRPr="00967EB9" w:rsidRDefault="00F14B39" w:rsidP="00F14B39">
      <w:pPr>
        <w:rPr>
          <w:rFonts w:ascii="Calibri" w:eastAsia="Times New Roman" w:hAnsi="Calibri" w:cs="Calibri"/>
          <w:color w:val="000000"/>
          <w:lang w:eastAsia="en-GB"/>
        </w:rPr>
      </w:pPr>
      <w:r w:rsidRPr="7CDA1E83">
        <w:rPr>
          <w:rFonts w:ascii="Calibri" w:eastAsia="Times New Roman" w:hAnsi="Calibri" w:cs="Calibri"/>
          <w:color w:val="000000" w:themeColor="text1"/>
          <w:lang w:eastAsia="en-GB"/>
        </w:rPr>
        <w:t xml:space="preserve">Supplementary Figure </w:t>
      </w:r>
      <w:r w:rsidR="008848B9">
        <w:rPr>
          <w:rFonts w:ascii="Calibri" w:eastAsia="Times New Roman" w:hAnsi="Calibri" w:cs="Calibri"/>
          <w:color w:val="000000" w:themeColor="text1"/>
          <w:lang w:eastAsia="en-GB"/>
        </w:rPr>
        <w:t>6</w:t>
      </w:r>
      <w:r w:rsidRPr="7CDA1E83">
        <w:rPr>
          <w:rFonts w:ascii="Calibri" w:eastAsia="Times New Roman" w:hAnsi="Calibri" w:cs="Calibri"/>
          <w:color w:val="000000" w:themeColor="text1"/>
          <w:lang w:eastAsia="en-GB"/>
        </w:rPr>
        <w:t xml:space="preserve"> – We show here the phylogenetic trees of th</w:t>
      </w:r>
      <w:r w:rsidR="005320E1">
        <w:rPr>
          <w:rFonts w:ascii="Calibri" w:eastAsia="Times New Roman" w:hAnsi="Calibri" w:cs="Calibri"/>
          <w:color w:val="000000" w:themeColor="text1"/>
          <w:lang w:eastAsia="en-GB"/>
        </w:rPr>
        <w:t xml:space="preserve">e </w:t>
      </w:r>
      <w:r w:rsidRPr="7CDA1E83">
        <w:rPr>
          <w:rFonts w:ascii="Calibri" w:eastAsia="Times New Roman" w:hAnsi="Calibri" w:cs="Calibri"/>
          <w:color w:val="000000" w:themeColor="text1"/>
          <w:lang w:eastAsia="en-GB"/>
        </w:rPr>
        <w:t xml:space="preserve">signature proteins from the </w:t>
      </w:r>
      <w:proofErr w:type="spellStart"/>
      <w:r w:rsidRPr="7CDA1E83">
        <w:rPr>
          <w:rFonts w:ascii="Calibri" w:eastAsia="Times New Roman" w:hAnsi="Calibri" w:cs="Calibri"/>
          <w:color w:val="000000" w:themeColor="text1"/>
          <w:lang w:eastAsia="en-GB"/>
        </w:rPr>
        <w:t>Crassvirales</w:t>
      </w:r>
      <w:proofErr w:type="spellEnd"/>
      <w:r w:rsidRPr="7CDA1E83">
        <w:rPr>
          <w:rFonts w:ascii="Calibri" w:eastAsia="Times New Roman" w:hAnsi="Calibri" w:cs="Calibri"/>
          <w:color w:val="000000" w:themeColor="text1"/>
          <w:lang w:eastAsia="en-GB"/>
        </w:rPr>
        <w:t xml:space="preserve">, i.e., </w:t>
      </w:r>
      <w:r>
        <w:rPr>
          <w:rFonts w:ascii="Calibri" w:eastAsia="Times New Roman" w:hAnsi="Calibri" w:cs="Calibri"/>
          <w:color w:val="000000" w:themeColor="text1"/>
          <w:lang w:eastAsia="en-GB"/>
        </w:rPr>
        <w:t>(</w:t>
      </w:r>
      <w:r w:rsidRPr="00F14B39">
        <w:rPr>
          <w:rFonts w:ascii="Calibri" w:eastAsia="Times New Roman" w:hAnsi="Calibri" w:cs="Calibri"/>
          <w:b/>
          <w:bCs/>
          <w:color w:val="000000" w:themeColor="text1"/>
          <w:lang w:eastAsia="en-GB"/>
        </w:rPr>
        <w:t>a</w:t>
      </w:r>
      <w:r>
        <w:rPr>
          <w:rFonts w:ascii="Calibri" w:eastAsia="Times New Roman" w:hAnsi="Calibri" w:cs="Calibri"/>
          <w:color w:val="000000" w:themeColor="text1"/>
          <w:lang w:eastAsia="en-GB"/>
        </w:rPr>
        <w:t xml:space="preserve">) the </w:t>
      </w:r>
      <w:r w:rsidRPr="7CDA1E83">
        <w:rPr>
          <w:rFonts w:ascii="Calibri" w:eastAsia="Times New Roman" w:hAnsi="Calibri" w:cs="Calibri"/>
          <w:color w:val="000000" w:themeColor="text1"/>
          <w:lang w:eastAsia="en-GB"/>
        </w:rPr>
        <w:t>portal protein (Portal), and</w:t>
      </w:r>
      <w:r>
        <w:rPr>
          <w:rFonts w:ascii="Calibri" w:eastAsia="Times New Roman" w:hAnsi="Calibri" w:cs="Calibri"/>
          <w:color w:val="000000" w:themeColor="text1"/>
          <w:lang w:eastAsia="en-GB"/>
        </w:rPr>
        <w:t xml:space="preserve"> (</w:t>
      </w:r>
      <w:r w:rsidR="00CC1675">
        <w:rPr>
          <w:rFonts w:ascii="Calibri" w:eastAsia="Times New Roman" w:hAnsi="Calibri" w:cs="Calibri"/>
          <w:b/>
          <w:bCs/>
          <w:color w:val="000000" w:themeColor="text1"/>
          <w:lang w:eastAsia="en-GB"/>
        </w:rPr>
        <w:t>b</w:t>
      </w:r>
      <w:r>
        <w:rPr>
          <w:rFonts w:ascii="Calibri" w:eastAsia="Times New Roman" w:hAnsi="Calibri" w:cs="Calibri"/>
          <w:color w:val="000000" w:themeColor="text1"/>
          <w:lang w:eastAsia="en-GB"/>
        </w:rPr>
        <w:t>)</w:t>
      </w:r>
      <w:r w:rsidRPr="7CDA1E83">
        <w:rPr>
          <w:rFonts w:ascii="Calibri" w:eastAsia="Times New Roman" w:hAnsi="Calibri" w:cs="Calibri"/>
          <w:color w:val="000000" w:themeColor="text1"/>
          <w:lang w:eastAsia="en-GB"/>
        </w:rPr>
        <w:t xml:space="preserve"> major capsid protein (MCP).  Reference sequences from the five existing families have been collapsed, </w:t>
      </w:r>
      <w:proofErr w:type="gramStart"/>
      <w:r w:rsidRPr="7CDA1E83">
        <w:rPr>
          <w:rFonts w:ascii="Calibri" w:eastAsia="Times New Roman" w:hAnsi="Calibri" w:cs="Calibri"/>
          <w:color w:val="000000" w:themeColor="text1"/>
          <w:lang w:eastAsia="en-GB"/>
        </w:rPr>
        <w:t>with the exception of</w:t>
      </w:r>
      <w:proofErr w:type="gramEnd"/>
      <w:r w:rsidRPr="7CDA1E83">
        <w:rPr>
          <w:rFonts w:ascii="Calibri" w:eastAsia="Times New Roman" w:hAnsi="Calibri" w:cs="Calibri"/>
          <w:color w:val="000000" w:themeColor="text1"/>
          <w:lang w:eastAsia="en-GB"/>
        </w:rPr>
        <w:t xml:space="preserve"> the </w:t>
      </w:r>
      <w:proofErr w:type="spellStart"/>
      <w:r w:rsidRPr="7CDA1E83">
        <w:rPr>
          <w:rFonts w:ascii="Calibri" w:eastAsia="Times New Roman" w:hAnsi="Calibri" w:cs="Calibri"/>
          <w:color w:val="000000" w:themeColor="text1"/>
          <w:lang w:eastAsia="en-GB"/>
        </w:rPr>
        <w:t>Steigviridae</w:t>
      </w:r>
      <w:proofErr w:type="spellEnd"/>
      <w:r w:rsidRPr="7CDA1E83">
        <w:rPr>
          <w:rFonts w:ascii="Calibri" w:eastAsia="Times New Roman" w:hAnsi="Calibri" w:cs="Calibri"/>
          <w:color w:val="000000" w:themeColor="text1"/>
          <w:lang w:eastAsia="en-GB"/>
        </w:rPr>
        <w:t xml:space="preserve"> that is interspersed with sequences from the Antarctic samples. Multiple clades are delineated (C1-C4, and St). The numbers on the tree leaves correspond to scaffold numbers and are coloured as follows: orange indicates clade classification is not consistent across the three trees, green indicates </w:t>
      </w:r>
      <w:r w:rsidR="00CB2E90">
        <w:rPr>
          <w:rFonts w:ascii="Calibri" w:eastAsia="Times New Roman" w:hAnsi="Calibri" w:cs="Calibri"/>
          <w:color w:val="000000" w:themeColor="text1"/>
          <w:lang w:eastAsia="en-GB"/>
        </w:rPr>
        <w:t xml:space="preserve">the </w:t>
      </w:r>
      <w:r w:rsidRPr="7CDA1E83">
        <w:rPr>
          <w:rFonts w:ascii="Calibri" w:eastAsia="Times New Roman" w:hAnsi="Calibri" w:cs="Calibri"/>
          <w:color w:val="000000" w:themeColor="text1"/>
          <w:lang w:eastAsia="en-GB"/>
        </w:rPr>
        <w:t xml:space="preserve">sequence </w:t>
      </w:r>
      <w:r w:rsidR="00CB2E90">
        <w:rPr>
          <w:rFonts w:ascii="Calibri" w:eastAsia="Times New Roman" w:hAnsi="Calibri" w:cs="Calibri"/>
          <w:color w:val="000000" w:themeColor="text1"/>
          <w:lang w:eastAsia="en-GB"/>
        </w:rPr>
        <w:t xml:space="preserve">is </w:t>
      </w:r>
      <w:r w:rsidRPr="7CDA1E83">
        <w:rPr>
          <w:rFonts w:ascii="Calibri" w:eastAsia="Times New Roman" w:hAnsi="Calibri" w:cs="Calibri"/>
          <w:color w:val="000000" w:themeColor="text1"/>
          <w:lang w:eastAsia="en-GB"/>
        </w:rPr>
        <w:t>not</w:t>
      </w:r>
      <w:r w:rsidR="005320E1">
        <w:rPr>
          <w:rFonts w:ascii="Calibri" w:eastAsia="Times New Roman" w:hAnsi="Calibri" w:cs="Calibri"/>
          <w:color w:val="000000" w:themeColor="text1"/>
          <w:lang w:eastAsia="en-GB"/>
        </w:rPr>
        <w:t xml:space="preserve"> </w:t>
      </w:r>
      <w:r w:rsidRPr="7CDA1E83">
        <w:rPr>
          <w:rFonts w:ascii="Calibri" w:eastAsia="Times New Roman" w:hAnsi="Calibri" w:cs="Calibri"/>
          <w:color w:val="000000" w:themeColor="text1"/>
          <w:lang w:eastAsia="en-GB"/>
        </w:rPr>
        <w:t xml:space="preserve">present on the TerL tree, and black represent consistent clade membership in all three trees. These nodes are considered good </w:t>
      </w:r>
      <w:proofErr w:type="spellStart"/>
      <w:r w:rsidR="000B79F9" w:rsidRPr="005320E1">
        <w:rPr>
          <w:rFonts w:ascii="Calibri" w:eastAsia="Times New Roman" w:hAnsi="Calibri" w:cs="Calibri"/>
          <w:i/>
          <w:iCs/>
          <w:color w:val="000000" w:themeColor="text1"/>
          <w:lang w:eastAsia="en-GB"/>
        </w:rPr>
        <w:t>Crassvirales</w:t>
      </w:r>
      <w:proofErr w:type="spellEnd"/>
      <w:r w:rsidRPr="7CDA1E83">
        <w:rPr>
          <w:rFonts w:ascii="Calibri" w:eastAsia="Times New Roman" w:hAnsi="Calibri" w:cs="Calibri"/>
          <w:color w:val="000000" w:themeColor="text1"/>
          <w:lang w:eastAsia="en-GB"/>
        </w:rPr>
        <w:t xml:space="preserve"> candidates.</w:t>
      </w:r>
      <w:r>
        <w:rPr>
          <w:rFonts w:ascii="Calibri" w:eastAsia="Times New Roman" w:hAnsi="Calibri" w:cs="Calibri"/>
          <w:color w:val="000000" w:themeColor="text1"/>
          <w:lang w:eastAsia="en-GB"/>
        </w:rPr>
        <w:t xml:space="preserve"> (</w:t>
      </w:r>
      <w:r w:rsidR="00CC1675" w:rsidRPr="00CC1675">
        <w:rPr>
          <w:rFonts w:ascii="Calibri" w:eastAsia="Times New Roman" w:hAnsi="Calibri" w:cs="Calibri"/>
          <w:b/>
          <w:bCs/>
          <w:color w:val="000000" w:themeColor="text1"/>
          <w:lang w:eastAsia="en-GB"/>
        </w:rPr>
        <w:t>c</w:t>
      </w:r>
      <w:r w:rsidR="00CC1675">
        <w:rPr>
          <w:rFonts w:ascii="Calibri" w:eastAsia="Times New Roman" w:hAnsi="Calibri" w:cs="Calibri"/>
          <w:color w:val="000000" w:themeColor="text1"/>
          <w:lang w:eastAsia="en-GB"/>
        </w:rPr>
        <w:t xml:space="preserve">) genome for </w:t>
      </w:r>
      <w:r w:rsidR="009B0177">
        <w:rPr>
          <w:rFonts w:ascii="Calibri" w:eastAsia="Times New Roman" w:hAnsi="Calibri" w:cs="Calibri"/>
          <w:color w:val="000000" w:themeColor="text1"/>
          <w:lang w:eastAsia="en-GB"/>
        </w:rPr>
        <w:t xml:space="preserve">Antarctic </w:t>
      </w:r>
      <w:proofErr w:type="spellStart"/>
      <w:r w:rsidR="009B0177">
        <w:rPr>
          <w:rFonts w:ascii="Calibri" w:eastAsia="Times New Roman" w:hAnsi="Calibri" w:cs="Calibri"/>
          <w:color w:val="000000" w:themeColor="text1"/>
          <w:lang w:eastAsia="en-GB"/>
        </w:rPr>
        <w:t>crassviruses</w:t>
      </w:r>
      <w:proofErr w:type="spellEnd"/>
      <w:r w:rsidR="009B0177">
        <w:rPr>
          <w:rFonts w:ascii="Calibri" w:eastAsia="Times New Roman" w:hAnsi="Calibri" w:cs="Calibri"/>
          <w:color w:val="000000" w:themeColor="text1"/>
          <w:lang w:eastAsia="en-GB"/>
        </w:rPr>
        <w:t xml:space="preserve"> longer than 20 kb and reference </w:t>
      </w:r>
      <w:proofErr w:type="spellStart"/>
      <w:r w:rsidR="009B0177">
        <w:rPr>
          <w:rFonts w:ascii="Calibri" w:eastAsia="Times New Roman" w:hAnsi="Calibri" w:cs="Calibri"/>
          <w:color w:val="000000" w:themeColor="text1"/>
          <w:lang w:eastAsia="en-GB"/>
        </w:rPr>
        <w:t>phages</w:t>
      </w:r>
      <w:proofErr w:type="spellEnd"/>
      <w:r w:rsidR="009B0177">
        <w:rPr>
          <w:rFonts w:ascii="Calibri" w:eastAsia="Times New Roman" w:hAnsi="Calibri" w:cs="Calibri"/>
          <w:color w:val="000000" w:themeColor="text1"/>
          <w:lang w:eastAsia="en-GB"/>
        </w:rPr>
        <w:t xml:space="preserve"> for each family.</w:t>
      </w:r>
    </w:p>
    <w:p w14:paraId="4BDBBA1D" w14:textId="77777777" w:rsidR="0086289E" w:rsidRDefault="0086289E">
      <w:pPr>
        <w:rPr>
          <w:rFonts w:ascii="Calibri" w:eastAsia="Times New Roman" w:hAnsi="Calibri" w:cs="Calibri"/>
          <w:color w:val="000000"/>
          <w:lang w:eastAsia="en-GB"/>
        </w:rPr>
      </w:pPr>
      <w:r>
        <w:rPr>
          <w:rFonts w:ascii="Calibri" w:eastAsia="Times New Roman" w:hAnsi="Calibri" w:cs="Calibri"/>
          <w:color w:val="000000"/>
          <w:lang w:eastAsia="en-GB"/>
        </w:rPr>
        <w:br w:type="page"/>
      </w:r>
    </w:p>
    <w:p w14:paraId="156BFAA4" w14:textId="70AAD4D0" w:rsidR="00967EB9" w:rsidRPr="00967EB9" w:rsidRDefault="00967EB9" w:rsidP="00865D00">
      <w:r w:rsidRPr="00967EB9">
        <w:rPr>
          <w:noProof/>
        </w:rPr>
        <w:lastRenderedPageBreak/>
        <w:drawing>
          <wp:inline distT="0" distB="0" distL="0" distR="0" wp14:anchorId="3B9FDDFE" wp14:editId="149BCF63">
            <wp:extent cx="4741954" cy="6194066"/>
            <wp:effectExtent l="0" t="0" r="1905" b="0"/>
            <wp:docPr id="1941096990"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096990" name="Picture 1" descr="A screenshot of a computer screen&#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748308" cy="6202365"/>
                    </a:xfrm>
                    <a:prstGeom prst="rect">
                      <a:avLst/>
                    </a:prstGeom>
                    <a:noFill/>
                    <a:ln>
                      <a:noFill/>
                    </a:ln>
                  </pic:spPr>
                </pic:pic>
              </a:graphicData>
            </a:graphic>
          </wp:inline>
        </w:drawing>
      </w:r>
    </w:p>
    <w:p w14:paraId="10E53492" w14:textId="087AF48A" w:rsidR="00967EB9" w:rsidRPr="00967EB9" w:rsidRDefault="00967EB9" w:rsidP="00967EB9">
      <w:pPr>
        <w:rPr>
          <w:lang w:val="en-US"/>
        </w:rPr>
      </w:pPr>
      <w:r w:rsidRPr="7CDA1E83">
        <w:rPr>
          <w:rFonts w:ascii="Calibri" w:eastAsia="Times New Roman" w:hAnsi="Calibri" w:cs="Calibri"/>
          <w:color w:val="000000" w:themeColor="text1"/>
          <w:lang w:eastAsia="en-GB"/>
        </w:rPr>
        <w:t>Supplementary Figure</w:t>
      </w:r>
      <w:r w:rsidR="511A9D6A" w:rsidRPr="7CDA1E83">
        <w:rPr>
          <w:rFonts w:ascii="Calibri" w:eastAsia="Times New Roman" w:hAnsi="Calibri" w:cs="Calibri"/>
          <w:color w:val="000000" w:themeColor="text1"/>
          <w:lang w:eastAsia="en-GB"/>
        </w:rPr>
        <w:t xml:space="preserve"> </w:t>
      </w:r>
      <w:r w:rsidR="00B466EE">
        <w:rPr>
          <w:rFonts w:ascii="Calibri" w:eastAsia="Times New Roman" w:hAnsi="Calibri" w:cs="Calibri"/>
          <w:color w:val="000000" w:themeColor="text1"/>
          <w:lang w:eastAsia="en-GB"/>
        </w:rPr>
        <w:t>7</w:t>
      </w:r>
      <w:r w:rsidRPr="7CDA1E83">
        <w:rPr>
          <w:rFonts w:ascii="Calibri" w:eastAsia="Times New Roman" w:hAnsi="Calibri" w:cs="Calibri"/>
          <w:color w:val="000000" w:themeColor="text1"/>
          <w:lang w:eastAsia="en-GB"/>
        </w:rPr>
        <w:t xml:space="preserve"> </w:t>
      </w:r>
      <w:r>
        <w:t xml:space="preserve">– Temporal dynamics of </w:t>
      </w:r>
      <w:r w:rsidR="00F56FA2">
        <w:t xml:space="preserve">Marguerite Bay </w:t>
      </w:r>
      <w:proofErr w:type="spellStart"/>
      <w:r>
        <w:t>Nucleocytoviricota</w:t>
      </w:r>
      <w:proofErr w:type="spellEnd"/>
      <w:r>
        <w:t xml:space="preserve"> viruses (NCLDVs). </w:t>
      </w:r>
      <w:bookmarkStart w:id="0" w:name="_Hlk142037202"/>
      <w:r>
        <w:t>Sequencing depth abundance (</w:t>
      </w:r>
      <w:r w:rsidR="005320E1">
        <w:t>read abundance normalised by bin length, log-scaled</w:t>
      </w:r>
      <w:r>
        <w:t>) for the viral fraction metagenomes (&lt;0.22um). The heatmap is organized</w:t>
      </w:r>
      <w:r w:rsidR="00587FA1">
        <w:t xml:space="preserve"> phylogenetically</w:t>
      </w:r>
      <w:r>
        <w:t xml:space="preserve"> (midpoint rooted) and the first column represents the NCLDV family</w:t>
      </w:r>
      <w:r w:rsidR="00587FA1">
        <w:t xml:space="preserve"> (see Fig.</w:t>
      </w:r>
      <w:r w:rsidR="00683385">
        <w:t xml:space="preserve"> </w:t>
      </w:r>
      <w:r w:rsidR="00587FA1">
        <w:t>6 panel A)</w:t>
      </w:r>
      <w:r>
        <w:t>.</w:t>
      </w:r>
      <w:bookmarkEnd w:id="0"/>
    </w:p>
    <w:p w14:paraId="049CDD5F" w14:textId="77777777" w:rsidR="00967EB9" w:rsidRPr="00967EB9" w:rsidRDefault="00967EB9" w:rsidP="00865D00">
      <w:pPr>
        <w:rPr>
          <w:lang w:val="en-US"/>
        </w:rPr>
      </w:pPr>
    </w:p>
    <w:p w14:paraId="7725DA84" w14:textId="77777777" w:rsidR="0072418F" w:rsidRPr="00967EB9" w:rsidRDefault="0072418F" w:rsidP="0072418F">
      <w:pPr>
        <w:rPr>
          <w:rFonts w:ascii="Times New Roman" w:eastAsia="Times New Roman" w:hAnsi="Times New Roman" w:cs="Times New Roman"/>
          <w:lang w:eastAsia="en-GB"/>
        </w:rPr>
      </w:pPr>
    </w:p>
    <w:p w14:paraId="0A831751" w14:textId="7271DDF3" w:rsidR="003E7ADA" w:rsidRDefault="003E7ADA">
      <w:pPr>
        <w:rPr>
          <w:rFonts w:ascii="Times New Roman" w:eastAsia="Times New Roman" w:hAnsi="Times New Roman" w:cs="Times New Roman"/>
          <w:lang w:eastAsia="en-GB"/>
        </w:rPr>
      </w:pPr>
      <w:r>
        <w:rPr>
          <w:rFonts w:ascii="Times New Roman" w:eastAsia="Times New Roman" w:hAnsi="Times New Roman" w:cs="Times New Roman"/>
          <w:lang w:eastAsia="en-GB"/>
        </w:rPr>
        <w:br w:type="page"/>
      </w:r>
    </w:p>
    <w:p w14:paraId="5877B88C" w14:textId="2B7EBE97" w:rsidR="00597B52" w:rsidRPr="00967EB9" w:rsidRDefault="00AB1F92">
      <w:r>
        <w:rPr>
          <w:noProof/>
        </w:rPr>
        <w:lastRenderedPageBreak/>
        <w:drawing>
          <wp:inline distT="0" distB="0" distL="0" distR="0" wp14:anchorId="03314201" wp14:editId="38626353">
            <wp:extent cx="5727700" cy="4934585"/>
            <wp:effectExtent l="0" t="0" r="6350" b="0"/>
            <wp:docPr id="2182667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27700" cy="4934585"/>
                    </a:xfrm>
                    <a:prstGeom prst="rect">
                      <a:avLst/>
                    </a:prstGeom>
                    <a:noFill/>
                    <a:ln>
                      <a:noFill/>
                    </a:ln>
                  </pic:spPr>
                </pic:pic>
              </a:graphicData>
            </a:graphic>
          </wp:inline>
        </w:drawing>
      </w:r>
    </w:p>
    <w:p w14:paraId="5F808027" w14:textId="1CB01748" w:rsidR="00597B52" w:rsidRPr="00967EB9" w:rsidRDefault="008254AD">
      <w:r w:rsidRPr="7CDA1E83">
        <w:rPr>
          <w:rFonts w:ascii="Calibri" w:eastAsia="Times New Roman" w:hAnsi="Calibri" w:cs="Calibri"/>
          <w:color w:val="000000" w:themeColor="text1"/>
          <w:lang w:eastAsia="en-GB"/>
        </w:rPr>
        <w:t xml:space="preserve">Supplementary Figure </w:t>
      </w:r>
      <w:r w:rsidR="7FA778C2" w:rsidRPr="7CDA1E83">
        <w:rPr>
          <w:rFonts w:ascii="Calibri" w:eastAsia="Times New Roman" w:hAnsi="Calibri" w:cs="Calibri"/>
          <w:color w:val="000000" w:themeColor="text1"/>
          <w:lang w:eastAsia="en-GB"/>
        </w:rPr>
        <w:t>8</w:t>
      </w:r>
      <w:r w:rsidR="003E7ADA" w:rsidRPr="7CDA1E83">
        <w:rPr>
          <w:rFonts w:ascii="Calibri" w:eastAsia="Times New Roman" w:hAnsi="Calibri" w:cs="Calibri"/>
          <w:color w:val="000000" w:themeColor="text1"/>
          <w:lang w:eastAsia="en-GB"/>
        </w:rPr>
        <w:t xml:space="preserve"> </w:t>
      </w:r>
      <w:r w:rsidR="00597B52">
        <w:t xml:space="preserve">– </w:t>
      </w:r>
      <w:proofErr w:type="spellStart"/>
      <w:r w:rsidR="00597B52">
        <w:t>Polinton</w:t>
      </w:r>
      <w:proofErr w:type="spellEnd"/>
      <w:r w:rsidR="00597B52">
        <w:t>-like virus MCP duplication. (</w:t>
      </w:r>
      <w:r w:rsidR="00A701C7">
        <w:t>a</w:t>
      </w:r>
      <w:r w:rsidR="00597B52">
        <w:t xml:space="preserve">) Upset plot showing the occurrence of </w:t>
      </w:r>
      <w:r w:rsidR="00A701C7">
        <w:t xml:space="preserve">PLVs with multiple </w:t>
      </w:r>
      <w:r w:rsidR="00597B52">
        <w:t>MCP across phylogenetic clades. (</w:t>
      </w:r>
      <w:r w:rsidR="00A701C7">
        <w:t>b</w:t>
      </w:r>
      <w:r w:rsidR="00597B52">
        <w:t xml:space="preserve">) </w:t>
      </w:r>
      <w:r w:rsidR="00C8742F">
        <w:t>Violin plot showing the n</w:t>
      </w:r>
      <w:r w:rsidR="00597B52">
        <w:t>umber of MCP genes versus scaffold length for PLVs in groups X</w:t>
      </w:r>
      <w:proofErr w:type="gramStart"/>
      <w:r w:rsidR="00C8742F">
        <w:t>1</w:t>
      </w:r>
      <w:r w:rsidR="00597B52">
        <w:t>,X</w:t>
      </w:r>
      <w:proofErr w:type="gramEnd"/>
      <w:r w:rsidR="00597B52">
        <w:t xml:space="preserve">2 and </w:t>
      </w:r>
      <w:r w:rsidR="00C8742F">
        <w:t>X3</w:t>
      </w:r>
      <w:r w:rsidR="00597B52">
        <w:t xml:space="preserve">. </w:t>
      </w:r>
    </w:p>
    <w:p w14:paraId="74FF1DE6" w14:textId="580A8526" w:rsidR="003E7ADA" w:rsidRDefault="003E7ADA">
      <w:r>
        <w:br w:type="page"/>
      </w:r>
    </w:p>
    <w:p w14:paraId="52A2172D" w14:textId="77777777" w:rsidR="003E7ADA" w:rsidRPr="00967EB9" w:rsidRDefault="003E7ADA" w:rsidP="003E7ADA">
      <w:r w:rsidRPr="00967EB9">
        <w:rPr>
          <w:noProof/>
        </w:rPr>
        <w:lastRenderedPageBreak/>
        <w:drawing>
          <wp:inline distT="0" distB="0" distL="0" distR="0" wp14:anchorId="1824DC1C" wp14:editId="591CEA86">
            <wp:extent cx="5704067" cy="4321360"/>
            <wp:effectExtent l="0" t="0" r="0" b="0"/>
            <wp:docPr id="27" name="Picture 27"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hart&#10;&#10;Description automatically generated with medium confidenc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19554" cy="4333093"/>
                    </a:xfrm>
                    <a:prstGeom prst="rect">
                      <a:avLst/>
                    </a:prstGeom>
                    <a:noFill/>
                  </pic:spPr>
                </pic:pic>
              </a:graphicData>
            </a:graphic>
          </wp:inline>
        </w:drawing>
      </w:r>
    </w:p>
    <w:p w14:paraId="2F5FF2D0" w14:textId="77744AD0" w:rsidR="003E7ADA" w:rsidRPr="00967EB9" w:rsidRDefault="003E7ADA" w:rsidP="003E7ADA">
      <w:r w:rsidRPr="7CDA1E83">
        <w:rPr>
          <w:rFonts w:ascii="Calibri" w:eastAsia="Times New Roman" w:hAnsi="Calibri" w:cs="Calibri"/>
          <w:color w:val="000000" w:themeColor="text1"/>
          <w:lang w:eastAsia="en-GB"/>
        </w:rPr>
        <w:t xml:space="preserve">Supplementary Figure </w:t>
      </w:r>
      <w:r w:rsidR="37BED1E3" w:rsidRPr="7CDA1E83">
        <w:rPr>
          <w:rFonts w:ascii="Calibri" w:eastAsia="Times New Roman" w:hAnsi="Calibri" w:cs="Calibri"/>
          <w:color w:val="000000" w:themeColor="text1"/>
          <w:lang w:eastAsia="en-GB"/>
        </w:rPr>
        <w:t>9</w:t>
      </w:r>
      <w:r w:rsidRPr="7CDA1E83">
        <w:rPr>
          <w:rFonts w:ascii="Calibri" w:eastAsia="Times New Roman" w:hAnsi="Calibri" w:cs="Calibri"/>
          <w:color w:val="000000" w:themeColor="text1"/>
          <w:lang w:eastAsia="en-GB"/>
        </w:rPr>
        <w:t xml:space="preserve"> </w:t>
      </w:r>
      <w:r>
        <w:t xml:space="preserve">– v-Contact2 gene sharing network of viral scaffolds longer than 5kb or 70% complete according to check-V coloured by mega cluster (left). The frequency of cenote-taker2 annotated taxa occurrence within each viral mega cluster (right). </w:t>
      </w:r>
    </w:p>
    <w:p w14:paraId="1B66D264" w14:textId="406809E9" w:rsidR="00462A16" w:rsidRPr="003E7ADA" w:rsidRDefault="00462A16" w:rsidP="00662AC2">
      <w:pPr>
        <w:rPr>
          <w:rFonts w:ascii="Times New Roman" w:eastAsia="Times New Roman" w:hAnsi="Times New Roman" w:cs="Times New Roman"/>
          <w:lang w:eastAsia="en-GB"/>
        </w:rPr>
      </w:pPr>
    </w:p>
    <w:p w14:paraId="39CC76E9" w14:textId="4D698CEA" w:rsidR="00435986" w:rsidRPr="00967EB9" w:rsidRDefault="00435986"/>
    <w:p w14:paraId="70C75D93" w14:textId="77777777" w:rsidR="00140ED2" w:rsidRPr="00967EB9" w:rsidRDefault="00140ED2"/>
    <w:sectPr w:rsidR="00140ED2" w:rsidRPr="00967EB9" w:rsidSect="001D39A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49DDDC" w14:textId="77777777" w:rsidR="000A0C7F" w:rsidRDefault="000A0C7F" w:rsidP="007A5D6E">
      <w:pPr>
        <w:spacing w:after="0" w:line="240" w:lineRule="auto"/>
      </w:pPr>
      <w:r>
        <w:separator/>
      </w:r>
    </w:p>
  </w:endnote>
  <w:endnote w:type="continuationSeparator" w:id="0">
    <w:p w14:paraId="07F86C26" w14:textId="77777777" w:rsidR="000A0C7F" w:rsidRDefault="000A0C7F" w:rsidP="007A5D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E01A52" w14:textId="77777777" w:rsidR="000A0C7F" w:rsidRDefault="000A0C7F" w:rsidP="007A5D6E">
      <w:pPr>
        <w:spacing w:after="0" w:line="240" w:lineRule="auto"/>
      </w:pPr>
      <w:r>
        <w:separator/>
      </w:r>
    </w:p>
  </w:footnote>
  <w:footnote w:type="continuationSeparator" w:id="0">
    <w:p w14:paraId="2FDBF2FA" w14:textId="77777777" w:rsidR="000A0C7F" w:rsidRDefault="000A0C7F" w:rsidP="007A5D6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B00"/>
    <w:rsid w:val="000126D0"/>
    <w:rsid w:val="000171D1"/>
    <w:rsid w:val="000212A7"/>
    <w:rsid w:val="00022D5D"/>
    <w:rsid w:val="0002628B"/>
    <w:rsid w:val="00036478"/>
    <w:rsid w:val="00037605"/>
    <w:rsid w:val="0004018E"/>
    <w:rsid w:val="00041F8C"/>
    <w:rsid w:val="0005138C"/>
    <w:rsid w:val="000549D0"/>
    <w:rsid w:val="000556D1"/>
    <w:rsid w:val="000842C2"/>
    <w:rsid w:val="00084E4C"/>
    <w:rsid w:val="0008655A"/>
    <w:rsid w:val="000A0C7F"/>
    <w:rsid w:val="000B1799"/>
    <w:rsid w:val="000B79F9"/>
    <w:rsid w:val="000C296E"/>
    <w:rsid w:val="000D7B91"/>
    <w:rsid w:val="000E349F"/>
    <w:rsid w:val="000E6F23"/>
    <w:rsid w:val="0010583E"/>
    <w:rsid w:val="00136A6C"/>
    <w:rsid w:val="001404A0"/>
    <w:rsid w:val="00140ED2"/>
    <w:rsid w:val="00144CC0"/>
    <w:rsid w:val="001547D5"/>
    <w:rsid w:val="00192A11"/>
    <w:rsid w:val="00193CB8"/>
    <w:rsid w:val="001C1E4F"/>
    <w:rsid w:val="001D0E1E"/>
    <w:rsid w:val="001D39A2"/>
    <w:rsid w:val="002032B1"/>
    <w:rsid w:val="0022129A"/>
    <w:rsid w:val="00224295"/>
    <w:rsid w:val="00234457"/>
    <w:rsid w:val="00235F17"/>
    <w:rsid w:val="00241B5D"/>
    <w:rsid w:val="002555EA"/>
    <w:rsid w:val="0026189C"/>
    <w:rsid w:val="00281E23"/>
    <w:rsid w:val="002875CA"/>
    <w:rsid w:val="002921D0"/>
    <w:rsid w:val="002A6883"/>
    <w:rsid w:val="002A72DF"/>
    <w:rsid w:val="002B3290"/>
    <w:rsid w:val="002C5325"/>
    <w:rsid w:val="002D56BE"/>
    <w:rsid w:val="002F5CB0"/>
    <w:rsid w:val="003041ED"/>
    <w:rsid w:val="00305DE2"/>
    <w:rsid w:val="00310D1D"/>
    <w:rsid w:val="00325922"/>
    <w:rsid w:val="003D0F14"/>
    <w:rsid w:val="003E7ADA"/>
    <w:rsid w:val="003F104E"/>
    <w:rsid w:val="003F171C"/>
    <w:rsid w:val="00414169"/>
    <w:rsid w:val="004238A4"/>
    <w:rsid w:val="00435986"/>
    <w:rsid w:val="00460C64"/>
    <w:rsid w:val="00462A16"/>
    <w:rsid w:val="004960E5"/>
    <w:rsid w:val="004A0D66"/>
    <w:rsid w:val="004A6571"/>
    <w:rsid w:val="004B38C0"/>
    <w:rsid w:val="00500891"/>
    <w:rsid w:val="00501C2C"/>
    <w:rsid w:val="0051181E"/>
    <w:rsid w:val="005170AA"/>
    <w:rsid w:val="005225C4"/>
    <w:rsid w:val="00522F89"/>
    <w:rsid w:val="00527A9C"/>
    <w:rsid w:val="005320E1"/>
    <w:rsid w:val="00544873"/>
    <w:rsid w:val="005504E9"/>
    <w:rsid w:val="005512D0"/>
    <w:rsid w:val="0055166F"/>
    <w:rsid w:val="005547C9"/>
    <w:rsid w:val="00567ACC"/>
    <w:rsid w:val="00580E0C"/>
    <w:rsid w:val="00587FA1"/>
    <w:rsid w:val="00591084"/>
    <w:rsid w:val="005957AB"/>
    <w:rsid w:val="00597B52"/>
    <w:rsid w:val="005C6E82"/>
    <w:rsid w:val="006220C1"/>
    <w:rsid w:val="00640686"/>
    <w:rsid w:val="00643718"/>
    <w:rsid w:val="006475DF"/>
    <w:rsid w:val="00647E72"/>
    <w:rsid w:val="00662AC2"/>
    <w:rsid w:val="00680C5C"/>
    <w:rsid w:val="00683385"/>
    <w:rsid w:val="006A0F86"/>
    <w:rsid w:val="006D4D39"/>
    <w:rsid w:val="006F2AA9"/>
    <w:rsid w:val="00714021"/>
    <w:rsid w:val="00720DFC"/>
    <w:rsid w:val="0072418F"/>
    <w:rsid w:val="00761EC5"/>
    <w:rsid w:val="0076251A"/>
    <w:rsid w:val="007A5D6E"/>
    <w:rsid w:val="007B1581"/>
    <w:rsid w:val="007B50F8"/>
    <w:rsid w:val="007B5DC5"/>
    <w:rsid w:val="007D09DF"/>
    <w:rsid w:val="007F63AC"/>
    <w:rsid w:val="00803066"/>
    <w:rsid w:val="008152B6"/>
    <w:rsid w:val="008254AD"/>
    <w:rsid w:val="00825558"/>
    <w:rsid w:val="00834225"/>
    <w:rsid w:val="0083663B"/>
    <w:rsid w:val="00847D68"/>
    <w:rsid w:val="0085385D"/>
    <w:rsid w:val="00857E2D"/>
    <w:rsid w:val="0086289E"/>
    <w:rsid w:val="00863C58"/>
    <w:rsid w:val="00865D00"/>
    <w:rsid w:val="00872ADC"/>
    <w:rsid w:val="00881814"/>
    <w:rsid w:val="008848B9"/>
    <w:rsid w:val="00893402"/>
    <w:rsid w:val="008C063D"/>
    <w:rsid w:val="008C0C2F"/>
    <w:rsid w:val="008C50D6"/>
    <w:rsid w:val="008D5975"/>
    <w:rsid w:val="008D5D4F"/>
    <w:rsid w:val="008E3FEB"/>
    <w:rsid w:val="008E5B56"/>
    <w:rsid w:val="008E6701"/>
    <w:rsid w:val="008F2CD3"/>
    <w:rsid w:val="00923637"/>
    <w:rsid w:val="009345BD"/>
    <w:rsid w:val="009553AD"/>
    <w:rsid w:val="00965D06"/>
    <w:rsid w:val="009678B0"/>
    <w:rsid w:val="00967EB9"/>
    <w:rsid w:val="00977D0F"/>
    <w:rsid w:val="0098092C"/>
    <w:rsid w:val="00983DC2"/>
    <w:rsid w:val="00996C48"/>
    <w:rsid w:val="00997306"/>
    <w:rsid w:val="009A26CA"/>
    <w:rsid w:val="009A556C"/>
    <w:rsid w:val="009B0177"/>
    <w:rsid w:val="009B263A"/>
    <w:rsid w:val="009B4299"/>
    <w:rsid w:val="009B729F"/>
    <w:rsid w:val="009B7673"/>
    <w:rsid w:val="009C49D7"/>
    <w:rsid w:val="009E4C60"/>
    <w:rsid w:val="009E4EAE"/>
    <w:rsid w:val="009F5C82"/>
    <w:rsid w:val="00A04CE1"/>
    <w:rsid w:val="00A100B5"/>
    <w:rsid w:val="00A11B00"/>
    <w:rsid w:val="00A20BF4"/>
    <w:rsid w:val="00A218EB"/>
    <w:rsid w:val="00A21B46"/>
    <w:rsid w:val="00A23A06"/>
    <w:rsid w:val="00A419F2"/>
    <w:rsid w:val="00A47C81"/>
    <w:rsid w:val="00A62D4D"/>
    <w:rsid w:val="00A701C7"/>
    <w:rsid w:val="00A764AB"/>
    <w:rsid w:val="00A77D48"/>
    <w:rsid w:val="00A80936"/>
    <w:rsid w:val="00A81269"/>
    <w:rsid w:val="00A858C7"/>
    <w:rsid w:val="00AB1F92"/>
    <w:rsid w:val="00AC3C8F"/>
    <w:rsid w:val="00AC703C"/>
    <w:rsid w:val="00AD21BA"/>
    <w:rsid w:val="00AF22F6"/>
    <w:rsid w:val="00B33530"/>
    <w:rsid w:val="00B43AB4"/>
    <w:rsid w:val="00B466EE"/>
    <w:rsid w:val="00B565AF"/>
    <w:rsid w:val="00B7103C"/>
    <w:rsid w:val="00B77653"/>
    <w:rsid w:val="00B94525"/>
    <w:rsid w:val="00BA7421"/>
    <w:rsid w:val="00BC539C"/>
    <w:rsid w:val="00BF6F28"/>
    <w:rsid w:val="00C06C9A"/>
    <w:rsid w:val="00C22A4F"/>
    <w:rsid w:val="00C266DA"/>
    <w:rsid w:val="00C4670E"/>
    <w:rsid w:val="00C53FEA"/>
    <w:rsid w:val="00C67D06"/>
    <w:rsid w:val="00C8742F"/>
    <w:rsid w:val="00CB2E90"/>
    <w:rsid w:val="00CB3FDB"/>
    <w:rsid w:val="00CB70CC"/>
    <w:rsid w:val="00CC1675"/>
    <w:rsid w:val="00CC5610"/>
    <w:rsid w:val="00CE1FD0"/>
    <w:rsid w:val="00CF1F55"/>
    <w:rsid w:val="00D024F5"/>
    <w:rsid w:val="00D34C33"/>
    <w:rsid w:val="00D35D7F"/>
    <w:rsid w:val="00D44003"/>
    <w:rsid w:val="00D44F64"/>
    <w:rsid w:val="00D52A12"/>
    <w:rsid w:val="00D53A32"/>
    <w:rsid w:val="00D91FDD"/>
    <w:rsid w:val="00DA33F4"/>
    <w:rsid w:val="00DA7DAD"/>
    <w:rsid w:val="00DB1758"/>
    <w:rsid w:val="00DB660A"/>
    <w:rsid w:val="00DB6824"/>
    <w:rsid w:val="00E03A36"/>
    <w:rsid w:val="00E15860"/>
    <w:rsid w:val="00E24E25"/>
    <w:rsid w:val="00E41186"/>
    <w:rsid w:val="00E53511"/>
    <w:rsid w:val="00E74060"/>
    <w:rsid w:val="00EA368F"/>
    <w:rsid w:val="00EA651A"/>
    <w:rsid w:val="00EE558D"/>
    <w:rsid w:val="00F02DC4"/>
    <w:rsid w:val="00F14B39"/>
    <w:rsid w:val="00F21C07"/>
    <w:rsid w:val="00F22D58"/>
    <w:rsid w:val="00F437F6"/>
    <w:rsid w:val="00F50102"/>
    <w:rsid w:val="00F5079C"/>
    <w:rsid w:val="00F51C96"/>
    <w:rsid w:val="00F56FA2"/>
    <w:rsid w:val="00F6774D"/>
    <w:rsid w:val="00F719DD"/>
    <w:rsid w:val="00F7356A"/>
    <w:rsid w:val="00F81AE7"/>
    <w:rsid w:val="00FA1D56"/>
    <w:rsid w:val="00FA46F5"/>
    <w:rsid w:val="00FC0AF1"/>
    <w:rsid w:val="00FE5158"/>
    <w:rsid w:val="0122A5AA"/>
    <w:rsid w:val="06FFDE52"/>
    <w:rsid w:val="07565B61"/>
    <w:rsid w:val="111E5B52"/>
    <w:rsid w:val="152B4EE4"/>
    <w:rsid w:val="18EED883"/>
    <w:rsid w:val="1951CDED"/>
    <w:rsid w:val="208DB773"/>
    <w:rsid w:val="226E9BC3"/>
    <w:rsid w:val="261074BF"/>
    <w:rsid w:val="2B1C057D"/>
    <w:rsid w:val="2E2C0CDA"/>
    <w:rsid w:val="32479924"/>
    <w:rsid w:val="34B61695"/>
    <w:rsid w:val="35DE93D1"/>
    <w:rsid w:val="37BED1E3"/>
    <w:rsid w:val="45BCCE40"/>
    <w:rsid w:val="49536CD2"/>
    <w:rsid w:val="511A9D6A"/>
    <w:rsid w:val="5808C414"/>
    <w:rsid w:val="6362F586"/>
    <w:rsid w:val="68D71F04"/>
    <w:rsid w:val="6C824D11"/>
    <w:rsid w:val="7337886F"/>
    <w:rsid w:val="74C60D0C"/>
    <w:rsid w:val="7CDA1E83"/>
    <w:rsid w:val="7FA778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9FEF3"/>
  <w15:chartTrackingRefBased/>
  <w15:docId w15:val="{373FA634-0800-404B-A2FB-A2ED96B47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3C8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5">
    <w:name w:val="Plain Table 5"/>
    <w:basedOn w:val="TableNormal"/>
    <w:uiPriority w:val="45"/>
    <w:rsid w:val="005512D0"/>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Heading1Char">
    <w:name w:val="Heading 1 Char"/>
    <w:basedOn w:val="DefaultParagraphFont"/>
    <w:link w:val="Heading1"/>
    <w:uiPriority w:val="9"/>
    <w:rsid w:val="00AC3C8F"/>
    <w:rPr>
      <w:rFonts w:asciiTheme="majorHAnsi" w:eastAsiaTheme="majorEastAsia" w:hAnsiTheme="majorHAnsi" w:cstheme="majorBidi"/>
      <w:color w:val="2F5496" w:themeColor="accent1" w:themeShade="BF"/>
      <w:sz w:val="32"/>
      <w:szCs w:val="32"/>
    </w:rPr>
  </w:style>
  <w:style w:type="table" w:styleId="PlainTable3">
    <w:name w:val="Plain Table 3"/>
    <w:basedOn w:val="TableNormal"/>
    <w:uiPriority w:val="43"/>
    <w:rsid w:val="002875C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ListTable7Colorful">
    <w:name w:val="List Table 7 Colorful"/>
    <w:basedOn w:val="TableNormal"/>
    <w:uiPriority w:val="52"/>
    <w:rsid w:val="002875CA"/>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CommentReference">
    <w:name w:val="annotation reference"/>
    <w:basedOn w:val="DefaultParagraphFont"/>
    <w:uiPriority w:val="99"/>
    <w:semiHidden/>
    <w:unhideWhenUsed/>
    <w:rsid w:val="00F21C07"/>
    <w:rPr>
      <w:sz w:val="16"/>
      <w:szCs w:val="16"/>
    </w:rPr>
  </w:style>
  <w:style w:type="paragraph" w:styleId="CommentText">
    <w:name w:val="annotation text"/>
    <w:basedOn w:val="Normal"/>
    <w:link w:val="CommentTextChar"/>
    <w:uiPriority w:val="99"/>
    <w:unhideWhenUsed/>
    <w:rsid w:val="00F21C07"/>
    <w:pPr>
      <w:spacing w:line="240" w:lineRule="auto"/>
    </w:pPr>
    <w:rPr>
      <w:sz w:val="20"/>
      <w:szCs w:val="20"/>
    </w:rPr>
  </w:style>
  <w:style w:type="character" w:customStyle="1" w:styleId="CommentTextChar">
    <w:name w:val="Comment Text Char"/>
    <w:basedOn w:val="DefaultParagraphFont"/>
    <w:link w:val="CommentText"/>
    <w:uiPriority w:val="99"/>
    <w:rsid w:val="00F21C07"/>
    <w:rPr>
      <w:sz w:val="20"/>
      <w:szCs w:val="20"/>
    </w:rPr>
  </w:style>
  <w:style w:type="paragraph" w:styleId="CommentSubject">
    <w:name w:val="annotation subject"/>
    <w:basedOn w:val="CommentText"/>
    <w:next w:val="CommentText"/>
    <w:link w:val="CommentSubjectChar"/>
    <w:uiPriority w:val="99"/>
    <w:semiHidden/>
    <w:unhideWhenUsed/>
    <w:rsid w:val="00F21C07"/>
    <w:rPr>
      <w:b/>
      <w:bCs/>
    </w:rPr>
  </w:style>
  <w:style w:type="character" w:customStyle="1" w:styleId="CommentSubjectChar">
    <w:name w:val="Comment Subject Char"/>
    <w:basedOn w:val="CommentTextChar"/>
    <w:link w:val="CommentSubject"/>
    <w:uiPriority w:val="99"/>
    <w:semiHidden/>
    <w:rsid w:val="00F21C07"/>
    <w:rPr>
      <w:b/>
      <w:bCs/>
      <w:sz w:val="20"/>
      <w:szCs w:val="20"/>
    </w:rPr>
  </w:style>
  <w:style w:type="paragraph" w:styleId="BalloonText">
    <w:name w:val="Balloon Text"/>
    <w:basedOn w:val="Normal"/>
    <w:link w:val="BalloonTextChar"/>
    <w:uiPriority w:val="99"/>
    <w:semiHidden/>
    <w:unhideWhenUsed/>
    <w:rsid w:val="00A20B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0BF4"/>
    <w:rPr>
      <w:rFonts w:ascii="Segoe UI" w:hAnsi="Segoe UI" w:cs="Segoe UI"/>
      <w:sz w:val="18"/>
      <w:szCs w:val="18"/>
    </w:rPr>
  </w:style>
  <w:style w:type="paragraph" w:styleId="Revision">
    <w:name w:val="Revision"/>
    <w:hidden/>
    <w:uiPriority w:val="99"/>
    <w:semiHidden/>
    <w:rsid w:val="008E5B56"/>
    <w:pPr>
      <w:spacing w:after="0" w:line="240" w:lineRule="auto"/>
    </w:pPr>
  </w:style>
  <w:style w:type="paragraph" w:styleId="NormalWeb">
    <w:name w:val="Normal (Web)"/>
    <w:basedOn w:val="Normal"/>
    <w:uiPriority w:val="99"/>
    <w:semiHidden/>
    <w:unhideWhenUsed/>
    <w:rsid w:val="0072418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A5D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5D6E"/>
  </w:style>
  <w:style w:type="paragraph" w:styleId="Footer">
    <w:name w:val="footer"/>
    <w:basedOn w:val="Normal"/>
    <w:link w:val="FooterChar"/>
    <w:uiPriority w:val="99"/>
    <w:unhideWhenUsed/>
    <w:rsid w:val="007A5D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5D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6037573">
      <w:bodyDiv w:val="1"/>
      <w:marLeft w:val="0"/>
      <w:marRight w:val="0"/>
      <w:marTop w:val="0"/>
      <w:marBottom w:val="0"/>
      <w:divBdr>
        <w:top w:val="none" w:sz="0" w:space="0" w:color="auto"/>
        <w:left w:val="none" w:sz="0" w:space="0" w:color="auto"/>
        <w:bottom w:val="none" w:sz="0" w:space="0" w:color="auto"/>
        <w:right w:val="none" w:sz="0" w:space="0" w:color="auto"/>
      </w:divBdr>
    </w:div>
    <w:div w:id="628784327">
      <w:bodyDiv w:val="1"/>
      <w:marLeft w:val="0"/>
      <w:marRight w:val="0"/>
      <w:marTop w:val="0"/>
      <w:marBottom w:val="0"/>
      <w:divBdr>
        <w:top w:val="none" w:sz="0" w:space="0" w:color="auto"/>
        <w:left w:val="none" w:sz="0" w:space="0" w:color="auto"/>
        <w:bottom w:val="none" w:sz="0" w:space="0" w:color="auto"/>
        <w:right w:val="none" w:sz="0" w:space="0" w:color="auto"/>
      </w:divBdr>
    </w:div>
    <w:div w:id="1426851596">
      <w:bodyDiv w:val="1"/>
      <w:marLeft w:val="0"/>
      <w:marRight w:val="0"/>
      <w:marTop w:val="0"/>
      <w:marBottom w:val="0"/>
      <w:divBdr>
        <w:top w:val="none" w:sz="0" w:space="0" w:color="auto"/>
        <w:left w:val="none" w:sz="0" w:space="0" w:color="auto"/>
        <w:bottom w:val="none" w:sz="0" w:space="0" w:color="auto"/>
        <w:right w:val="none" w:sz="0" w:space="0" w:color="auto"/>
      </w:divBdr>
    </w:div>
    <w:div w:id="2002268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55AA9FEA1B0C8488ECC1717F3D734AA" ma:contentTypeVersion="17" ma:contentTypeDescription="Een nieuw document maken." ma:contentTypeScope="" ma:versionID="6e9407f7215dcc70695b9fd52ff3adaf">
  <xsd:schema xmlns:xsd="http://www.w3.org/2001/XMLSchema" xmlns:xs="http://www.w3.org/2001/XMLSchema" xmlns:p="http://schemas.microsoft.com/office/2006/metadata/properties" xmlns:ns3="51b019ba-310a-480b-bcf4-8615ca1f62cc" xmlns:ns4="dff199fc-c8e8-4bbb-8b3d-6866ee8d1e2f" targetNamespace="http://schemas.microsoft.com/office/2006/metadata/properties" ma:root="true" ma:fieldsID="54514717de9d808ead7c1bf5946b9e59" ns3:_="" ns4:_="">
    <xsd:import namespace="51b019ba-310a-480b-bcf4-8615ca1f62cc"/>
    <xsd:import namespace="dff199fc-c8e8-4bbb-8b3d-6866ee8d1e2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DateTaken" minOccurs="0"/>
                <xsd:element ref="ns3:MediaLengthInSeconds"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b019ba-310a-480b-bcf4-8615ca1f62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ff199fc-c8e8-4bbb-8b3d-6866ee8d1e2f"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SharingHintHash" ma:index="12"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51b019ba-310a-480b-bcf4-8615ca1f62cc" xsi:nil="true"/>
  </documentManagement>
</p:properties>
</file>

<file path=customXml/itemProps1.xml><?xml version="1.0" encoding="utf-8"?>
<ds:datastoreItem xmlns:ds="http://schemas.openxmlformats.org/officeDocument/2006/customXml" ds:itemID="{A075AD34-83E5-4908-8B4C-E6230E3EC95C}">
  <ds:schemaRefs>
    <ds:schemaRef ds:uri="http://schemas.microsoft.com/sharepoint/v3/contenttype/forms"/>
  </ds:schemaRefs>
</ds:datastoreItem>
</file>

<file path=customXml/itemProps2.xml><?xml version="1.0" encoding="utf-8"?>
<ds:datastoreItem xmlns:ds="http://schemas.openxmlformats.org/officeDocument/2006/customXml" ds:itemID="{4427E6E1-E3BD-417B-BA7D-2D81ACD99B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b019ba-310a-480b-bcf4-8615ca1f62cc"/>
    <ds:schemaRef ds:uri="dff199fc-c8e8-4bbb-8b3d-6866ee8d1e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B94687-6F1C-41D7-A0E6-90DD835CCA01}">
  <ds:schemaRefs>
    <ds:schemaRef ds:uri="http://schemas.openxmlformats.org/officeDocument/2006/bibliography"/>
  </ds:schemaRefs>
</ds:datastoreItem>
</file>

<file path=customXml/itemProps4.xml><?xml version="1.0" encoding="utf-8"?>
<ds:datastoreItem xmlns:ds="http://schemas.openxmlformats.org/officeDocument/2006/customXml" ds:itemID="{1899D4A3-ED2A-4563-ADC2-64129A0119C9}">
  <ds:schemaRefs>
    <ds:schemaRef ds:uri="http://schemas.microsoft.com/office/2006/metadata/properties"/>
    <ds:schemaRef ds:uri="http://schemas.microsoft.com/office/infopath/2007/PartnerControls"/>
    <ds:schemaRef ds:uri="51b019ba-310a-480b-bcf4-8615ca1f62c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528</Words>
  <Characters>3013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Goncalo Piedade</dc:creator>
  <cp:keywords/>
  <dc:description/>
  <cp:lastModifiedBy>Goncalo Piedade</cp:lastModifiedBy>
  <cp:revision>2</cp:revision>
  <cp:lastPrinted>2022-05-18T11:37:00Z</cp:lastPrinted>
  <dcterms:created xsi:type="dcterms:W3CDTF">2023-12-19T21:29:00Z</dcterms:created>
  <dcterms:modified xsi:type="dcterms:W3CDTF">2023-12-19T21:29:00Z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d6085159df4593574696a2915e1cb6f8c34ce50c6fd1cf459373e0fd374f5810</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http://www.zotero.org/styles/chicago-author-date</vt:lpwstr>
  </property>
  <property fmtid="{D5CDD505-2E9C-101B-9397-08002B2CF9AE}" pid="8" name="Mendeley Recent Style Name 2_1">
    <vt:lpwstr>Chicago Manual of Style 17th edition (author-date)</vt:lpwstr>
  </property>
  <property fmtid="{D5CDD505-2E9C-101B-9397-08002B2CF9AE}" pid="9" name="Mendeley Recent Style Id 3_1">
    <vt:lpwstr>http://www.zotero.org/styles/harvard-cite-them-right</vt:lpwstr>
  </property>
  <property fmtid="{D5CDD505-2E9C-101B-9397-08002B2CF9AE}" pid="10" name="Mendeley Recent Style Name 3_1">
    <vt:lpwstr>Cite Them Right 10th edition - Harvard</vt:lpwstr>
  </property>
  <property fmtid="{D5CDD505-2E9C-101B-9397-08002B2CF9AE}" pid="11" name="Mendeley Recent Style Id 4_1">
    <vt:lpwstr>http://www.zotero.org/styles/ieee</vt:lpwstr>
  </property>
  <property fmtid="{D5CDD505-2E9C-101B-9397-08002B2CF9AE}" pid="12" name="Mendeley Recent Style Name 4_1">
    <vt:lpwstr>IEEE</vt:lpwstr>
  </property>
  <property fmtid="{D5CDD505-2E9C-101B-9397-08002B2CF9AE}" pid="13" name="Mendeley Recent Style Id 5_1">
    <vt:lpwstr>http://www.zotero.org/styles/modern-humanities-research-association</vt:lpwstr>
  </property>
  <property fmtid="{D5CDD505-2E9C-101B-9397-08002B2CF9AE}" pid="14" name="Mendeley Recent Style Name 5_1">
    <vt:lpwstr>Modern Humanities Research Association 3rd edition (note with bibliography)</vt:lpwstr>
  </property>
  <property fmtid="{D5CDD505-2E9C-101B-9397-08002B2CF9AE}" pid="15" name="Mendeley Recent Style Id 6_1">
    <vt:lpwstr>http://www.zotero.org/styles/modern-language-association</vt:lpwstr>
  </property>
  <property fmtid="{D5CDD505-2E9C-101B-9397-08002B2CF9AE}" pid="16" name="Mendeley Recent Style Name 6_1">
    <vt:lpwstr>Modern Language Association 8th edition</vt:lpwstr>
  </property>
  <property fmtid="{D5CDD505-2E9C-101B-9397-08002B2CF9AE}" pid="17" name="Mendeley Recent Style Id 7_1">
    <vt:lpwstr>http://www.zotero.org/styles/nature</vt:lpwstr>
  </property>
  <property fmtid="{D5CDD505-2E9C-101B-9397-08002B2CF9AE}" pid="18" name="Mendeley Recent Style Name 7_1">
    <vt:lpwstr>Nature</vt:lpwstr>
  </property>
  <property fmtid="{D5CDD505-2E9C-101B-9397-08002B2CF9AE}" pid="19" name="Mendeley Recent Style Id 8_1">
    <vt:lpwstr>http://www.zotero.org/styles/vancouver</vt:lpwstr>
  </property>
  <property fmtid="{D5CDD505-2E9C-101B-9397-08002B2CF9AE}" pid="20" name="Mendeley Recent Style Name 8_1">
    <vt:lpwstr>Vancouver</vt:lpwstr>
  </property>
  <property fmtid="{D5CDD505-2E9C-101B-9397-08002B2CF9AE}" pid="21" name="Mendeley Recent Style Id 9_1">
    <vt:lpwstr>http://www.zotero.org/styles/viruses</vt:lpwstr>
  </property>
  <property fmtid="{D5CDD505-2E9C-101B-9397-08002B2CF9AE}" pid="22" name="Mendeley Recent Style Name 9_1">
    <vt:lpwstr>Viruses</vt:lpwstr>
  </property>
  <property fmtid="{D5CDD505-2E9C-101B-9397-08002B2CF9AE}" pid="23" name="ContentTypeId">
    <vt:lpwstr>0x010100455AA9FEA1B0C8488ECC1717F3D734AA</vt:lpwstr>
  </property>
</Properties>
</file>