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both"/>
        <w:rPr>
          <w:rFonts w:ascii="Times New Roman" w:hAnsi="Times New Roman"/>
          <w:b/>
          <w:sz w:val="24"/>
          <w:szCs w:val="24"/>
          <w:lang w:val="en-GB" w:eastAsia="zh-CN"/>
        </w:rPr>
      </w:pPr>
      <w:r>
        <w:rPr>
          <w:rFonts w:ascii="Times New Roman" w:hAnsi="Times New Roman"/>
          <w:b/>
          <w:sz w:val="24"/>
          <w:szCs w:val="24"/>
          <w:lang w:val="en-GB" w:eastAsia="zh-CN"/>
        </w:rPr>
        <w:t>Supplementary Material</w:t>
      </w:r>
    </w:p>
    <w:p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Region-specific variation in the electrophysiological responses of </w:t>
      </w:r>
      <w:r>
        <w:rPr>
          <w:rFonts w:ascii="Times New Roman" w:hAnsi="Times New Roman"/>
          <w:b/>
          <w:i/>
          <w:sz w:val="24"/>
          <w:szCs w:val="24"/>
          <w:lang w:eastAsia="zh-CN"/>
        </w:rPr>
        <w:t xml:space="preserve">Spodoptera frugiperda </w:t>
      </w:r>
      <w:r>
        <w:rPr>
          <w:rFonts w:ascii="Times New Roman" w:hAnsi="Times New Roman"/>
          <w:b/>
          <w:sz w:val="24"/>
          <w:szCs w:val="24"/>
          <w:lang w:eastAsia="zh-CN"/>
        </w:rPr>
        <w:t>to synthetic sex pheromone compounds</w:t>
      </w:r>
    </w:p>
    <w:p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>
      <w:pPr>
        <w:spacing w:line="600" w:lineRule="auto"/>
        <w:jc w:val="center"/>
        <w:rPr>
          <w:rFonts w:ascii="Times New Roman" w:hAnsi="Times New Roman"/>
          <w:sz w:val="22"/>
          <w:szCs w:val="22"/>
          <w:lang w:val="nl"/>
        </w:rPr>
      </w:pPr>
      <w:r>
        <w:rPr>
          <w:rFonts w:ascii="Times New Roman" w:hAnsi="Times New Roman"/>
          <w:sz w:val="22"/>
          <w:szCs w:val="22"/>
          <w:lang w:val="nl" w:eastAsia="zh-CN"/>
        </w:rPr>
        <w:t>*Mobolade D. Akinbulum</w:t>
      </w:r>
      <w:bookmarkStart w:id="0" w:name="_GoBack"/>
      <w:bookmarkEnd w:id="0"/>
      <w:r>
        <w:rPr>
          <w:rFonts w:ascii="Times New Roman" w:hAnsi="Times New Roman"/>
          <w:sz w:val="22"/>
          <w:szCs w:val="22"/>
          <w:lang w:val="nl" w:eastAsia="zh-CN"/>
        </w:rPr>
        <w:t>a</w:t>
      </w:r>
      <w:r>
        <w:rPr>
          <w:rFonts w:ascii="Times New Roman" w:hAnsi="Times New Roman"/>
          <w:sz w:val="22"/>
          <w:szCs w:val="22"/>
          <w:vertAlign w:val="superscript"/>
          <w:lang w:val="nl" w:eastAsia="zh-CN"/>
        </w:rPr>
        <w:t>1,2</w:t>
      </w:r>
      <w:r>
        <w:rPr>
          <w:rFonts w:ascii="Times New Roman" w:hAnsi="Times New Roman"/>
          <w:sz w:val="22"/>
          <w:szCs w:val="22"/>
          <w:lang w:val="nl" w:eastAsia="zh-CN"/>
        </w:rPr>
        <w:t>, Renée A.H. van Schaijk</w:t>
      </w:r>
      <w:r>
        <w:rPr>
          <w:rFonts w:ascii="Times New Roman" w:hAnsi="Times New Roman"/>
          <w:sz w:val="22"/>
          <w:szCs w:val="22"/>
          <w:vertAlign w:val="superscript"/>
          <w:lang w:val="nl" w:eastAsia="zh-CN"/>
        </w:rPr>
        <w:t>1</w:t>
      </w:r>
      <w:r>
        <w:rPr>
          <w:rFonts w:ascii="Times New Roman" w:hAnsi="Times New Roman"/>
          <w:sz w:val="22"/>
          <w:szCs w:val="22"/>
          <w:lang w:val="nl" w:eastAsia="zh-CN"/>
        </w:rPr>
        <w:t>, Peter Roessingh</w:t>
      </w:r>
      <w:r>
        <w:rPr>
          <w:rFonts w:ascii="Times New Roman" w:hAnsi="Times New Roman"/>
          <w:sz w:val="22"/>
          <w:szCs w:val="22"/>
          <w:vertAlign w:val="superscript"/>
          <w:lang w:val="nl" w:eastAsia="zh-CN"/>
        </w:rPr>
        <w:t>1</w:t>
      </w:r>
      <w:r>
        <w:rPr>
          <w:rFonts w:ascii="Times New Roman" w:hAnsi="Times New Roman"/>
          <w:sz w:val="22"/>
          <w:szCs w:val="22"/>
          <w:lang w:val="nl" w:eastAsia="zh-CN"/>
        </w:rPr>
        <w:t>, Astrid T. Groot</w:t>
      </w:r>
      <w:r>
        <w:rPr>
          <w:rFonts w:ascii="Times New Roman" w:hAnsi="Times New Roman"/>
          <w:sz w:val="22"/>
          <w:szCs w:val="22"/>
          <w:vertAlign w:val="superscript"/>
          <w:lang w:val="nl" w:eastAsia="zh-CN"/>
        </w:rPr>
        <w:t>1</w:t>
      </w:r>
    </w:p>
    <w:p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zh-CN"/>
        </w:rPr>
      </w:pPr>
      <w:r>
        <w:rPr>
          <w:rFonts w:ascii="Times New Roman" w:hAnsi="Times New Roman"/>
          <w:i/>
          <w:sz w:val="24"/>
          <w:szCs w:val="24"/>
          <w:lang w:eastAsia="zh-CN"/>
        </w:rPr>
        <w:t>1. University of Amsterdam, Department of Evolutionary and Population Biology, The Netherlands</w:t>
      </w:r>
    </w:p>
    <w:p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zh-CN"/>
        </w:rPr>
      </w:pPr>
    </w:p>
    <w:p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eastAsia="zh-CN"/>
        </w:rPr>
        <w:t>2. University of Ibadan, Department of Crop Protection and Environmental Biology, Ibadan, Nigeria</w:t>
      </w:r>
    </w:p>
    <w:p>
      <w:pPr>
        <w:spacing w:after="0" w:line="600" w:lineRule="auto"/>
        <w:jc w:val="center"/>
        <w:rPr>
          <w:rFonts w:ascii="Times New Roman" w:hAnsi="Times New Roman"/>
          <w:i/>
          <w:sz w:val="24"/>
          <w:szCs w:val="24"/>
        </w:rPr>
      </w:pPr>
    </w:p>
    <w:p>
      <w:pPr>
        <w:spacing w:after="0" w:line="60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>Corresponding author</w:t>
      </w:r>
      <w:r>
        <w:rPr>
          <w:rFonts w:ascii="Times New Roman" w:hAnsi="Times New Roman"/>
          <w:sz w:val="24"/>
          <w:szCs w:val="24"/>
          <w:lang w:val="en-GB" w:eastAsia="zh-CN"/>
        </w:rPr>
        <w:t>. Tel.:+31 6 86 279835,</w:t>
      </w:r>
      <w:r>
        <w:rPr>
          <w:rFonts w:ascii="Times New Roman" w:hAnsi="Times New Roman"/>
          <w:sz w:val="24"/>
          <w:szCs w:val="24"/>
          <w:lang w:eastAsia="zh-CN"/>
        </w:rPr>
        <w:t xml:space="preserve"> e-mail: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HYPERLINK "mailto:m.d.akinbuluma@uva.nl"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Style w:val="4"/>
          <w:rFonts w:ascii="Times New Roman" w:hAnsi="Times New Roman"/>
          <w:color w:val="auto"/>
          <w:sz w:val="24"/>
          <w:szCs w:val="24"/>
          <w:lang w:eastAsia="zh-CN"/>
        </w:rPr>
        <w:t>m.d.akinbuluma@uva.nl</w:t>
      </w:r>
      <w:r>
        <w:rPr>
          <w:rFonts w:ascii="Times New Roman" w:hAnsi="Times New Roman"/>
          <w:sz w:val="24"/>
          <w:szCs w:val="24"/>
        </w:rPr>
        <w:fldChar w:fldCharType="end"/>
      </w:r>
    </w:p>
    <w:p>
      <w:pPr>
        <w:spacing w:line="600" w:lineRule="auto"/>
        <w:rPr>
          <w:rFonts w:ascii="Times New Roman" w:hAnsi="Times New Roman"/>
          <w:sz w:val="24"/>
          <w:szCs w:val="24"/>
        </w:rPr>
      </w:pPr>
    </w:p>
    <w:p>
      <w:pPr>
        <w:spacing w:line="60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>
      <w:pPr>
        <w:spacing w:line="60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>
      <w:pPr>
        <w:rPr>
          <w:rFonts w:ascii="Times New Roman" w:hAnsi="Times New Roman"/>
          <w:b/>
          <w:sz w:val="24"/>
          <w:szCs w:val="24"/>
          <w:lang w:eastAsia="zh-CN"/>
        </w:rPr>
      </w:pPr>
    </w:p>
    <w:p>
      <w:pPr>
        <w:rPr>
          <w:rFonts w:ascii="Times New Roman" w:hAnsi="Times New Roman"/>
          <w:b/>
          <w:sz w:val="24"/>
          <w:szCs w:val="24"/>
          <w:lang w:eastAsia="zh-CN"/>
        </w:rPr>
      </w:pPr>
    </w:p>
    <w:p>
      <w:pPr>
        <w:rPr>
          <w:rFonts w:ascii="Times New Roman" w:hAnsi="Times New Roman"/>
          <w:b/>
          <w:sz w:val="24"/>
          <w:szCs w:val="24"/>
          <w:lang w:eastAsia="zh-CN"/>
        </w:rPr>
      </w:pPr>
    </w:p>
    <w:p>
      <w:pPr>
        <w:rPr>
          <w:rFonts w:ascii="Times New Roman" w:hAnsi="Times New Roman"/>
          <w:b/>
          <w:sz w:val="24"/>
          <w:szCs w:val="24"/>
          <w:lang w:eastAsia="zh-CN"/>
        </w:rPr>
      </w:pPr>
    </w:p>
    <w:p>
      <w:pPr>
        <w:rPr>
          <w:rFonts w:ascii="Times New Roman" w:hAnsi="Times New Roman"/>
          <w:b/>
          <w:sz w:val="24"/>
          <w:szCs w:val="24"/>
          <w:lang w:eastAsia="zh-CN"/>
        </w:rPr>
      </w:pPr>
    </w:p>
    <w:p>
      <w:pPr>
        <w:rPr>
          <w:rFonts w:ascii="Times New Roman" w:hAnsi="Times New Roman"/>
          <w:b/>
          <w:sz w:val="24"/>
          <w:szCs w:val="24"/>
          <w:lang w:eastAsia="zh-CN"/>
        </w:rPr>
      </w:pPr>
    </w:p>
    <w:p>
      <w:pPr>
        <w:rPr>
          <w:rFonts w:ascii="Times New Roman" w:hAnsi="Times New Roman"/>
          <w:b/>
          <w:sz w:val="24"/>
          <w:szCs w:val="24"/>
          <w:lang w:eastAsia="zh-CN"/>
        </w:rPr>
      </w:pPr>
    </w:p>
    <w:p>
      <w:pPr>
        <w:rPr>
          <w:rFonts w:ascii="Times New Roman" w:hAnsi="Times New Roman"/>
          <w:b/>
          <w:sz w:val="24"/>
          <w:szCs w:val="24"/>
          <w:lang w:eastAsia="zh-CN"/>
        </w:rPr>
      </w:pPr>
    </w:p>
    <w:p>
      <w:pPr>
        <w:rPr>
          <w:rFonts w:ascii="Times New Roman" w:hAnsi="Times New Roman"/>
          <w:b/>
          <w:sz w:val="24"/>
          <w:szCs w:val="24"/>
          <w:lang w:eastAsia="zh-CN"/>
        </w:rPr>
      </w:pPr>
    </w:p>
    <w:p>
      <w:pPr>
        <w:rPr>
          <w:rFonts w:ascii="Times New Roman" w:hAnsi="Times New Roman"/>
          <w:b/>
          <w:sz w:val="24"/>
          <w:szCs w:val="24"/>
          <w:lang w:eastAsia="zh-CN"/>
        </w:rPr>
      </w:pPr>
    </w:p>
    <w:p>
      <w:pPr>
        <w:rPr>
          <w:rFonts w:ascii="Times New Roman" w:hAnsi="Times New Roman"/>
          <w:b/>
          <w:sz w:val="24"/>
          <w:szCs w:val="24"/>
          <w:lang w:eastAsia="zh-CN"/>
        </w:rPr>
      </w:pPr>
    </w:p>
    <w:p>
      <w:pPr>
        <w:spacing w:after="0"/>
        <w:rPr>
          <w:rFonts w:hint="default" w:ascii="Times New Roman" w:hAnsi="Times New Roman"/>
          <w:lang w:val="nl-NL" w:eastAsia="zh-CN"/>
        </w:rPr>
      </w:pPr>
      <w:r>
        <w:rPr>
          <w:rFonts w:ascii="Times New Roman" w:hAnsi="Times New Roman"/>
          <w:lang w:val="en-GB" w:eastAsia="zh-CN"/>
        </w:rPr>
        <w:t>Supplementary  material</w:t>
      </w:r>
    </w:p>
    <w:p>
      <w:pPr>
        <w:spacing w:after="0"/>
        <w:rPr>
          <w:rFonts w:ascii="Times New Roman" w:hAnsi="Times New Roman"/>
          <w:lang w:val="en-GB" w:eastAsia="zh-CN"/>
        </w:rPr>
      </w:pPr>
    </w:p>
    <w:p>
      <w:pPr>
        <w:spacing w:after="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Supplementary Table </w:t>
      </w:r>
      <w:r>
        <w:rPr>
          <w:rFonts w:ascii="Times New Roman" w:hAnsi="Times New Roman"/>
          <w:sz w:val="24"/>
          <w:szCs w:val="24"/>
          <w:lang w:val="en-GB" w:eastAsia="zh-CN"/>
        </w:rPr>
        <w:t>S</w:t>
      </w:r>
      <w:r>
        <w:rPr>
          <w:rFonts w:ascii="Times New Roman" w:hAnsi="Times New Roman"/>
          <w:sz w:val="24"/>
          <w:szCs w:val="24"/>
          <w:lang w:eastAsia="zh-CN"/>
        </w:rPr>
        <w:t xml:space="preserve">1 Chemical components of Multicomponent blends (MCBs) of </w:t>
      </w:r>
    </w:p>
    <w:p>
      <w:pPr>
        <w:spacing w:after="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i/>
          <w:sz w:val="24"/>
          <w:szCs w:val="24"/>
          <w:lang w:eastAsia="zh-CN"/>
        </w:rPr>
        <w:t>S. frugiperda</w:t>
      </w:r>
      <w:r>
        <w:rPr>
          <w:rFonts w:ascii="Times New Roman" w:hAnsi="Times New Roman"/>
          <w:sz w:val="24"/>
          <w:szCs w:val="24"/>
          <w:lang w:eastAsia="zh-CN"/>
        </w:rPr>
        <w:t xml:space="preserve"> sex pheromone compounds.</w:t>
      </w:r>
    </w:p>
    <w:p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3"/>
        <w:tblpPr w:leftFromText="180" w:rightFromText="180" w:vertAnchor="text"/>
        <w:tblOverlap w:val="never"/>
        <w:tblW w:w="0" w:type="auto"/>
        <w:tblInd w:w="0" w:type="dxa"/>
        <w:tblBorders>
          <w:top w:val="single" w:color="auto" w:sz="2" w:space="0"/>
          <w:left w:val="none" w:color="auto" w:sz="0" w:space="0"/>
          <w:bottom w:val="single" w:color="auto" w:sz="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2367"/>
        <w:gridCol w:w="2555"/>
        <w:gridCol w:w="2348"/>
        <w:gridCol w:w="1236"/>
      </w:tblGrid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80" w:hRule="atLeast"/>
        </w:trPr>
        <w:tc>
          <w:tcPr>
            <w:tcW w:w="2500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Sex pheromone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Compounds</w:t>
            </w:r>
          </w:p>
        </w:tc>
        <w:tc>
          <w:tcPr>
            <w:tcW w:w="2700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Molecular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Formula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MCB 1</w:t>
            </w:r>
          </w:p>
        </w:tc>
        <w:tc>
          <w:tcPr>
            <w:tcW w:w="1300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MCB 2</w:t>
            </w: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20" w:hRule="atLeast"/>
        </w:trPr>
        <w:tc>
          <w:tcPr>
            <w:tcW w:w="2500" w:type="dxa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E7- 12:OAc</w:t>
            </w:r>
          </w:p>
        </w:tc>
        <w:tc>
          <w:tcPr>
            <w:tcW w:w="2700" w:type="dxa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2</w:t>
            </w:r>
          </w:p>
        </w:tc>
        <w:tc>
          <w:tcPr>
            <w:tcW w:w="2480" w:type="dxa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x ng/µl</w:t>
            </w:r>
          </w:p>
        </w:tc>
        <w:tc>
          <w:tcPr>
            <w:tcW w:w="1300" w:type="dxa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40" w:hRule="atLeast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Z7-12:OAc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x ng/µl</w:t>
            </w: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20" w:hRule="atLeast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Z9-12:OAc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x ng/µl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x ng/µl</w:t>
            </w: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20" w:hRule="atLeast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Z9-14:OAc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x ng/µl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x ng/µl</w:t>
            </w: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40" w:hRule="atLeast"/>
        </w:trPr>
        <w:tc>
          <w:tcPr>
            <w:tcW w:w="2500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Z11-16:OAc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zh-CN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x ng/µl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x ng/µl</w:t>
            </w:r>
          </w:p>
        </w:tc>
      </w:tr>
    </w:tbl>
    <w:p>
      <w:pPr>
        <w:spacing w:before="240"/>
        <w:jc w:val="both"/>
        <w:rPr>
          <w:rFonts w:ascii="Times New Roman" w:hAnsi="Times New Roman"/>
          <w:color w:val="00B050"/>
          <w:sz w:val="24"/>
          <w:szCs w:val="24"/>
        </w:rPr>
      </w:pPr>
    </w:p>
    <w:p>
      <w:pPr>
        <w:jc w:val="both"/>
        <w:rPr>
          <w:rFonts w:hint="default" w:ascii="Times New Roman" w:hAnsi="Times New Roman"/>
          <w:sz w:val="24"/>
          <w:szCs w:val="24"/>
          <w:lang w:val="nl-NL" w:eastAsia="zh-CN"/>
        </w:rPr>
      </w:pPr>
      <w:r>
        <w:rPr>
          <w:rFonts w:ascii="Times New Roman" w:hAnsi="Times New Roman"/>
          <w:sz w:val="24"/>
          <w:szCs w:val="24"/>
          <w:lang w:val="en-GB" w:eastAsia="zh-CN"/>
        </w:rPr>
        <w:t>Supplementary S1 Details of GC-EAD</w:t>
      </w:r>
    </w:p>
    <w:p>
      <w:pPr>
        <w:jc w:val="both"/>
        <w:rPr>
          <w:rFonts w:ascii="Times New Roman" w:hAnsi="Times New Roman"/>
          <w:color w:val="0000FF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A 2-m-long, 0.53-mm retention ga</w:t>
      </w:r>
      <w:r>
        <w:rPr>
          <w:rFonts w:ascii="Times New Roman" w:hAnsi="Times New Roman"/>
          <w:color w:val="131413"/>
          <w:sz w:val="24"/>
          <w:szCs w:val="24"/>
          <w:lang w:eastAsia="zh-CN"/>
        </w:rPr>
        <w:t>p (Phenomenex, Utrecht, the Netherlands) was connected to a glass press-fit (Techrom, Purmerend, the Netherlands) to a 30-m EC-5 column, 0.25 mm inner diameter,0.25</w:t>
      </w:r>
      <w:r>
        <w:rPr>
          <w:rFonts w:ascii="Times New Roman" w:hAnsi="Times New Roman"/>
          <w:i/>
          <w:sz w:val="24"/>
          <w:szCs w:val="24"/>
          <w:lang w:eastAsia="zh-CN"/>
        </w:rPr>
        <w:t>µ</w:t>
      </w:r>
      <w:r>
        <w:rPr>
          <w:rFonts w:ascii="Times New Roman" w:hAnsi="Times New Roman"/>
          <w:sz w:val="24"/>
          <w:szCs w:val="24"/>
          <w:lang w:eastAsia="zh-CN"/>
        </w:rPr>
        <w:t>m</w:t>
      </w:r>
      <w:r>
        <w:rPr>
          <w:rFonts w:ascii="Times New Roman" w:hAnsi="Times New Roman"/>
          <w:color w:val="131413"/>
          <w:sz w:val="24"/>
          <w:szCs w:val="24"/>
          <w:lang w:eastAsia="zh-CN"/>
        </w:rPr>
        <w:t xml:space="preserve"> film (Fisher Scientific Pittsburgh, PA, USA). The effluent from this column was split using a Dean’s switch, controlled with N</w:t>
      </w:r>
      <w:r>
        <w:rPr>
          <w:rFonts w:ascii="Times New Roman" w:hAnsi="Times New Roman"/>
          <w:color w:val="131413"/>
          <w:sz w:val="24"/>
          <w:szCs w:val="24"/>
          <w:vertAlign w:val="subscript"/>
          <w:lang w:eastAsia="zh-CN"/>
        </w:rPr>
        <w:t xml:space="preserve">2, </w:t>
      </w:r>
      <w:r>
        <w:rPr>
          <w:rFonts w:ascii="Times New Roman" w:hAnsi="Times New Roman"/>
          <w:color w:val="131413"/>
          <w:sz w:val="24"/>
          <w:szCs w:val="24"/>
          <w:lang w:eastAsia="zh-CN"/>
        </w:rPr>
        <w:t xml:space="preserve">while the pressure on both control inputs was kept equal to create a 1:1 split ratio. The two outlets of the switch were connected to sections of 100 cm × 0.25-mm-diameter deactivated capillary column (Phenomenex), one going to the standard flame ionization detector (FID) set at </w:t>
      </w:r>
      <w:r>
        <w:rPr>
          <w:rFonts w:ascii="Times New Roman" w:hAnsi="Times New Roman"/>
          <w:sz w:val="24"/>
          <w:szCs w:val="24"/>
          <w:lang w:eastAsia="zh-CN"/>
        </w:rPr>
        <w:t>250 °C,</w:t>
      </w:r>
      <w:r>
        <w:rPr>
          <w:rFonts w:ascii="Times New Roman" w:hAnsi="Times New Roman"/>
          <w:color w:val="131413"/>
          <w:sz w:val="24"/>
          <w:szCs w:val="24"/>
          <w:lang w:eastAsia="zh-CN"/>
        </w:rPr>
        <w:t xml:space="preserve"> the other leaving the GC oven </w:t>
      </w:r>
      <w:r>
        <w:rPr>
          <w:rFonts w:ascii="Times New Roman" w:hAnsi="Times New Roman"/>
          <w:color w:val="131413"/>
          <w:sz w:val="24"/>
          <w:szCs w:val="24"/>
          <w:shd w:val="clear" w:color="auto" w:fill="FFFFFF"/>
        </w:rPr>
        <w:t xml:space="preserve">via a 30-cm-long heated transfer-line (Syntech) set to 240 °C.The capillary emerging from the transfer-line protruded through a 0.5 mm hole into a 1-cm-wide, L-shaped glass tube (Syntech) carrying a charcoal filtered and humidified airstream of </w:t>
      </w:r>
      <w:r>
        <w:rPr>
          <w:rFonts w:ascii="Times New Roman" w:hAnsi="Times New Roman"/>
          <w:color w:val="131413"/>
          <w:sz w:val="24"/>
          <w:szCs w:val="24"/>
          <w:shd w:val="clear" w:color="auto" w:fill="FFFFFF"/>
          <w:lang w:val="en-GB"/>
        </w:rPr>
        <w:t xml:space="preserve">1 </w:t>
      </w:r>
      <w:r>
        <w:rPr>
          <w:rFonts w:ascii="Times New Roman" w:hAnsi="Times New Roman"/>
          <w:color w:val="131413"/>
          <w:sz w:val="24"/>
          <w:szCs w:val="24"/>
          <w:shd w:val="clear" w:color="auto" w:fill="FFFFFF"/>
        </w:rPr>
        <w:t xml:space="preserve">l/min from a CS-55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airflow controller (Syntech) to the preparation that was placed directly in front of the outlet. </w:t>
      </w:r>
      <w:r>
        <w:rPr>
          <w:rFonts w:ascii="Times New Roman" w:hAnsi="Times New Roman"/>
          <w:sz w:val="24"/>
          <w:szCs w:val="24"/>
          <w:lang w:eastAsia="zh-CN"/>
        </w:rPr>
        <w:t>The oven temperature program started at 60°C</w:t>
      </w:r>
      <w:r>
        <w:rPr>
          <w:rFonts w:ascii="Times New Roman" w:hAnsi="Times New Roman"/>
          <w:sz w:val="24"/>
          <w:szCs w:val="24"/>
          <w:lang w:val="en-GB" w:eastAsia="zh-CN"/>
        </w:rPr>
        <w:t xml:space="preserve"> for 10 seconds and stepped to 80</w:t>
      </w:r>
      <w:r>
        <w:rPr>
          <w:rFonts w:ascii="Times New Roman" w:hAnsi="Times New Roman"/>
          <w:sz w:val="24"/>
          <w:szCs w:val="24"/>
          <w:lang w:eastAsia="zh-CN"/>
        </w:rPr>
        <w:t>°C. A</w:t>
      </w:r>
      <w:r>
        <w:rPr>
          <w:rFonts w:ascii="Times New Roman" w:hAnsi="Times New Roman"/>
          <w:sz w:val="24"/>
          <w:szCs w:val="24"/>
          <w:lang w:val="en-GB" w:eastAsia="zh-CN"/>
        </w:rPr>
        <w:t xml:space="preserve">fter 5 minutes, temperature was programmed </w:t>
      </w:r>
      <w:r>
        <w:rPr>
          <w:rFonts w:ascii="Times New Roman" w:hAnsi="Times New Roman"/>
          <w:sz w:val="24"/>
          <w:szCs w:val="24"/>
          <w:lang w:eastAsia="zh-CN"/>
        </w:rPr>
        <w:t>to</w:t>
      </w:r>
      <w:r>
        <w:rPr>
          <w:rFonts w:ascii="Times New Roman" w:hAnsi="Times New Roman"/>
          <w:sz w:val="24"/>
          <w:szCs w:val="24"/>
          <w:lang w:val="en-GB" w:eastAsia="zh-CN"/>
        </w:rPr>
        <w:t xml:space="preserve"> increase to</w:t>
      </w:r>
      <w:r>
        <w:rPr>
          <w:rFonts w:ascii="Times New Roman" w:hAnsi="Times New Roman"/>
          <w:sz w:val="24"/>
          <w:szCs w:val="24"/>
          <w:lang w:eastAsia="zh-CN"/>
        </w:rPr>
        <w:t xml:space="preserve"> a maximum of 250°C at 10°C/min.</w:t>
      </w:r>
      <w:r>
        <w:rPr>
          <w:rFonts w:ascii="Times New Roman" w:hAnsi="Times New Roman"/>
          <w:color w:val="0000FF"/>
          <w:sz w:val="24"/>
          <w:szCs w:val="24"/>
          <w:lang w:eastAsia="zh-CN"/>
        </w:rPr>
        <w:t xml:space="preserve"> </w:t>
      </w:r>
    </w:p>
    <w:p>
      <w:pPr>
        <w:spacing w:before="240"/>
        <w:jc w:val="both"/>
        <w:rPr>
          <w:rFonts w:ascii="Times New Roman" w:hAnsi="Times New Roman"/>
          <w:color w:val="00B050"/>
          <w:sz w:val="24"/>
          <w:szCs w:val="24"/>
        </w:rPr>
      </w:pPr>
    </w:p>
    <w:p>
      <w:pPr>
        <w:spacing w:before="240"/>
        <w:jc w:val="both"/>
        <w:rPr>
          <w:rFonts w:ascii="Times New Roman" w:hAnsi="Times New Roman"/>
          <w:color w:val="00B050"/>
          <w:sz w:val="24"/>
          <w:szCs w:val="24"/>
        </w:rPr>
      </w:pPr>
    </w:p>
    <w:p>
      <w:pPr>
        <w:spacing w:before="240"/>
        <w:jc w:val="both"/>
        <w:rPr>
          <w:rFonts w:ascii="Times New Roman" w:hAnsi="Times New Roman"/>
          <w:color w:val="00B050"/>
          <w:sz w:val="24"/>
          <w:szCs w:val="24"/>
        </w:rPr>
      </w:pPr>
    </w:p>
    <w:p>
      <w:pPr>
        <w:spacing w:before="240"/>
        <w:jc w:val="both"/>
        <w:rPr>
          <w:rFonts w:ascii="Times New Roman" w:hAnsi="Times New Roman"/>
          <w:color w:val="00B050"/>
          <w:sz w:val="24"/>
          <w:szCs w:val="24"/>
        </w:rPr>
      </w:pPr>
    </w:p>
    <w:p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>Supplementary Table</w:t>
      </w:r>
      <w:r>
        <w:rPr>
          <w:rFonts w:ascii="Times New Roman" w:hAnsi="Times New Roman"/>
          <w:sz w:val="24"/>
          <w:szCs w:val="24"/>
          <w:lang w:val="en-GB" w:eastAsia="zh-CN"/>
        </w:rPr>
        <w:t xml:space="preserve"> S2 </w:t>
      </w:r>
      <w:r>
        <w:rPr>
          <w:rFonts w:ascii="Times New Roman" w:hAnsi="Times New Roman"/>
          <w:sz w:val="24"/>
          <w:szCs w:val="24"/>
          <w:lang w:eastAsia="zh-CN"/>
        </w:rPr>
        <w:t xml:space="preserve">Overview of the fixed factors in the best fitting models selected by the Akaike's Information criterium (AIC). </w:t>
      </w:r>
      <w:r>
        <w:rPr>
          <w:rFonts w:ascii="Times New Roman" w:hAnsi="Times New Roman"/>
          <w:iCs/>
          <w:sz w:val="24"/>
          <w:szCs w:val="24"/>
          <w:lang w:eastAsia="zh-CN"/>
        </w:rPr>
        <w:t>In all models, the response was EAD amplitudes and insect ID was incorporated as random factor.</w:t>
      </w:r>
    </w:p>
    <w:tbl>
      <w:tblPr>
        <w:tblStyle w:val="3"/>
        <w:tblW w:w="0" w:type="auto"/>
        <w:tblInd w:w="0" w:type="dxa"/>
        <w:tblBorders>
          <w:top w:val="single" w:color="auto" w:sz="2" w:space="0"/>
          <w:left w:val="none" w:color="auto" w:sz="0" w:space="0"/>
          <w:bottom w:val="single" w:color="auto" w:sz="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1413"/>
        <w:gridCol w:w="3354"/>
        <w:gridCol w:w="911"/>
        <w:gridCol w:w="1029"/>
        <w:gridCol w:w="1799"/>
      </w:tblGrid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60" w:hRule="atLeast"/>
        </w:trPr>
        <w:tc>
          <w:tcPr>
            <w:tcW w:w="1413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Model</w:t>
            </w:r>
          </w:p>
        </w:tc>
        <w:tc>
          <w:tcPr>
            <w:tcW w:w="3354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Model (fixed factors)</w:t>
            </w:r>
          </w:p>
        </w:tc>
        <w:tc>
          <w:tcPr>
            <w:tcW w:w="911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N (cases)</w:t>
            </w:r>
          </w:p>
        </w:tc>
        <w:tc>
          <w:tcPr>
            <w:tcW w:w="1029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N (males)</w:t>
            </w:r>
          </w:p>
        </w:tc>
        <w:tc>
          <w:tcPr>
            <w:tcW w:w="1799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AIC</w:t>
            </w: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80" w:hRule="atLeast"/>
        </w:trPr>
        <w:tc>
          <w:tcPr>
            <w:tcW w:w="1413" w:type="dxa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Regional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Comparison</w:t>
            </w:r>
          </w:p>
        </w:tc>
        <w:tc>
          <w:tcPr>
            <w:tcW w:w="3354" w:type="dxa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concentration, compound, population, compound:population  compound:concentration</w:t>
            </w:r>
          </w:p>
        </w:tc>
        <w:tc>
          <w:tcPr>
            <w:tcW w:w="911" w:type="dxa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498</w:t>
            </w:r>
          </w:p>
        </w:tc>
        <w:tc>
          <w:tcPr>
            <w:tcW w:w="1029" w:type="dxa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799" w:type="dxa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-406.5798</w:t>
            </w: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80" w:hRule="atLeast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Mitotype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comparison</w:t>
            </w:r>
          </w:p>
        </w:tc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concentration, compound, population, compound:strain:population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397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-363.0666</w:t>
            </w: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20" w:hRule="atLeast"/>
        </w:trPr>
        <w:tc>
          <w:tcPr>
            <w:tcW w:w="1413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Continent comparison</w:t>
            </w:r>
          </w:p>
        </w:tc>
        <w:tc>
          <w:tcPr>
            <w:tcW w:w="3354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concentration, compound, continent, compound:continent, compound:concentration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697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-654.1676</w:t>
            </w:r>
          </w:p>
        </w:tc>
      </w:tr>
    </w:tbl>
    <w:p>
      <w:pPr>
        <w:spacing w:after="0"/>
        <w:rPr>
          <w:rFonts w:ascii="Times New Roman" w:hAnsi="Times New Roman"/>
          <w:i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400849"/>
    <w:rsid w:val="000B6813"/>
    <w:rsid w:val="000C3327"/>
    <w:rsid w:val="000E3B1D"/>
    <w:rsid w:val="001738DC"/>
    <w:rsid w:val="00253B0E"/>
    <w:rsid w:val="003405F0"/>
    <w:rsid w:val="00355BBF"/>
    <w:rsid w:val="00431B6A"/>
    <w:rsid w:val="005523D0"/>
    <w:rsid w:val="00604236"/>
    <w:rsid w:val="0079558D"/>
    <w:rsid w:val="00876B2F"/>
    <w:rsid w:val="00A018D3"/>
    <w:rsid w:val="00A914B5"/>
    <w:rsid w:val="00C508B8"/>
    <w:rsid w:val="00D97D72"/>
    <w:rsid w:val="00DF4B0C"/>
    <w:rsid w:val="00E3154D"/>
    <w:rsid w:val="00F15F14"/>
    <w:rsid w:val="019326FC"/>
    <w:rsid w:val="41426D86"/>
    <w:rsid w:val="55400849"/>
    <w:rsid w:val="5F333C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color w:val="0000FF"/>
      <w:u w:val="single"/>
    </w:rPr>
  </w:style>
  <w:style w:type="paragraph" w:customStyle="1" w:styleId="5">
    <w:name w:val="_Style 4"/>
    <w:hidden/>
    <w:unhideWhenUsed/>
    <w:uiPriority w:val="99"/>
    <w:rPr>
      <w:rFonts w:ascii="Calibri" w:hAnsi="Calibri" w:eastAsia="Calibri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434</Words>
  <Characters>2393</Characters>
  <Lines>19</Lines>
  <Paragraphs>5</Paragraphs>
  <TotalTime>2</TotalTime>
  <ScaleCrop>false</ScaleCrop>
  <LinksUpToDate>false</LinksUpToDate>
  <CharactersWithSpaces>2822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2023-12-18T10:52:00Z</dcterms:created>
  <dc:creator>MAKINBU</dc:creator>
  <cp:lastModifiedBy>MAKINBU</cp:lastModifiedBy>
  <dcterms:modified xsi:type="dcterms:W3CDTF">2023-12-19T17:26:47Z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070C1EDEC2B24C3B8736D1D990BD8649_13</vt:lpwstr>
  </property>
</Properties>
</file>