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522CD" w14:textId="6748766D" w:rsidR="0002305D" w:rsidRPr="007216B0" w:rsidRDefault="007216B0" w:rsidP="00AB243F">
      <w:pPr>
        <w:spacing w:after="0" w:line="240" w:lineRule="auto"/>
        <w:rPr>
          <w:rFonts w:ascii="Arial" w:hAnsi="Arial" w:cs="Arial"/>
          <w:b/>
          <w:lang w:val="en"/>
        </w:rPr>
      </w:pPr>
      <w:r w:rsidRPr="007216B0">
        <w:rPr>
          <w:rFonts w:ascii="Arial" w:hAnsi="Arial" w:cs="Arial"/>
          <w:b/>
          <w:lang w:val="en"/>
        </w:rPr>
        <w:t>Supplementary Methods</w:t>
      </w:r>
    </w:p>
    <w:p w14:paraId="6D7FCBB4" w14:textId="77777777" w:rsidR="00AB243F" w:rsidRDefault="00AB243F" w:rsidP="00AB243F">
      <w:pPr>
        <w:spacing w:after="0" w:line="240" w:lineRule="auto"/>
        <w:rPr>
          <w:rFonts w:ascii="Arial" w:hAnsi="Arial" w:cs="Arial"/>
          <w:u w:val="single"/>
        </w:rPr>
      </w:pPr>
    </w:p>
    <w:p w14:paraId="4609FAFD" w14:textId="2FB6DE66" w:rsidR="00AB243F" w:rsidRPr="00AB243F" w:rsidRDefault="00AB243F" w:rsidP="00AB243F">
      <w:pPr>
        <w:spacing w:after="0" w:line="240" w:lineRule="auto"/>
        <w:rPr>
          <w:rFonts w:ascii="Arial" w:hAnsi="Arial" w:cs="Arial"/>
          <w:u w:val="single"/>
        </w:rPr>
      </w:pPr>
      <w:r w:rsidRPr="00AB243F">
        <w:rPr>
          <w:rFonts w:ascii="Arial" w:hAnsi="Arial" w:cs="Arial"/>
          <w:u w:val="single"/>
        </w:rPr>
        <w:t>LCGA Modelling</w:t>
      </w:r>
    </w:p>
    <w:p w14:paraId="6043989A" w14:textId="26F9283A" w:rsidR="0002305D" w:rsidRPr="00715DF3" w:rsidRDefault="00AB243F" w:rsidP="00AB243F">
      <w:pPr>
        <w:spacing w:after="0" w:line="240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For these LCGA</w:t>
      </w:r>
      <w:r w:rsidR="0002305D" w:rsidRPr="00715DF3">
        <w:rPr>
          <w:rFonts w:ascii="Arial" w:hAnsi="Arial" w:cs="Arial"/>
        </w:rPr>
        <w:t xml:space="preserve"> a quadratic term was included to allow for the possibility of a non-linear trajectory of change over time and data was stratified by disease duration (early, mid, and later). In line with this latent variable method for estimating mobility*, the interpretation of the model slopes, linear and quadratic, respectively, are the change in the z-score of a normal distribution for a one-unit change in time (years) and time squared. </w:t>
      </w:r>
    </w:p>
    <w:p w14:paraId="1C422616" w14:textId="5B4EF17A" w:rsidR="0002305D" w:rsidRPr="00715DF3" w:rsidRDefault="0002305D" w:rsidP="00AB243F">
      <w:pPr>
        <w:spacing w:after="0" w:line="240" w:lineRule="auto"/>
        <w:ind w:firstLine="720"/>
        <w:rPr>
          <w:rFonts w:ascii="Arial" w:hAnsi="Arial" w:cs="Arial"/>
        </w:rPr>
      </w:pPr>
      <w:r w:rsidRPr="00715DF3">
        <w:rPr>
          <w:rFonts w:ascii="Arial" w:hAnsi="Arial" w:cs="Arial"/>
        </w:rPr>
        <w:t xml:space="preserve">We used the MLR option in </w:t>
      </w:r>
      <w:proofErr w:type="spellStart"/>
      <w:r w:rsidRPr="00715DF3">
        <w:rPr>
          <w:rFonts w:ascii="Arial" w:hAnsi="Arial" w:cs="Arial"/>
        </w:rPr>
        <w:t>MPlus</w:t>
      </w:r>
      <w:proofErr w:type="spellEnd"/>
      <w:r w:rsidRPr="00715DF3">
        <w:rPr>
          <w:rFonts w:ascii="Arial" w:hAnsi="Arial" w:cs="Arial"/>
        </w:rPr>
        <w:t xml:space="preserve"> to perform model estimation </w:t>
      </w:r>
      <w:r w:rsidRPr="00715DF3">
        <w:rPr>
          <w:rFonts w:ascii="Arial" w:hAnsi="Arial" w:cs="Arial"/>
        </w:rPr>
        <w:fldChar w:fldCharType="begin"/>
      </w:r>
      <w:r w:rsidR="00AB243F">
        <w:rPr>
          <w:rFonts w:ascii="Arial" w:hAnsi="Arial" w:cs="Arial"/>
        </w:rPr>
        <w:instrText xml:space="preserve"> ADDIN EN.CITE &lt;EndNote&gt;&lt;Cite&gt;&lt;Author&gt;Muthén&lt;/Author&gt;&lt;Year&gt;2012&lt;/Year&gt;&lt;RecNum&gt;24&lt;/RecNum&gt;&lt;DisplayText&gt;&lt;style face="superscript"&gt;1, 2&lt;/style&gt;&lt;/DisplayText&gt;&lt;record&gt;&lt;rec-number&gt;24&lt;/rec-number&gt;&lt;foreign-keys&gt;&lt;key app="EN" db-id="r09v2zwtlfzwr4eefv2vr5vl0w00vzppz5v0" timestamp="1688597848"&gt;24&lt;/key&gt;&lt;/foreign-keys&gt;&lt;ref-type name="Journal Article"&gt;17&lt;/ref-type&gt;&lt;contributors&gt;&lt;authors&gt;&lt;author&gt;Muthén, Linda K&lt;/author&gt;&lt;author&gt;Muthén, Bengt O&lt;/author&gt;&lt;/authors&gt;&lt;/contributors&gt;&lt;titles&gt;&lt;title&gt;Mplus&lt;/title&gt;&lt;secondary-title&gt;The comprehensive modelling program for applied researchers: user’s guide&lt;/secondary-title&gt;&lt;/titles&gt;&lt;periodical&gt;&lt;full-title&gt;The comprehensive modelling program for applied researchers: user’s guide&lt;/full-title&gt;&lt;/periodical&gt;&lt;volume&gt;5&lt;/volume&gt;&lt;dates&gt;&lt;year&gt;2012&lt;/year&gt;&lt;/dates&gt;&lt;urls&gt;&lt;/urls&gt;&lt;/record&gt;&lt;/Cite&gt;&lt;Cite&gt;&lt;Author&gt;Huber&lt;/Author&gt;&lt;Year&gt;1967&lt;/Year&gt;&lt;RecNum&gt;25&lt;/RecNum&gt;&lt;record&gt;&lt;rec-number&gt;25&lt;/rec-number&gt;&lt;foreign-keys&gt;&lt;key app="EN" db-id="r09v2zwtlfzwr4eefv2vr5vl0w00vzppz5v0" timestamp="1688597848"&gt;25&lt;/key&gt;&lt;/foreign-keys&gt;&lt;ref-type name="Conference Proceedings"&gt;10&lt;/ref-type&gt;&lt;contributors&gt;&lt;authors&gt;&lt;author&gt;Huber, Peter J&lt;/author&gt;&lt;/authors&gt;&lt;/contributors&gt;&lt;titles&gt;&lt;title&gt;The behavior of maximum likelihood estimates under nonstandard conditions&lt;/title&gt;&lt;secondary-title&gt;Proceedings of the fifth Berkeley symposium on mathematical statistics and probability&lt;/secondary-title&gt;&lt;/titles&gt;&lt;pages&gt;221-233&lt;/pages&gt;&lt;volume&gt;1&lt;/volume&gt;&lt;number&gt;1&lt;/number&gt;&lt;dates&gt;&lt;year&gt;1967&lt;/year&gt;&lt;/dates&gt;&lt;urls&gt;&lt;/urls&gt;&lt;/record&gt;&lt;/Cite&gt;&lt;/EndNote&gt;</w:instrText>
      </w:r>
      <w:r w:rsidRPr="00715DF3">
        <w:rPr>
          <w:rFonts w:ascii="Arial" w:hAnsi="Arial" w:cs="Arial"/>
        </w:rPr>
        <w:fldChar w:fldCharType="separate"/>
      </w:r>
      <w:r w:rsidR="00AB243F" w:rsidRPr="00AB243F">
        <w:rPr>
          <w:rFonts w:ascii="Arial" w:hAnsi="Arial" w:cs="Arial"/>
          <w:noProof/>
          <w:vertAlign w:val="superscript"/>
        </w:rPr>
        <w:t>1, 2</w:t>
      </w:r>
      <w:r w:rsidRPr="00715DF3">
        <w:rPr>
          <w:rFonts w:ascii="Arial" w:hAnsi="Arial" w:cs="Arial"/>
        </w:rPr>
        <w:fldChar w:fldCharType="end"/>
      </w:r>
      <w:r w:rsidRPr="00715DF3">
        <w:rPr>
          <w:rFonts w:ascii="Arial" w:hAnsi="Arial" w:cs="Arial"/>
        </w:rPr>
        <w:t xml:space="preserve">, which uses maximum likelihood to estimate the parameters and a robust Huber-White sandwich estimator to calculate standard errors </w:t>
      </w:r>
      <w:r w:rsidRPr="00715DF3">
        <w:rPr>
          <w:rFonts w:ascii="Arial" w:hAnsi="Arial" w:cs="Arial"/>
        </w:rPr>
        <w:fldChar w:fldCharType="begin"/>
      </w:r>
      <w:r w:rsidR="00AB243F">
        <w:rPr>
          <w:rFonts w:ascii="Arial" w:hAnsi="Arial" w:cs="Arial"/>
        </w:rPr>
        <w:instrText xml:space="preserve"> ADDIN EN.CITE &lt;EndNote&gt;&lt;Cite&gt;&lt;Author&gt;Huber&lt;/Author&gt;&lt;Year&gt;1967&lt;/Year&gt;&lt;RecNum&gt;25&lt;/RecNum&gt;&lt;DisplayText&gt;&lt;style face="superscript"&gt;2&lt;/style&gt;&lt;/DisplayText&gt;&lt;record&gt;&lt;rec-number&gt;25&lt;/rec-number&gt;&lt;foreign-keys&gt;&lt;key app="EN" db-id="r09v2zwtlfzwr4eefv2vr5vl0w00vzppz5v0" timestamp="1688597848"&gt;25&lt;/key&gt;&lt;/foreign-keys&gt;&lt;ref-type name="Conference Proceedings"&gt;10&lt;/ref-type&gt;&lt;contributors&gt;&lt;authors&gt;&lt;author&gt;Huber, Peter J&lt;/author&gt;&lt;/authors&gt;&lt;/contributors&gt;&lt;titles&gt;&lt;title&gt;The behavior of maximum likelihood estimates under nonstandard conditions&lt;/title&gt;&lt;secondary-title&gt;Proceedings of the fifth Berkeley symposium on mathematical statistics and probability&lt;/secondary-title&gt;&lt;/titles&gt;&lt;pages&gt;221-233&lt;/pages&gt;&lt;volume&gt;1&lt;/volume&gt;&lt;number&gt;1&lt;/number&gt;&lt;dates&gt;&lt;year&gt;1967&lt;/year&gt;&lt;/dates&gt;&lt;urls&gt;&lt;/urls&gt;&lt;/record&gt;&lt;/Cite&gt;&lt;/EndNote&gt;</w:instrText>
      </w:r>
      <w:r w:rsidRPr="00715DF3">
        <w:rPr>
          <w:rFonts w:ascii="Arial" w:hAnsi="Arial" w:cs="Arial"/>
        </w:rPr>
        <w:fldChar w:fldCharType="separate"/>
      </w:r>
      <w:r w:rsidR="00AB243F" w:rsidRPr="00AB243F">
        <w:rPr>
          <w:rFonts w:ascii="Arial" w:hAnsi="Arial" w:cs="Arial"/>
          <w:noProof/>
          <w:vertAlign w:val="superscript"/>
        </w:rPr>
        <w:t>2</w:t>
      </w:r>
      <w:r w:rsidRPr="00715DF3">
        <w:rPr>
          <w:rFonts w:ascii="Arial" w:hAnsi="Arial" w:cs="Arial"/>
        </w:rPr>
        <w:fldChar w:fldCharType="end"/>
      </w:r>
      <w:r w:rsidRPr="00715DF3">
        <w:rPr>
          <w:rFonts w:ascii="Arial" w:hAnsi="Arial" w:cs="Arial"/>
        </w:rPr>
        <w:t xml:space="preserve">. Robust methods are insensitive to departures from normality assumptions about the data. The approach in </w:t>
      </w:r>
      <w:proofErr w:type="spellStart"/>
      <w:r w:rsidRPr="00715DF3">
        <w:rPr>
          <w:rFonts w:ascii="Arial" w:hAnsi="Arial" w:cs="Arial"/>
        </w:rPr>
        <w:t>MPlus</w:t>
      </w:r>
      <w:proofErr w:type="spellEnd"/>
      <w:r w:rsidRPr="00715DF3">
        <w:rPr>
          <w:rFonts w:ascii="Arial" w:hAnsi="Arial" w:cs="Arial"/>
        </w:rPr>
        <w:t xml:space="preserve"> effectively handled ignorable missing data dependent on the data in hand (i.e., “missing at random” assumption) via full information maximum likelihood. As a result, participants with missing data were included in the trajectory analysis for unbiased inference.</w:t>
      </w:r>
      <w:r w:rsidRPr="00715DF3">
        <w:rPr>
          <w:rFonts w:ascii="Arial" w:hAnsi="Arial" w:cs="Arial"/>
        </w:rPr>
        <w:tab/>
      </w:r>
    </w:p>
    <w:p w14:paraId="7D197E20" w14:textId="153F21E6" w:rsidR="00AB243F" w:rsidRDefault="00AB243F" w:rsidP="00AB243F">
      <w:pPr>
        <w:spacing w:after="0" w:line="240" w:lineRule="auto"/>
        <w:ind w:firstLine="720"/>
        <w:rPr>
          <w:rFonts w:ascii="Arial" w:hAnsi="Arial" w:cs="Arial"/>
        </w:rPr>
      </w:pPr>
      <w:r w:rsidRPr="00715DF3">
        <w:rPr>
          <w:rFonts w:ascii="Arial" w:hAnsi="Arial" w:cs="Arial"/>
        </w:rPr>
        <w:t>To identify the optimal number of classes, statistical indices and parameter estimates are evaluated, including entropy, Akaike information criterion (AIC), Bayesian information criterion (BIC), sample-size adjusted BIC (</w:t>
      </w:r>
      <w:proofErr w:type="spellStart"/>
      <w:r w:rsidRPr="00715DF3">
        <w:rPr>
          <w:rFonts w:ascii="Arial" w:hAnsi="Arial" w:cs="Arial"/>
        </w:rPr>
        <w:t>aBIC</w:t>
      </w:r>
      <w:proofErr w:type="spellEnd"/>
      <w:r w:rsidRPr="00715DF3">
        <w:rPr>
          <w:rFonts w:ascii="Arial" w:hAnsi="Arial" w:cs="Arial"/>
        </w:rPr>
        <w:t xml:space="preserve">), corrected AIC for small sample sizes (AICC) and assessment of the number of subjects assigned into each class </w:t>
      </w:r>
      <w:r w:rsidRPr="00715DF3"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&lt;EndNote&gt;&lt;Cite&gt;&lt;Author&gt;Schwarz&lt;/Author&gt;&lt;Year&gt;1978&lt;/Year&gt;&lt;RecNum&gt;23&lt;/RecNum&gt;&lt;DisplayText&gt;&lt;style face="superscript"&gt;3&lt;/style&gt;&lt;/DisplayText&gt;&lt;record&gt;&lt;rec-number&gt;23&lt;/rec-number&gt;&lt;foreign-keys&gt;&lt;key app="EN" db-id="r09v2zwtlfzwr4eefv2vr5vl0w00vzppz5v0" timestamp="1688597847"&gt;23&lt;/key&gt;&lt;/foreign-keys&gt;&lt;ref-type name="Journal Article"&gt;17&lt;/ref-type&gt;&lt;contributors&gt;&lt;authors&gt;&lt;author&gt;Schwarz, G.&lt;/author&gt;&lt;/authors&gt;&lt;/contributors&gt;&lt;titles&gt;&lt;title&gt;Estimating the dimension of a model&lt;/title&gt;&lt;secondary-title&gt;The annals of statistics&lt;/secondary-title&gt;&lt;/titles&gt;&lt;periodical&gt;&lt;full-title&gt;The annals of statistics&lt;/full-title&gt;&lt;/periodical&gt;&lt;pages&gt;461-464&lt;/pages&gt;&lt;volume&gt;6&lt;/volume&gt;&lt;number&gt;2&lt;/number&gt;&lt;dates&gt;&lt;year&gt;1978&lt;/year&gt;&lt;/dates&gt;&lt;isbn&gt;0090-5364&lt;/isbn&gt;&lt;urls&gt;&lt;/urls&gt;&lt;/record&gt;&lt;/Cite&gt;&lt;/EndNote&gt;</w:instrText>
      </w:r>
      <w:r w:rsidRPr="00715DF3">
        <w:rPr>
          <w:rFonts w:ascii="Arial" w:hAnsi="Arial" w:cs="Arial"/>
        </w:rPr>
        <w:fldChar w:fldCharType="separate"/>
      </w:r>
      <w:r w:rsidRPr="00AB243F">
        <w:rPr>
          <w:rFonts w:ascii="Arial" w:hAnsi="Arial" w:cs="Arial"/>
          <w:noProof/>
          <w:vertAlign w:val="superscript"/>
        </w:rPr>
        <w:t>3</w:t>
      </w:r>
      <w:r w:rsidRPr="00715DF3">
        <w:rPr>
          <w:rFonts w:ascii="Arial" w:hAnsi="Arial" w:cs="Arial"/>
        </w:rPr>
        <w:fldChar w:fldCharType="end"/>
      </w:r>
      <w:r w:rsidRPr="00715DF3">
        <w:rPr>
          <w:rFonts w:ascii="Arial" w:hAnsi="Arial" w:cs="Arial"/>
        </w:rPr>
        <w:t>. The first solution evaluated is a single cluster solution (</w:t>
      </w:r>
      <w:proofErr w:type="gramStart"/>
      <w:r w:rsidRPr="00715DF3">
        <w:rPr>
          <w:rFonts w:ascii="Arial" w:hAnsi="Arial" w:cs="Arial"/>
        </w:rPr>
        <w:t>i.e.</w:t>
      </w:r>
      <w:proofErr w:type="gramEnd"/>
      <w:r w:rsidRPr="00715DF3">
        <w:rPr>
          <w:rFonts w:ascii="Arial" w:hAnsi="Arial" w:cs="Arial"/>
        </w:rPr>
        <w:t xml:space="preserve"> model of the mean intercept and slopes across the entire sample), to which solutions of increasing the number of clusters (e.g. 2, 3, 4, 5, 6, 7 and 8) are compared until the best solution is identified. </w:t>
      </w:r>
    </w:p>
    <w:p w14:paraId="3F920AC6" w14:textId="59DB1FC2" w:rsidR="00AB243F" w:rsidRDefault="0002305D" w:rsidP="00AB243F">
      <w:pPr>
        <w:spacing w:after="0" w:line="240" w:lineRule="auto"/>
        <w:ind w:firstLine="720"/>
        <w:rPr>
          <w:rFonts w:ascii="Arial" w:hAnsi="Arial" w:cs="Arial"/>
        </w:rPr>
      </w:pPr>
      <w:r w:rsidRPr="00715DF3">
        <w:rPr>
          <w:rFonts w:ascii="Arial" w:hAnsi="Arial" w:cs="Arial"/>
        </w:rPr>
        <w:t xml:space="preserve">More generally, in LCGA, within each cluster the intercept and slopes are latent </w:t>
      </w:r>
      <w:proofErr w:type="gramStart"/>
      <w:r w:rsidRPr="00715DF3">
        <w:rPr>
          <w:rFonts w:ascii="Arial" w:hAnsi="Arial" w:cs="Arial"/>
        </w:rPr>
        <w:t>variables</w:t>
      </w:r>
      <w:proofErr w:type="gramEnd"/>
      <w:r w:rsidRPr="00715DF3">
        <w:rPr>
          <w:rFonts w:ascii="Arial" w:hAnsi="Arial" w:cs="Arial"/>
        </w:rPr>
        <w:t xml:space="preserve"> and the clustering variable is a latent variable.  Most likely cluster membership for </w:t>
      </w:r>
      <w:proofErr w:type="gramStart"/>
      <w:r w:rsidRPr="00715DF3">
        <w:rPr>
          <w:rFonts w:ascii="Arial" w:hAnsi="Arial" w:cs="Arial"/>
        </w:rPr>
        <w:t>each individual</w:t>
      </w:r>
      <w:proofErr w:type="gramEnd"/>
      <w:r w:rsidRPr="00715DF3">
        <w:rPr>
          <w:rFonts w:ascii="Arial" w:hAnsi="Arial" w:cs="Arial"/>
        </w:rPr>
        <w:t xml:space="preserve"> in the study sample can be summarized in an observed nominal variable by categorizing each individual into the cluster of the highest probability of membership. For example, hypothetically in a </w:t>
      </w:r>
      <w:proofErr w:type="gramStart"/>
      <w:r w:rsidRPr="00715DF3">
        <w:rPr>
          <w:rFonts w:ascii="Arial" w:hAnsi="Arial" w:cs="Arial"/>
        </w:rPr>
        <w:t>two cluster</w:t>
      </w:r>
      <w:proofErr w:type="gramEnd"/>
      <w:r w:rsidRPr="00715DF3">
        <w:rPr>
          <w:rFonts w:ascii="Arial" w:hAnsi="Arial" w:cs="Arial"/>
        </w:rPr>
        <w:t xml:space="preserve"> model, if an individual is a member of cluster A with probability 0.80 and cluster B with probability 0.20, they are most likely a member of cluster A. </w:t>
      </w:r>
    </w:p>
    <w:p w14:paraId="78417AF0" w14:textId="77777777" w:rsidR="00AB243F" w:rsidRDefault="00AB243F" w:rsidP="00AB243F">
      <w:pPr>
        <w:spacing w:after="0" w:line="240" w:lineRule="auto"/>
        <w:ind w:firstLine="720"/>
        <w:rPr>
          <w:rFonts w:ascii="Arial" w:hAnsi="Arial" w:cs="Arial"/>
        </w:rPr>
      </w:pPr>
    </w:p>
    <w:p w14:paraId="090C099E" w14:textId="77777777" w:rsidR="007216B0" w:rsidRDefault="007216B0" w:rsidP="00AB243F">
      <w:pPr>
        <w:spacing w:after="0" w:line="240" w:lineRule="auto"/>
      </w:pPr>
    </w:p>
    <w:p w14:paraId="0F632505" w14:textId="77777777" w:rsidR="00217A72" w:rsidRPr="00217A72" w:rsidRDefault="007216B0" w:rsidP="00217A72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217A72" w:rsidRPr="00217A72">
        <w:t>1.</w:t>
      </w:r>
      <w:r w:rsidR="00217A72" w:rsidRPr="00217A72">
        <w:tab/>
        <w:t>Muthén LK, Muthén BO. Mplus. The comprehensive modelling program for applied researchers: user’s guide 2012;5.</w:t>
      </w:r>
    </w:p>
    <w:p w14:paraId="45EABB04" w14:textId="77777777" w:rsidR="00217A72" w:rsidRPr="00217A72" w:rsidRDefault="00217A72" w:rsidP="00217A72">
      <w:pPr>
        <w:pStyle w:val="EndNoteBibliography"/>
        <w:spacing w:after="0"/>
      </w:pPr>
      <w:r w:rsidRPr="00217A72">
        <w:t>2.</w:t>
      </w:r>
      <w:r w:rsidRPr="00217A72">
        <w:tab/>
        <w:t>Huber PJ. The behavior of maximum likelihood estimates under nonstandard conditions.  Proceedings of the fifth Berkeley symposium on mathematical statistics and probability; 1967. p. 221-233.</w:t>
      </w:r>
    </w:p>
    <w:p w14:paraId="25010211" w14:textId="77777777" w:rsidR="00217A72" w:rsidRPr="00217A72" w:rsidRDefault="00217A72" w:rsidP="00217A72">
      <w:pPr>
        <w:pStyle w:val="EndNoteBibliography"/>
      </w:pPr>
      <w:r w:rsidRPr="00217A72">
        <w:t>3.</w:t>
      </w:r>
      <w:r w:rsidRPr="00217A72">
        <w:tab/>
        <w:t>Schwarz G. Estimating the dimension of a model. The annals of statistics 1978;6(2):461-464.</w:t>
      </w:r>
    </w:p>
    <w:p w14:paraId="3A660E59" w14:textId="59156643" w:rsidR="008476F1" w:rsidRPr="0002305D" w:rsidRDefault="007216B0" w:rsidP="00AB243F">
      <w:pPr>
        <w:spacing w:after="0" w:line="240" w:lineRule="auto"/>
      </w:pPr>
      <w:r>
        <w:fldChar w:fldCharType="end"/>
      </w:r>
    </w:p>
    <w:sectPr w:rsidR="008476F1" w:rsidRPr="00023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8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vement Disorders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079F6"/>
    <w:rsid w:val="0002305D"/>
    <w:rsid w:val="00040EF4"/>
    <w:rsid w:val="00217A72"/>
    <w:rsid w:val="002A31EE"/>
    <w:rsid w:val="004079F6"/>
    <w:rsid w:val="007216B0"/>
    <w:rsid w:val="008476F1"/>
    <w:rsid w:val="00AB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F246C"/>
  <w15:chartTrackingRefBased/>
  <w15:docId w15:val="{3F1881D0-438D-4E90-8A48-9A96AB30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05D"/>
    <w:pPr>
      <w:spacing w:after="200" w:line="276" w:lineRule="auto"/>
    </w:pPr>
    <w:rPr>
      <w:rFonts w:ascii="Calibri" w:eastAsia="Calibri" w:hAnsi="Calibri"/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2305D"/>
    <w:rPr>
      <w:color w:val="0000FF"/>
      <w:u w:val="single"/>
    </w:rPr>
  </w:style>
  <w:style w:type="character" w:styleId="Emphasis">
    <w:name w:val="Emphasis"/>
    <w:uiPriority w:val="20"/>
    <w:qFormat/>
    <w:rsid w:val="0002305D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7216B0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216B0"/>
    <w:rPr>
      <w:rFonts w:ascii="Arial" w:eastAsia="Calibri" w:hAnsi="Arial" w:cs="Arial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216B0"/>
    <w:pPr>
      <w:spacing w:line="24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216B0"/>
    <w:rPr>
      <w:rFonts w:ascii="Arial" w:eastAsia="Calibri" w:hAnsi="Arial" w:cs="Arial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Farren Briggs</dc:creator>
  <cp:keywords/>
  <dc:description/>
  <cp:lastModifiedBy>Farren Briggs</cp:lastModifiedBy>
  <cp:revision>5</cp:revision>
  <dcterms:created xsi:type="dcterms:W3CDTF">2023-07-11T16:40:00Z</dcterms:created>
  <dcterms:modified xsi:type="dcterms:W3CDTF">2023-07-11T17:54:00Z</dcterms:modified>
</cp:coreProperties>
</file>