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ED87F1" w14:textId="77777777" w:rsidR="007A0785" w:rsidRDefault="007A0785" w:rsidP="007A0785">
      <w:pPr>
        <w:spacing w:line="480" w:lineRule="auto"/>
        <w:jc w:val="both"/>
        <w:rPr>
          <w:rFonts w:ascii="Times New Roman" w:hAnsi="Times New Roman" w:cs="Times New Roman"/>
          <w:b/>
          <w:bCs/>
          <w:sz w:val="28"/>
          <w:szCs w:val="28"/>
        </w:rPr>
      </w:pPr>
      <w:r w:rsidRPr="00C75460">
        <w:rPr>
          <w:rFonts w:ascii="Times New Roman" w:hAnsi="Times New Roman" w:cs="Times New Roman"/>
          <w:b/>
          <w:bCs/>
          <w:sz w:val="28"/>
          <w:szCs w:val="28"/>
        </w:rPr>
        <w:t>Methods</w:t>
      </w:r>
    </w:p>
    <w:p w14:paraId="42851E1D" w14:textId="77777777" w:rsidR="007A0785" w:rsidRPr="0008668C" w:rsidRDefault="007A0785" w:rsidP="007A0785">
      <w:pPr>
        <w:spacing w:line="480" w:lineRule="auto"/>
        <w:jc w:val="both"/>
        <w:rPr>
          <w:rFonts w:ascii="Times New Roman" w:hAnsi="Times New Roman" w:cs="Times New Roman"/>
          <w:b/>
          <w:bCs/>
          <w:sz w:val="24"/>
          <w:szCs w:val="24"/>
        </w:rPr>
      </w:pPr>
      <w:r w:rsidRPr="0008668C">
        <w:rPr>
          <w:rFonts w:ascii="Times New Roman" w:hAnsi="Times New Roman" w:cs="Times New Roman"/>
          <w:b/>
          <w:bCs/>
          <w:sz w:val="24"/>
          <w:szCs w:val="24"/>
        </w:rPr>
        <w:t xml:space="preserve">Materials. </w:t>
      </w:r>
      <w:r w:rsidRPr="0008668C">
        <w:rPr>
          <w:rFonts w:ascii="Times New Roman" w:hAnsi="Times New Roman" w:cs="Times New Roman"/>
          <w:sz w:val="24"/>
          <w:szCs w:val="24"/>
        </w:rPr>
        <w:t xml:space="preserve">1,5-cyclooctadiene (COD) and tributyl </w:t>
      </w:r>
      <w:proofErr w:type="spellStart"/>
      <w:r w:rsidRPr="0008668C">
        <w:rPr>
          <w:rFonts w:ascii="Times New Roman" w:hAnsi="Times New Roman" w:cs="Times New Roman"/>
          <w:sz w:val="24"/>
          <w:szCs w:val="24"/>
        </w:rPr>
        <w:t>phosphite</w:t>
      </w:r>
      <w:proofErr w:type="spellEnd"/>
      <w:r w:rsidRPr="0008668C">
        <w:rPr>
          <w:rFonts w:ascii="Times New Roman" w:hAnsi="Times New Roman" w:cs="Times New Roman"/>
          <w:sz w:val="24"/>
          <w:szCs w:val="24"/>
        </w:rPr>
        <w:t xml:space="preserve"> (TBP) were purchased from TCI America. COD was passed through a plug of basic alumina to remove the </w:t>
      </w:r>
      <w:proofErr w:type="spellStart"/>
      <w:r w:rsidRPr="0008668C">
        <w:rPr>
          <w:rFonts w:ascii="Times New Roman" w:hAnsi="Times New Roman" w:cs="Times New Roman"/>
          <w:sz w:val="24"/>
          <w:szCs w:val="24"/>
        </w:rPr>
        <w:t>octadecyl</w:t>
      </w:r>
      <w:proofErr w:type="spellEnd"/>
      <w:r w:rsidRPr="0008668C">
        <w:rPr>
          <w:rFonts w:ascii="Times New Roman" w:hAnsi="Times New Roman" w:cs="Times New Roman"/>
          <w:sz w:val="24"/>
          <w:szCs w:val="24"/>
        </w:rPr>
        <w:t xml:space="preserve"> 3-(3′,5′-di-tert-butyl-4′-hydroxylphenyl) propionate stabilizer. TBP was stored under an inert atmosphere. 5-ethylidene-2-norbornene (ENB), Grubbs Catalyst® M204 (Ru-1), Grubbs Catalyst® M207 (Ru-2), and Grubbs Catalyst® M202 (Ru-3) were purchased from Sigma-Aldrich and used as received. A 26-gauge </w:t>
      </w:r>
      <w:proofErr w:type="spellStart"/>
      <w:r w:rsidRPr="0008668C">
        <w:rPr>
          <w:rFonts w:ascii="Times New Roman" w:hAnsi="Times New Roman" w:cs="Times New Roman"/>
          <w:sz w:val="24"/>
          <w:szCs w:val="24"/>
        </w:rPr>
        <w:t>Kanthal</w:t>
      </w:r>
      <w:proofErr w:type="spellEnd"/>
      <w:r w:rsidRPr="0008668C">
        <w:rPr>
          <w:rFonts w:ascii="Times New Roman" w:hAnsi="Times New Roman" w:cs="Times New Roman"/>
          <w:sz w:val="24"/>
          <w:szCs w:val="24"/>
        </w:rPr>
        <w:t xml:space="preserve"> wire (D = 0.40 mm, resistivity = 1.4 × 10−4 Ω cm) was used to initiate FROMP. High temperature silicone rubber gaskets were purchased from McMaster-Carr. 1 mm thick glass slides were purchased from Ted Pella. </w:t>
      </w:r>
    </w:p>
    <w:p w14:paraId="07E11827" w14:textId="77777777" w:rsidR="007A0785" w:rsidRPr="0008668C" w:rsidRDefault="007A0785" w:rsidP="007A0785">
      <w:pPr>
        <w:spacing w:line="480" w:lineRule="auto"/>
        <w:jc w:val="both"/>
        <w:rPr>
          <w:rFonts w:ascii="Times New Roman" w:hAnsi="Times New Roman" w:cs="Times New Roman"/>
          <w:b/>
          <w:bCs/>
          <w:sz w:val="24"/>
          <w:szCs w:val="24"/>
        </w:rPr>
      </w:pPr>
      <w:r w:rsidRPr="0008668C">
        <w:rPr>
          <w:rFonts w:ascii="Times New Roman" w:hAnsi="Times New Roman" w:cs="Times New Roman"/>
          <w:b/>
          <w:bCs/>
          <w:sz w:val="24"/>
          <w:szCs w:val="24"/>
        </w:rPr>
        <w:t xml:space="preserve">Frontal polymerization. </w:t>
      </w:r>
      <w:r w:rsidRPr="0008668C">
        <w:rPr>
          <w:rFonts w:ascii="Times New Roman" w:hAnsi="Times New Roman" w:cs="Times New Roman"/>
          <w:sz w:val="24"/>
          <w:szCs w:val="24"/>
        </w:rPr>
        <w:t xml:space="preserve">In a typical experiment for the spin mode of front propagation with the Ru-1 initiator, 5.29 g (6 mL, 5400 </w:t>
      </w:r>
      <w:proofErr w:type="spellStart"/>
      <w:r w:rsidRPr="0008668C">
        <w:rPr>
          <w:rFonts w:ascii="Times New Roman" w:hAnsi="Times New Roman" w:cs="Times New Roman"/>
          <w:sz w:val="24"/>
          <w:szCs w:val="24"/>
        </w:rPr>
        <w:t>mol</w:t>
      </w:r>
      <w:proofErr w:type="spellEnd"/>
      <w:r w:rsidRPr="0008668C">
        <w:rPr>
          <w:rFonts w:ascii="Times New Roman" w:hAnsi="Times New Roman" w:cs="Times New Roman"/>
          <w:sz w:val="24"/>
          <w:szCs w:val="24"/>
        </w:rPr>
        <w:t xml:space="preserve"> </w:t>
      </w:r>
      <w:proofErr w:type="spellStart"/>
      <w:r w:rsidRPr="0008668C">
        <w:rPr>
          <w:rFonts w:ascii="Times New Roman" w:hAnsi="Times New Roman" w:cs="Times New Roman"/>
          <w:sz w:val="24"/>
          <w:szCs w:val="24"/>
        </w:rPr>
        <w:t>equiv</w:t>
      </w:r>
      <w:proofErr w:type="spellEnd"/>
      <w:r w:rsidRPr="0008668C">
        <w:rPr>
          <w:rFonts w:ascii="Times New Roman" w:hAnsi="Times New Roman" w:cs="Times New Roman"/>
          <w:sz w:val="24"/>
          <w:szCs w:val="24"/>
        </w:rPr>
        <w:t xml:space="preserve"> to Ru-1) of monomer resin composed of 97 </w:t>
      </w:r>
      <w:proofErr w:type="spellStart"/>
      <w:r w:rsidRPr="0008668C">
        <w:rPr>
          <w:rFonts w:ascii="Times New Roman" w:hAnsi="Times New Roman" w:cs="Times New Roman"/>
          <w:sz w:val="24"/>
          <w:szCs w:val="24"/>
        </w:rPr>
        <w:t>wt</w:t>
      </w:r>
      <w:proofErr w:type="spellEnd"/>
      <w:r w:rsidRPr="0008668C">
        <w:rPr>
          <w:rFonts w:ascii="Times New Roman" w:hAnsi="Times New Roman" w:cs="Times New Roman"/>
          <w:sz w:val="24"/>
          <w:szCs w:val="24"/>
        </w:rPr>
        <w:t xml:space="preserve">% COD (5.13 g / 5.82 mL) and 3 </w:t>
      </w:r>
      <w:proofErr w:type="spellStart"/>
      <w:r w:rsidRPr="0008668C">
        <w:rPr>
          <w:rFonts w:ascii="Times New Roman" w:hAnsi="Times New Roman" w:cs="Times New Roman"/>
          <w:sz w:val="24"/>
          <w:szCs w:val="24"/>
        </w:rPr>
        <w:t>wt</w:t>
      </w:r>
      <w:proofErr w:type="spellEnd"/>
      <w:r w:rsidRPr="0008668C">
        <w:rPr>
          <w:rFonts w:ascii="Times New Roman" w:hAnsi="Times New Roman" w:cs="Times New Roman"/>
          <w:sz w:val="24"/>
          <w:szCs w:val="24"/>
        </w:rPr>
        <w:t xml:space="preserve">% ENB (0.16 g / 0.18 mL) was measured out in a vial. Unless otherwise noted, all references to COD refer to the 97:3 COD/ENB mixture. The </w:t>
      </w:r>
      <w:proofErr w:type="spellStart"/>
      <w:r w:rsidRPr="0008668C">
        <w:rPr>
          <w:rFonts w:ascii="Times New Roman" w:hAnsi="Times New Roman" w:cs="Times New Roman"/>
          <w:sz w:val="24"/>
          <w:szCs w:val="24"/>
        </w:rPr>
        <w:t>phosphite</w:t>
      </w:r>
      <w:proofErr w:type="spellEnd"/>
      <w:r w:rsidRPr="0008668C">
        <w:rPr>
          <w:rFonts w:ascii="Times New Roman" w:hAnsi="Times New Roman" w:cs="Times New Roman"/>
          <w:sz w:val="24"/>
          <w:szCs w:val="24"/>
        </w:rPr>
        <w:t xml:space="preserve"> inhibitor (4.98 </w:t>
      </w:r>
      <w:proofErr w:type="spellStart"/>
      <w:r w:rsidRPr="0008668C">
        <w:rPr>
          <w:rFonts w:ascii="Times New Roman" w:hAnsi="Times New Roman" w:cs="Times New Roman"/>
          <w:sz w:val="24"/>
          <w:szCs w:val="24"/>
        </w:rPr>
        <w:t>μL</w:t>
      </w:r>
      <w:proofErr w:type="spellEnd"/>
      <w:r w:rsidRPr="0008668C">
        <w:rPr>
          <w:rFonts w:ascii="Times New Roman" w:hAnsi="Times New Roman" w:cs="Times New Roman"/>
          <w:sz w:val="24"/>
          <w:szCs w:val="24"/>
        </w:rPr>
        <w:t xml:space="preserve">, 0.0184 mmol, 2 </w:t>
      </w:r>
      <w:proofErr w:type="spellStart"/>
      <w:r w:rsidRPr="0008668C">
        <w:rPr>
          <w:rFonts w:ascii="Times New Roman" w:hAnsi="Times New Roman" w:cs="Times New Roman"/>
          <w:sz w:val="24"/>
          <w:szCs w:val="24"/>
        </w:rPr>
        <w:t>mol</w:t>
      </w:r>
      <w:proofErr w:type="spellEnd"/>
      <w:r w:rsidRPr="0008668C">
        <w:rPr>
          <w:rFonts w:ascii="Times New Roman" w:hAnsi="Times New Roman" w:cs="Times New Roman"/>
          <w:sz w:val="24"/>
          <w:szCs w:val="24"/>
        </w:rPr>
        <w:t xml:space="preserve"> </w:t>
      </w:r>
      <w:proofErr w:type="spellStart"/>
      <w:r w:rsidRPr="0008668C">
        <w:rPr>
          <w:rFonts w:ascii="Times New Roman" w:hAnsi="Times New Roman" w:cs="Times New Roman"/>
          <w:sz w:val="24"/>
          <w:szCs w:val="24"/>
        </w:rPr>
        <w:t>equiv</w:t>
      </w:r>
      <w:proofErr w:type="spellEnd"/>
      <w:r w:rsidRPr="0008668C">
        <w:rPr>
          <w:rFonts w:ascii="Times New Roman" w:hAnsi="Times New Roman" w:cs="Times New Roman"/>
          <w:sz w:val="24"/>
          <w:szCs w:val="24"/>
        </w:rPr>
        <w:t xml:space="preserve"> to Ru-1) was then added to the vial with monomer using a microliter syringe. In a separate vial, 7.68 mg (0.00905 mmol) of the Ru-1 initiator was weighed out. The monomer / inhibitor solution was then added to the vial containing the initiator, and the resulting mixture was sonicated for 5 min to ensure complete dissolution of the initiator. The monomer resin was then added to a rectilinear geometry before initiation of the front. Please refer to Extended Data Table 1 for the other resin formulations that yielded uniform and spin modes of front propagation with Ru-1, Ru-2, and Ru-3 initiators. Rectilinear closed molds were fabricated by compressing a U-shaped high temperature silicone rubber gasket cut into the desired geometry between two 1 mm thick glass slides. For a typical experiment, the frontal polymerization process was carried out in a 1.5 cm x 6.0 cm (w x h) geometry with a 5 mm thick silicone rubber gasket. </w:t>
      </w:r>
      <w:r w:rsidRPr="0008668C">
        <w:rPr>
          <w:rFonts w:ascii="Times New Roman" w:hAnsi="Times New Roman" w:cs="Times New Roman"/>
          <w:sz w:val="24"/>
          <w:szCs w:val="24"/>
        </w:rPr>
        <w:lastRenderedPageBreak/>
        <w:t xml:space="preserve">The polymerization was initiated by local heating with a 26-gauge resistive wire and an Agilent (U8031A) triple output programmable DC power supply (3.5 V, 3.0 A). The ambient temperature was maintained in a custom-built environmental chamber equipped with an AC-162 Peltier module, TC-720 temperature controller, and PS-2425 power supply from TE Technology, Inc. Target ambient temperature </w:t>
      </w:r>
      <w:r w:rsidRPr="0008668C">
        <w:rPr>
          <w:rFonts w:ascii="Times New Roman" w:hAnsi="Times New Roman" w:cs="Times New Roman"/>
          <w:i/>
          <w:iCs/>
          <w:sz w:val="24"/>
          <w:szCs w:val="24"/>
        </w:rPr>
        <w:t>T</w:t>
      </w:r>
      <w:r w:rsidRPr="0008668C">
        <w:rPr>
          <w:rFonts w:ascii="Times New Roman" w:hAnsi="Times New Roman" w:cs="Times New Roman"/>
          <w:sz w:val="24"/>
          <w:szCs w:val="24"/>
          <w:vertAlign w:val="subscript"/>
        </w:rPr>
        <w:t>0</w:t>
      </w:r>
      <w:r w:rsidRPr="0008668C">
        <w:rPr>
          <w:rFonts w:ascii="Times New Roman" w:hAnsi="Times New Roman" w:cs="Times New Roman"/>
          <w:sz w:val="24"/>
          <w:szCs w:val="24"/>
        </w:rPr>
        <w:t xml:space="preserve"> was achieved by setting the environmental chamber to the desired temperature and monitoring with a thermocouple. A schematic of the mold and initiation scheme employed for experiments is summarized in Extended Data Fig. 1a.</w:t>
      </w:r>
    </w:p>
    <w:p w14:paraId="61684CEF" w14:textId="77777777" w:rsidR="007A0785" w:rsidRPr="001045B0" w:rsidRDefault="007A0785" w:rsidP="007A0785">
      <w:pPr>
        <w:spacing w:line="480" w:lineRule="auto"/>
        <w:jc w:val="both"/>
        <w:rPr>
          <w:rFonts w:ascii="Times New Roman" w:hAnsi="Times New Roman" w:cs="Times New Roman"/>
          <w:b/>
          <w:bCs/>
          <w:sz w:val="24"/>
          <w:szCs w:val="24"/>
        </w:rPr>
      </w:pPr>
      <w:r w:rsidRPr="00CD2456">
        <w:rPr>
          <w:rFonts w:ascii="Times New Roman" w:hAnsi="Times New Roman" w:cs="Times New Roman"/>
          <w:b/>
          <w:bCs/>
          <w:sz w:val="24"/>
          <w:szCs w:val="24"/>
        </w:rPr>
        <w:t>Front velocity and temperature measurements</w:t>
      </w:r>
      <w:r>
        <w:rPr>
          <w:rFonts w:ascii="Times New Roman" w:hAnsi="Times New Roman" w:cs="Times New Roman"/>
          <w:b/>
          <w:bCs/>
          <w:sz w:val="24"/>
          <w:szCs w:val="24"/>
        </w:rPr>
        <w:t xml:space="preserve">. </w:t>
      </w:r>
      <w:r>
        <w:rPr>
          <w:rFonts w:ascii="Times New Roman" w:hAnsi="Times New Roman" w:cs="Times New Roman"/>
          <w:sz w:val="24"/>
          <w:szCs w:val="24"/>
        </w:rPr>
        <w:t xml:space="preserve">To a 13 x 100 mm test tube, 8 mL of freshly prepared monomer mixture was immediately transferred. FROMP was initiated from the top of the test tube using the tip of a soldering iron, set to the highest heat setting. The front propagation is tracked with a Canon EOS R5 DSLR camera. </w:t>
      </w:r>
      <w:r w:rsidRPr="00E7261B">
        <w:rPr>
          <w:rFonts w:ascii="Times New Roman" w:hAnsi="Times New Roman" w:cs="Times New Roman"/>
          <w:sz w:val="24"/>
          <w:szCs w:val="24"/>
        </w:rPr>
        <w:t>Frontal velocities were measured using Tracker®, an open-source physics (OSP) video analysis and modeling tool. Using the built-in tracking feature, position, time, and velocity were extracted from the videos. Each video was analyzed a total of three times</w:t>
      </w:r>
      <w:r>
        <w:rPr>
          <w:rFonts w:ascii="Times New Roman" w:hAnsi="Times New Roman" w:cs="Times New Roman"/>
          <w:sz w:val="24"/>
          <w:szCs w:val="24"/>
        </w:rPr>
        <w:t>,</w:t>
      </w:r>
      <w:r w:rsidRPr="00E7261B">
        <w:rPr>
          <w:rFonts w:ascii="Times New Roman" w:hAnsi="Times New Roman" w:cs="Times New Roman"/>
          <w:sz w:val="24"/>
          <w:szCs w:val="24"/>
        </w:rPr>
        <w:t xml:space="preserve"> and the front velocity of the </w:t>
      </w:r>
      <w:r>
        <w:rPr>
          <w:rFonts w:ascii="Times New Roman" w:hAnsi="Times New Roman" w:cs="Times New Roman"/>
          <w:sz w:val="24"/>
          <w:szCs w:val="24"/>
        </w:rPr>
        <w:t>resin formulation</w:t>
      </w:r>
      <w:r w:rsidRPr="00E7261B">
        <w:rPr>
          <w:rFonts w:ascii="Times New Roman" w:hAnsi="Times New Roman" w:cs="Times New Roman"/>
          <w:sz w:val="24"/>
          <w:szCs w:val="24"/>
        </w:rPr>
        <w:t xml:space="preserve"> was determined by the average of the three </w:t>
      </w:r>
      <w:r>
        <w:rPr>
          <w:rFonts w:ascii="Times New Roman" w:hAnsi="Times New Roman" w:cs="Times New Roman"/>
          <w:sz w:val="24"/>
          <w:szCs w:val="24"/>
        </w:rPr>
        <w:t>samples</w:t>
      </w:r>
      <w:r w:rsidRPr="00E7261B">
        <w:rPr>
          <w:rFonts w:ascii="Times New Roman" w:hAnsi="Times New Roman" w:cs="Times New Roman"/>
          <w:sz w:val="24"/>
          <w:szCs w:val="24"/>
        </w:rPr>
        <w:t>.</w:t>
      </w:r>
      <w:r>
        <w:rPr>
          <w:rFonts w:ascii="Times New Roman" w:hAnsi="Times New Roman" w:cs="Times New Roman"/>
          <w:sz w:val="24"/>
          <w:szCs w:val="24"/>
        </w:rPr>
        <w:t xml:space="preserve"> To measure the maximum front temperature, a T-type thermocouple (TMQSS, Omega) was inserted at the center of the test tube before initiating FROMP and the temperature profiles were monitored by a custom </w:t>
      </w:r>
      <w:proofErr w:type="spellStart"/>
      <w:r>
        <w:rPr>
          <w:rFonts w:ascii="Times New Roman" w:hAnsi="Times New Roman" w:cs="Times New Roman"/>
          <w:sz w:val="24"/>
          <w:szCs w:val="24"/>
        </w:rPr>
        <w:t>Labview</w:t>
      </w:r>
      <w:proofErr w:type="spellEnd"/>
      <w:r>
        <w:rPr>
          <w:rFonts w:ascii="Times New Roman" w:hAnsi="Times New Roman" w:cs="Times New Roman"/>
          <w:sz w:val="24"/>
          <w:szCs w:val="24"/>
        </w:rPr>
        <w:t xml:space="preserve"> program. The average maximum front temperature was taken from a </w:t>
      </w:r>
      <w:r>
        <w:rPr>
          <w:rFonts w:ascii="Times New Roman" w:hAnsi="Times New Roman" w:cs="Times New Roman"/>
          <w:i/>
          <w:iCs/>
          <w:sz w:val="24"/>
          <w:szCs w:val="24"/>
        </w:rPr>
        <w:t xml:space="preserve">n=3. </w:t>
      </w:r>
      <w:r>
        <w:rPr>
          <w:rFonts w:ascii="Times New Roman" w:hAnsi="Times New Roman" w:cs="Times New Roman"/>
          <w:sz w:val="24"/>
          <w:szCs w:val="24"/>
        </w:rPr>
        <w:t xml:space="preserve"> </w:t>
      </w:r>
    </w:p>
    <w:p w14:paraId="795C5293" w14:textId="77777777" w:rsidR="007A0785" w:rsidRPr="0008668C" w:rsidRDefault="007A0785" w:rsidP="007A0785">
      <w:pPr>
        <w:spacing w:line="480" w:lineRule="auto"/>
        <w:jc w:val="both"/>
        <w:rPr>
          <w:rFonts w:ascii="Times New Roman" w:hAnsi="Times New Roman" w:cs="Times New Roman"/>
          <w:sz w:val="24"/>
          <w:szCs w:val="24"/>
        </w:rPr>
      </w:pPr>
      <w:r w:rsidRPr="0008668C">
        <w:rPr>
          <w:rFonts w:ascii="Times New Roman" w:hAnsi="Times New Roman" w:cs="Times New Roman"/>
          <w:b/>
          <w:bCs/>
          <w:sz w:val="24"/>
          <w:szCs w:val="24"/>
        </w:rPr>
        <w:t xml:space="preserve">Heat of reaction and heat of fusion analysis. </w:t>
      </w:r>
      <w:r w:rsidRPr="0008668C">
        <w:rPr>
          <w:rFonts w:ascii="Times New Roman" w:hAnsi="Times New Roman" w:cs="Times New Roman"/>
          <w:sz w:val="24"/>
          <w:szCs w:val="24"/>
        </w:rPr>
        <w:t xml:space="preserve">Differential scanning calorimetry (DSC) measurements were carried out on a TA Instruments Discovery DSC 250 equipped with an RCS 90 cooling system and an autosampler. Samples were transferred into aluminum hermetic DSC pans at room temperature and sealed. The sample mass was determined using an analytical balance (XPE205, </w:t>
      </w:r>
      <w:proofErr w:type="spellStart"/>
      <w:r w:rsidRPr="0008668C">
        <w:rPr>
          <w:rFonts w:ascii="Times New Roman" w:hAnsi="Times New Roman" w:cs="Times New Roman"/>
          <w:sz w:val="24"/>
          <w:szCs w:val="24"/>
        </w:rPr>
        <w:t>MettlerToledo</w:t>
      </w:r>
      <w:proofErr w:type="spellEnd"/>
      <w:r w:rsidRPr="0008668C">
        <w:rPr>
          <w:rFonts w:ascii="Times New Roman" w:hAnsi="Times New Roman" w:cs="Times New Roman"/>
          <w:sz w:val="24"/>
          <w:szCs w:val="24"/>
        </w:rPr>
        <w:t xml:space="preserve">). The mass of the liquid resin samples was carefully maintained to ensure </w:t>
      </w:r>
      <w:r w:rsidRPr="0008668C">
        <w:rPr>
          <w:rFonts w:ascii="Times New Roman" w:hAnsi="Times New Roman" w:cs="Times New Roman"/>
          <w:sz w:val="24"/>
          <w:szCs w:val="24"/>
        </w:rPr>
        <w:lastRenderedPageBreak/>
        <w:t xml:space="preserve">the maximum heat flow of the exothermic reaction was between 6 – 10 </w:t>
      </w:r>
      <w:proofErr w:type="spellStart"/>
      <w:r w:rsidRPr="0008668C">
        <w:rPr>
          <w:rFonts w:ascii="Times New Roman" w:hAnsi="Times New Roman" w:cs="Times New Roman"/>
          <w:sz w:val="24"/>
          <w:szCs w:val="24"/>
        </w:rPr>
        <w:t>mW</w:t>
      </w:r>
      <w:proofErr w:type="spellEnd"/>
      <w:r w:rsidRPr="0008668C">
        <w:rPr>
          <w:rFonts w:ascii="Times New Roman" w:hAnsi="Times New Roman" w:cs="Times New Roman"/>
          <w:sz w:val="24"/>
          <w:szCs w:val="24"/>
        </w:rPr>
        <w:t>. Dynamic curing profiles of liquid resins were determined at temperatures between -50 °C and 180 °C with constant ramp rates (Extended Data Figure 1b). The heat of reaction (</w:t>
      </w:r>
      <w:proofErr w:type="spellStart"/>
      <w:r w:rsidRPr="0008668C">
        <w:rPr>
          <w:rFonts w:ascii="Times New Roman" w:hAnsi="Times New Roman" w:cs="Times New Roman"/>
          <w:i/>
          <w:iCs/>
          <w:sz w:val="24"/>
          <w:szCs w:val="24"/>
        </w:rPr>
        <w:t>H</w:t>
      </w:r>
      <w:r w:rsidRPr="0008668C">
        <w:rPr>
          <w:rFonts w:ascii="Times New Roman" w:hAnsi="Times New Roman" w:cs="Times New Roman"/>
          <w:i/>
          <w:iCs/>
          <w:sz w:val="24"/>
          <w:szCs w:val="24"/>
          <w:vertAlign w:val="subscript"/>
        </w:rPr>
        <w:t>r</w:t>
      </w:r>
      <w:proofErr w:type="spellEnd"/>
      <w:r w:rsidRPr="0008668C">
        <w:rPr>
          <w:rFonts w:ascii="Times New Roman" w:hAnsi="Times New Roman" w:cs="Times New Roman"/>
          <w:sz w:val="24"/>
          <w:szCs w:val="24"/>
        </w:rPr>
        <w:t>) was determined through the integration of heat flow over the exothermic peak after baseline correction for cure profiles</w:t>
      </w:r>
      <w:r w:rsidRPr="0008668C">
        <w:rPr>
          <w:rFonts w:ascii="Times New Roman" w:hAnsi="Times New Roman" w:cs="Times New Roman"/>
          <w:sz w:val="24"/>
          <w:szCs w:val="24"/>
          <w:vertAlign w:val="superscript"/>
        </w:rPr>
        <w:t>1</w:t>
      </w:r>
      <w:r w:rsidRPr="0008668C">
        <w:rPr>
          <w:rFonts w:ascii="Times New Roman" w:hAnsi="Times New Roman" w:cs="Times New Roman"/>
          <w:sz w:val="24"/>
          <w:szCs w:val="24"/>
        </w:rPr>
        <w:t xml:space="preserve"> with a ramp rate of 5 °C/min. The heat of fusion (</w:t>
      </w:r>
      <w:proofErr w:type="spellStart"/>
      <w:r w:rsidRPr="0008668C">
        <w:rPr>
          <w:rFonts w:ascii="Times New Roman" w:hAnsi="Times New Roman" w:cs="Times New Roman"/>
          <w:i/>
          <w:iCs/>
          <w:sz w:val="24"/>
          <w:szCs w:val="24"/>
        </w:rPr>
        <w:t>H</w:t>
      </w:r>
      <w:r w:rsidRPr="0008668C">
        <w:rPr>
          <w:rFonts w:ascii="Times New Roman" w:hAnsi="Times New Roman" w:cs="Times New Roman"/>
          <w:i/>
          <w:iCs/>
          <w:sz w:val="24"/>
          <w:szCs w:val="24"/>
          <w:vertAlign w:val="subscript"/>
        </w:rPr>
        <w:t>f</w:t>
      </w:r>
      <w:proofErr w:type="spellEnd"/>
      <w:r w:rsidRPr="0008668C">
        <w:rPr>
          <w:rFonts w:ascii="Times New Roman" w:hAnsi="Times New Roman" w:cs="Times New Roman"/>
          <w:sz w:val="24"/>
          <w:szCs w:val="24"/>
        </w:rPr>
        <w:t xml:space="preserve">) was measured by cutting cured polymer specimens at various time points and transferring them into aluminum hermetic DSC pans at room temperature. The mass of the polymer specimens was carefully maintained between 5-10 mg. The melting profiles of polymer specimens were determined at temperatures between 20 °C and 150 °C with a constant ramp rate of 10 °C/min. The endothermic peak in the heat flow signal was integrated to extract the heat of fusion for each specimen. </w:t>
      </w:r>
    </w:p>
    <w:p w14:paraId="65D8C4DD" w14:textId="77777777" w:rsidR="007A0785" w:rsidRDefault="007A0785" w:rsidP="007A0785">
      <w:pPr>
        <w:spacing w:line="480" w:lineRule="auto"/>
        <w:jc w:val="both"/>
        <w:rPr>
          <w:rFonts w:ascii="Times New Roman" w:hAnsi="Times New Roman" w:cs="Times New Roman"/>
          <w:sz w:val="24"/>
          <w:szCs w:val="24"/>
        </w:rPr>
      </w:pPr>
      <w:r w:rsidRPr="00CD2456">
        <w:rPr>
          <w:rFonts w:ascii="Times New Roman" w:hAnsi="Times New Roman" w:cs="Times New Roman"/>
          <w:b/>
          <w:bCs/>
          <w:sz w:val="24"/>
          <w:szCs w:val="24"/>
        </w:rPr>
        <w:t>Nanoindentation</w:t>
      </w:r>
      <w:r>
        <w:rPr>
          <w:rFonts w:ascii="Times New Roman" w:hAnsi="Times New Roman" w:cs="Times New Roman"/>
          <w:b/>
          <w:bCs/>
          <w:sz w:val="24"/>
          <w:szCs w:val="24"/>
        </w:rPr>
        <w:t xml:space="preserve">. </w:t>
      </w:r>
      <w:r w:rsidRPr="00B336AA">
        <w:rPr>
          <w:rFonts w:ascii="Times New Roman" w:hAnsi="Times New Roman" w:cs="Times New Roman"/>
          <w:sz w:val="24"/>
          <w:szCs w:val="24"/>
        </w:rPr>
        <w:t xml:space="preserve">Nanoindentation was performed with a </w:t>
      </w:r>
      <w:proofErr w:type="spellStart"/>
      <w:r w:rsidRPr="00B336AA">
        <w:rPr>
          <w:rFonts w:ascii="Times New Roman" w:hAnsi="Times New Roman" w:cs="Times New Roman"/>
          <w:sz w:val="24"/>
          <w:szCs w:val="24"/>
        </w:rPr>
        <w:t>Hysitron</w:t>
      </w:r>
      <w:proofErr w:type="spellEnd"/>
      <w:r w:rsidRPr="00B336AA">
        <w:rPr>
          <w:rFonts w:ascii="Times New Roman" w:hAnsi="Times New Roman" w:cs="Times New Roman"/>
          <w:sz w:val="24"/>
          <w:szCs w:val="24"/>
        </w:rPr>
        <w:t xml:space="preserve"> TI-950 </w:t>
      </w:r>
      <w:proofErr w:type="spellStart"/>
      <w:r w:rsidRPr="00B336AA">
        <w:rPr>
          <w:rFonts w:ascii="Times New Roman" w:hAnsi="Times New Roman" w:cs="Times New Roman"/>
          <w:sz w:val="24"/>
          <w:szCs w:val="24"/>
        </w:rPr>
        <w:t>TriboIndenter</w:t>
      </w:r>
      <w:proofErr w:type="spellEnd"/>
      <w:r w:rsidRPr="00B336AA">
        <w:rPr>
          <w:rFonts w:ascii="Times New Roman" w:hAnsi="Times New Roman" w:cs="Times New Roman"/>
          <w:sz w:val="24"/>
          <w:szCs w:val="24"/>
        </w:rPr>
        <w:t xml:space="preserve"> equipped with a </w:t>
      </w:r>
      <w:proofErr w:type="spellStart"/>
      <w:r w:rsidRPr="00B336AA">
        <w:rPr>
          <w:rFonts w:ascii="Times New Roman" w:hAnsi="Times New Roman" w:cs="Times New Roman"/>
          <w:sz w:val="24"/>
          <w:szCs w:val="24"/>
        </w:rPr>
        <w:t>Hysitron</w:t>
      </w:r>
      <w:proofErr w:type="spellEnd"/>
      <w:r w:rsidRPr="00B336AA">
        <w:rPr>
          <w:rFonts w:ascii="Times New Roman" w:hAnsi="Times New Roman" w:cs="Times New Roman"/>
          <w:sz w:val="24"/>
          <w:szCs w:val="24"/>
        </w:rPr>
        <w:t xml:space="preserve"> 3D </w:t>
      </w:r>
      <w:proofErr w:type="spellStart"/>
      <w:r w:rsidRPr="00B336AA">
        <w:rPr>
          <w:rFonts w:ascii="Times New Roman" w:hAnsi="Times New Roman" w:cs="Times New Roman"/>
          <w:sz w:val="24"/>
          <w:szCs w:val="24"/>
        </w:rPr>
        <w:t>Omniprobe</w:t>
      </w:r>
      <w:proofErr w:type="spellEnd"/>
      <w:r w:rsidRPr="00B336AA">
        <w:rPr>
          <w:rFonts w:ascii="Times New Roman" w:hAnsi="Times New Roman" w:cs="Times New Roman"/>
          <w:sz w:val="24"/>
          <w:szCs w:val="24"/>
        </w:rPr>
        <w:t xml:space="preserve"> high</w:t>
      </w:r>
      <w:r>
        <w:rPr>
          <w:rFonts w:ascii="Times New Roman" w:hAnsi="Times New Roman" w:cs="Times New Roman"/>
          <w:sz w:val="24"/>
          <w:szCs w:val="24"/>
        </w:rPr>
        <w:t>-</w:t>
      </w:r>
      <w:r w:rsidRPr="00B336AA">
        <w:rPr>
          <w:rFonts w:ascii="Times New Roman" w:hAnsi="Times New Roman" w:cs="Times New Roman"/>
          <w:sz w:val="24"/>
          <w:szCs w:val="24"/>
        </w:rPr>
        <w:t xml:space="preserve">load transducer and </w:t>
      </w:r>
      <w:proofErr w:type="spellStart"/>
      <w:r w:rsidRPr="00B336AA">
        <w:rPr>
          <w:rFonts w:ascii="Times New Roman" w:hAnsi="Times New Roman" w:cs="Times New Roman"/>
          <w:sz w:val="24"/>
          <w:szCs w:val="24"/>
        </w:rPr>
        <w:t>Berkovich</w:t>
      </w:r>
      <w:proofErr w:type="spellEnd"/>
      <w:r w:rsidRPr="00B336AA">
        <w:rPr>
          <w:rFonts w:ascii="Times New Roman" w:hAnsi="Times New Roman" w:cs="Times New Roman"/>
          <w:sz w:val="24"/>
          <w:szCs w:val="24"/>
        </w:rPr>
        <w:t xml:space="preserve"> tip from Bruker. Samples that were left to sit for 24 h post polymerization at room temperature were loaded at </w:t>
      </w:r>
      <w:r>
        <w:rPr>
          <w:rFonts w:ascii="Times New Roman" w:hAnsi="Times New Roman" w:cs="Times New Roman"/>
          <w:sz w:val="24"/>
          <w:szCs w:val="24"/>
        </w:rPr>
        <w:t>0.2</w:t>
      </w:r>
      <w:r w:rsidRPr="00B336AA">
        <w:rPr>
          <w:rFonts w:ascii="Times New Roman" w:hAnsi="Times New Roman" w:cs="Times New Roman"/>
          <w:sz w:val="24"/>
          <w:szCs w:val="24"/>
        </w:rPr>
        <w:t xml:space="preserve"> </w:t>
      </w:r>
      <w:proofErr w:type="spellStart"/>
      <w:r w:rsidRPr="00B336AA">
        <w:rPr>
          <w:rFonts w:ascii="Times New Roman" w:hAnsi="Times New Roman" w:cs="Times New Roman"/>
          <w:sz w:val="24"/>
          <w:szCs w:val="24"/>
        </w:rPr>
        <w:t>mN</w:t>
      </w:r>
      <w:proofErr w:type="spellEnd"/>
      <w:r>
        <w:rPr>
          <w:rFonts w:ascii="Times New Roman" w:hAnsi="Times New Roman" w:cs="Times New Roman"/>
          <w:sz w:val="24"/>
          <w:szCs w:val="24"/>
        </w:rPr>
        <w:t>/s</w:t>
      </w:r>
      <w:r w:rsidRPr="00B336AA">
        <w:rPr>
          <w:rFonts w:ascii="Times New Roman" w:hAnsi="Times New Roman" w:cs="Times New Roman"/>
          <w:sz w:val="24"/>
          <w:szCs w:val="24"/>
        </w:rPr>
        <w:t xml:space="preserve"> up to a maximum load of </w:t>
      </w:r>
      <w:r>
        <w:rPr>
          <w:rFonts w:ascii="Times New Roman" w:hAnsi="Times New Roman" w:cs="Times New Roman"/>
          <w:sz w:val="24"/>
          <w:szCs w:val="24"/>
        </w:rPr>
        <w:t>8</w:t>
      </w:r>
      <w:r w:rsidRPr="00B336AA">
        <w:rPr>
          <w:rFonts w:ascii="Times New Roman" w:hAnsi="Times New Roman" w:cs="Times New Roman"/>
          <w:sz w:val="24"/>
          <w:szCs w:val="24"/>
        </w:rPr>
        <w:t xml:space="preserve"> </w:t>
      </w:r>
      <w:proofErr w:type="spellStart"/>
      <w:r w:rsidRPr="00B336AA">
        <w:rPr>
          <w:rFonts w:ascii="Times New Roman" w:hAnsi="Times New Roman" w:cs="Times New Roman"/>
          <w:sz w:val="24"/>
          <w:szCs w:val="24"/>
        </w:rPr>
        <w:t>mN</w:t>
      </w:r>
      <w:proofErr w:type="spellEnd"/>
      <w:r w:rsidRPr="00B336AA">
        <w:rPr>
          <w:rFonts w:ascii="Times New Roman" w:hAnsi="Times New Roman" w:cs="Times New Roman"/>
          <w:sz w:val="24"/>
          <w:szCs w:val="24"/>
        </w:rPr>
        <w:t xml:space="preserve">, which was held for </w:t>
      </w:r>
      <w:r>
        <w:rPr>
          <w:rFonts w:ascii="Times New Roman" w:hAnsi="Times New Roman" w:cs="Times New Roman"/>
          <w:sz w:val="24"/>
          <w:szCs w:val="24"/>
        </w:rPr>
        <w:t>5</w:t>
      </w:r>
      <w:r w:rsidRPr="00B336AA">
        <w:rPr>
          <w:rFonts w:ascii="Times New Roman" w:hAnsi="Times New Roman" w:cs="Times New Roman"/>
          <w:sz w:val="24"/>
          <w:szCs w:val="24"/>
        </w:rPr>
        <w:t xml:space="preserve"> s, and subsequently unloaded at </w:t>
      </w:r>
      <w:r>
        <w:rPr>
          <w:rFonts w:ascii="Times New Roman" w:hAnsi="Times New Roman" w:cs="Times New Roman"/>
          <w:sz w:val="24"/>
          <w:szCs w:val="24"/>
        </w:rPr>
        <w:t>0.2</w:t>
      </w:r>
      <w:r w:rsidRPr="00B336AA">
        <w:rPr>
          <w:rFonts w:ascii="Times New Roman" w:hAnsi="Times New Roman" w:cs="Times New Roman"/>
          <w:sz w:val="24"/>
          <w:szCs w:val="24"/>
        </w:rPr>
        <w:t xml:space="preserve"> </w:t>
      </w:r>
      <w:proofErr w:type="spellStart"/>
      <w:r w:rsidRPr="00B336AA">
        <w:rPr>
          <w:rFonts w:ascii="Times New Roman" w:hAnsi="Times New Roman" w:cs="Times New Roman"/>
          <w:sz w:val="24"/>
          <w:szCs w:val="24"/>
        </w:rPr>
        <w:t>mN</w:t>
      </w:r>
      <w:proofErr w:type="spellEnd"/>
      <w:r>
        <w:rPr>
          <w:rFonts w:ascii="Times New Roman" w:hAnsi="Times New Roman" w:cs="Times New Roman"/>
          <w:sz w:val="24"/>
          <w:szCs w:val="24"/>
        </w:rPr>
        <w:t>/s</w:t>
      </w:r>
      <w:r w:rsidRPr="00B336AA">
        <w:rPr>
          <w:rFonts w:ascii="Times New Roman" w:hAnsi="Times New Roman" w:cs="Times New Roman"/>
          <w:sz w:val="24"/>
          <w:szCs w:val="24"/>
        </w:rPr>
        <w:t xml:space="preserve">. </w:t>
      </w:r>
      <w:r>
        <w:rPr>
          <w:rFonts w:ascii="Times New Roman" w:hAnsi="Times New Roman" w:cs="Times New Roman"/>
          <w:sz w:val="24"/>
          <w:szCs w:val="24"/>
        </w:rPr>
        <w:t xml:space="preserve">Reduced moduli were calculated from the unloading curves using the </w:t>
      </w:r>
      <w:proofErr w:type="spellStart"/>
      <w:r>
        <w:rPr>
          <w:rFonts w:ascii="Times New Roman" w:hAnsi="Times New Roman" w:cs="Times New Roman"/>
          <w:sz w:val="24"/>
          <w:szCs w:val="24"/>
        </w:rPr>
        <w:t>Hysitron</w:t>
      </w:r>
      <w:proofErr w:type="spellEnd"/>
      <w:r>
        <w:rPr>
          <w:rFonts w:ascii="Times New Roman" w:hAnsi="Times New Roman" w:cs="Times New Roman"/>
          <w:sz w:val="24"/>
          <w:szCs w:val="24"/>
        </w:rPr>
        <w:t xml:space="preserve"> software by fitting a slope to the unloading force-displacement curve. </w:t>
      </w:r>
    </w:p>
    <w:p w14:paraId="48054F0A" w14:textId="77777777" w:rsidR="007A0785" w:rsidRPr="00B336AA" w:rsidRDefault="007A0785" w:rsidP="007A0785">
      <w:pPr>
        <w:spacing w:line="480" w:lineRule="auto"/>
        <w:jc w:val="both"/>
        <w:rPr>
          <w:rFonts w:ascii="Times New Roman" w:hAnsi="Times New Roman" w:cs="Times New Roman"/>
          <w:b/>
          <w:bCs/>
          <w:sz w:val="24"/>
          <w:szCs w:val="24"/>
        </w:rPr>
      </w:pPr>
      <w:r w:rsidRPr="00CD2456">
        <w:rPr>
          <w:rFonts w:ascii="Times New Roman" w:hAnsi="Times New Roman" w:cs="Times New Roman"/>
          <w:b/>
          <w:bCs/>
          <w:sz w:val="24"/>
          <w:szCs w:val="24"/>
        </w:rPr>
        <w:t xml:space="preserve">Raman </w:t>
      </w:r>
      <w:r>
        <w:rPr>
          <w:rFonts w:ascii="Times New Roman" w:hAnsi="Times New Roman" w:cs="Times New Roman"/>
          <w:b/>
          <w:bCs/>
          <w:sz w:val="24"/>
          <w:szCs w:val="24"/>
        </w:rPr>
        <w:t xml:space="preserve">confocal imaging. </w:t>
      </w:r>
      <w:r w:rsidRPr="00B336AA">
        <w:rPr>
          <w:rFonts w:ascii="Times New Roman" w:hAnsi="Times New Roman" w:cs="Times New Roman"/>
          <w:sz w:val="24"/>
          <w:szCs w:val="24"/>
        </w:rPr>
        <w:t xml:space="preserve">Raman spectra were obtained with a Horiba </w:t>
      </w:r>
      <w:proofErr w:type="spellStart"/>
      <w:r w:rsidRPr="00B336AA">
        <w:rPr>
          <w:rFonts w:ascii="Times New Roman" w:hAnsi="Times New Roman" w:cs="Times New Roman"/>
          <w:sz w:val="24"/>
          <w:szCs w:val="24"/>
        </w:rPr>
        <w:t>LabRAM</w:t>
      </w:r>
      <w:proofErr w:type="spellEnd"/>
      <w:r w:rsidRPr="00B336AA">
        <w:rPr>
          <w:rFonts w:ascii="Times New Roman" w:hAnsi="Times New Roman" w:cs="Times New Roman"/>
          <w:sz w:val="24"/>
          <w:szCs w:val="24"/>
        </w:rPr>
        <w:t xml:space="preserve"> HR 3D Raman confocal imaging microscope equipped with an 830 nm laser, a 300 groove </w:t>
      </w:r>
      <w:r>
        <w:rPr>
          <w:rFonts w:ascii="Times New Roman" w:hAnsi="Times New Roman" w:cs="Times New Roman"/>
          <w:sz w:val="24"/>
          <w:szCs w:val="24"/>
        </w:rPr>
        <w:t>1/mm</w:t>
      </w:r>
      <w:r w:rsidRPr="00B336AA">
        <w:rPr>
          <w:rFonts w:ascii="Times New Roman" w:hAnsi="Times New Roman" w:cs="Times New Roman"/>
          <w:sz w:val="24"/>
          <w:szCs w:val="24"/>
        </w:rPr>
        <w:t xml:space="preserve"> grating (blazed at 600 nm), a long working distance 20</w:t>
      </w:r>
      <w:r>
        <w:rPr>
          <w:rFonts w:ascii="Times New Roman" w:hAnsi="Times New Roman" w:cs="Times New Roman"/>
          <w:sz w:val="24"/>
          <w:szCs w:val="24"/>
        </w:rPr>
        <w:t>x</w:t>
      </w:r>
      <w:r w:rsidRPr="00B336AA">
        <w:rPr>
          <w:rFonts w:ascii="Times New Roman" w:hAnsi="Times New Roman" w:cs="Times New Roman"/>
          <w:sz w:val="24"/>
          <w:szCs w:val="24"/>
        </w:rPr>
        <w:t xml:space="preserve"> objective from Leica, and a Horiba Synapse back-illuminated deep depletion CCD camera</w:t>
      </w:r>
      <w:r w:rsidRPr="00C83F31">
        <w:rPr>
          <w:rFonts w:ascii="Times New Roman" w:hAnsi="Times New Roman" w:cs="Times New Roman"/>
          <w:sz w:val="24"/>
          <w:szCs w:val="24"/>
          <w:vertAlign w:val="superscript"/>
        </w:rPr>
        <w:t>2</w:t>
      </w:r>
      <w:r w:rsidRPr="00B336AA">
        <w:rPr>
          <w:rFonts w:ascii="Times New Roman" w:hAnsi="Times New Roman" w:cs="Times New Roman"/>
          <w:sz w:val="24"/>
          <w:szCs w:val="24"/>
        </w:rPr>
        <w:t xml:space="preserve">. </w:t>
      </w:r>
    </w:p>
    <w:p w14:paraId="0EB61D09" w14:textId="77777777" w:rsidR="007A0785" w:rsidRDefault="007A0785" w:rsidP="007A0785">
      <w:pPr>
        <w:spacing w:line="480" w:lineRule="auto"/>
        <w:jc w:val="both"/>
        <w:rPr>
          <w:rFonts w:ascii="Times New Roman" w:hAnsi="Times New Roman" w:cs="Times New Roman"/>
          <w:sz w:val="24"/>
          <w:szCs w:val="24"/>
        </w:rPr>
      </w:pPr>
      <w:bookmarkStart w:id="0" w:name="_Hlk135913240"/>
      <w:r w:rsidRPr="0089177F">
        <w:rPr>
          <w:rFonts w:ascii="Times New Roman" w:hAnsi="Times New Roman" w:cs="Times New Roman"/>
          <w:b/>
          <w:bCs/>
          <w:sz w:val="24"/>
          <w:szCs w:val="24"/>
        </w:rPr>
        <w:t xml:space="preserve">Nuclear magnetic resonance (NMR). </w:t>
      </w:r>
      <w:r w:rsidRPr="0089177F">
        <w:rPr>
          <w:rFonts w:ascii="Times New Roman" w:hAnsi="Times New Roman" w:cs="Times New Roman"/>
          <w:sz w:val="24"/>
          <w:szCs w:val="24"/>
          <w:vertAlign w:val="superscript"/>
        </w:rPr>
        <w:t>1</w:t>
      </w:r>
      <w:r w:rsidRPr="0089177F">
        <w:rPr>
          <w:rFonts w:ascii="Times New Roman" w:hAnsi="Times New Roman" w:cs="Times New Roman"/>
          <w:sz w:val="24"/>
          <w:szCs w:val="24"/>
        </w:rPr>
        <w:t xml:space="preserve">H NMR and </w:t>
      </w:r>
      <w:r w:rsidRPr="0089177F">
        <w:rPr>
          <w:rFonts w:ascii="Times New Roman" w:hAnsi="Times New Roman" w:cs="Times New Roman"/>
          <w:sz w:val="24"/>
          <w:szCs w:val="24"/>
          <w:vertAlign w:val="superscript"/>
        </w:rPr>
        <w:t>13</w:t>
      </w:r>
      <w:r w:rsidRPr="0089177F">
        <w:rPr>
          <w:rFonts w:ascii="Times New Roman" w:hAnsi="Times New Roman" w:cs="Times New Roman"/>
          <w:sz w:val="24"/>
          <w:szCs w:val="24"/>
        </w:rPr>
        <w:t xml:space="preserve">C spectra were obtained at room temperature in </w:t>
      </w:r>
      <w:r>
        <w:rPr>
          <w:rFonts w:ascii="Times New Roman" w:hAnsi="Times New Roman" w:cs="Times New Roman"/>
          <w:sz w:val="24"/>
          <w:szCs w:val="24"/>
        </w:rPr>
        <w:t>d</w:t>
      </w:r>
      <w:r w:rsidRPr="007F30FB">
        <w:rPr>
          <w:rFonts w:ascii="Times New Roman" w:hAnsi="Times New Roman" w:cs="Times New Roman"/>
          <w:sz w:val="24"/>
          <w:szCs w:val="24"/>
        </w:rPr>
        <w:t>euterated chloroform (CDCl</w:t>
      </w:r>
      <w:r w:rsidRPr="007F30FB">
        <w:rPr>
          <w:rFonts w:ascii="Times New Roman" w:hAnsi="Times New Roman" w:cs="Times New Roman"/>
          <w:sz w:val="24"/>
          <w:szCs w:val="24"/>
          <w:vertAlign w:val="subscript"/>
        </w:rPr>
        <w:t>3</w:t>
      </w:r>
      <w:r w:rsidRPr="007F30FB">
        <w:rPr>
          <w:rFonts w:ascii="Times New Roman" w:hAnsi="Times New Roman" w:cs="Times New Roman"/>
          <w:sz w:val="24"/>
          <w:szCs w:val="24"/>
        </w:rPr>
        <w:t xml:space="preserve">) </w:t>
      </w:r>
      <w:r w:rsidRPr="0089177F">
        <w:rPr>
          <w:rFonts w:ascii="Times New Roman" w:hAnsi="Times New Roman" w:cs="Times New Roman"/>
          <w:sz w:val="24"/>
          <w:szCs w:val="24"/>
        </w:rPr>
        <w:t>on Bruker CB500 with cryoprobe (</w:t>
      </w:r>
      <w:r w:rsidRPr="0089177F">
        <w:rPr>
          <w:rFonts w:ascii="Times New Roman" w:hAnsi="Times New Roman" w:cs="Times New Roman"/>
          <w:sz w:val="24"/>
          <w:szCs w:val="24"/>
          <w:vertAlign w:val="superscript"/>
        </w:rPr>
        <w:t>1</w:t>
      </w:r>
      <w:r w:rsidRPr="0089177F">
        <w:rPr>
          <w:rFonts w:ascii="Times New Roman" w:hAnsi="Times New Roman" w:cs="Times New Roman"/>
          <w:sz w:val="24"/>
          <w:szCs w:val="24"/>
        </w:rPr>
        <w:t xml:space="preserve">H NMR at 500 MHz and </w:t>
      </w:r>
      <w:r w:rsidRPr="0089177F">
        <w:rPr>
          <w:rFonts w:ascii="Times New Roman" w:hAnsi="Times New Roman" w:cs="Times New Roman"/>
          <w:sz w:val="24"/>
          <w:szCs w:val="24"/>
          <w:vertAlign w:val="superscript"/>
        </w:rPr>
        <w:t>13</w:t>
      </w:r>
      <w:r w:rsidRPr="0089177F">
        <w:rPr>
          <w:rFonts w:ascii="Times New Roman" w:hAnsi="Times New Roman" w:cs="Times New Roman"/>
          <w:sz w:val="24"/>
          <w:szCs w:val="24"/>
        </w:rPr>
        <w:t xml:space="preserve">C NMR at 126 MHz), using deuterium lock. Data for </w:t>
      </w:r>
      <w:r w:rsidRPr="0089177F">
        <w:rPr>
          <w:rFonts w:ascii="Times New Roman" w:hAnsi="Times New Roman" w:cs="Times New Roman"/>
          <w:sz w:val="24"/>
          <w:szCs w:val="24"/>
          <w:vertAlign w:val="superscript"/>
        </w:rPr>
        <w:t>1</w:t>
      </w:r>
      <w:r w:rsidRPr="0089177F">
        <w:rPr>
          <w:rFonts w:ascii="Times New Roman" w:hAnsi="Times New Roman" w:cs="Times New Roman"/>
          <w:sz w:val="24"/>
          <w:szCs w:val="24"/>
        </w:rPr>
        <w:t xml:space="preserve">H NMR spectra are quoted </w:t>
      </w:r>
      <w:r w:rsidRPr="0089177F">
        <w:rPr>
          <w:rFonts w:ascii="Times New Roman" w:hAnsi="Times New Roman" w:cs="Times New Roman"/>
          <w:sz w:val="24"/>
          <w:szCs w:val="24"/>
        </w:rPr>
        <w:lastRenderedPageBreak/>
        <w:t xml:space="preserve">relative to </w:t>
      </w:r>
      <w:r>
        <w:rPr>
          <w:rFonts w:ascii="Times New Roman" w:hAnsi="Times New Roman" w:cs="Times New Roman"/>
          <w:sz w:val="24"/>
          <w:szCs w:val="24"/>
        </w:rPr>
        <w:t>solvent</w:t>
      </w:r>
      <w:r w:rsidRPr="0089177F">
        <w:rPr>
          <w:rFonts w:ascii="Times New Roman" w:hAnsi="Times New Roman" w:cs="Times New Roman"/>
          <w:sz w:val="24"/>
          <w:szCs w:val="24"/>
        </w:rPr>
        <w:t xml:space="preserve"> as an internal standard (</w:t>
      </w:r>
      <w:r w:rsidRPr="007F30FB">
        <w:rPr>
          <w:rFonts w:ascii="Times New Roman" w:hAnsi="Times New Roman" w:cs="Times New Roman"/>
          <w:sz w:val="24"/>
          <w:szCs w:val="24"/>
        </w:rPr>
        <w:t xml:space="preserve">7.26 </w:t>
      </w:r>
      <w:r w:rsidRPr="0089177F">
        <w:rPr>
          <w:rFonts w:ascii="Times New Roman" w:hAnsi="Times New Roman" w:cs="Times New Roman"/>
          <w:sz w:val="24"/>
          <w:szCs w:val="24"/>
        </w:rPr>
        <w:t>ppm)</w:t>
      </w:r>
      <w:r>
        <w:rPr>
          <w:rFonts w:ascii="Times New Roman" w:hAnsi="Times New Roman" w:cs="Times New Roman"/>
          <w:sz w:val="24"/>
          <w:szCs w:val="24"/>
        </w:rPr>
        <w:t>,</w:t>
      </w:r>
      <w:r w:rsidRPr="0089177F">
        <w:rPr>
          <w:rFonts w:ascii="Times New Roman" w:hAnsi="Times New Roman" w:cs="Times New Roman"/>
          <w:sz w:val="24"/>
          <w:szCs w:val="24"/>
        </w:rPr>
        <w:t xml:space="preserve"> and data for </w:t>
      </w:r>
      <w:r w:rsidRPr="0089177F">
        <w:rPr>
          <w:rFonts w:ascii="Times New Roman" w:hAnsi="Times New Roman" w:cs="Times New Roman"/>
          <w:sz w:val="24"/>
          <w:szCs w:val="24"/>
          <w:vertAlign w:val="superscript"/>
        </w:rPr>
        <w:t>13</w:t>
      </w:r>
      <w:r w:rsidRPr="0089177F">
        <w:rPr>
          <w:rFonts w:ascii="Times New Roman" w:hAnsi="Times New Roman" w:cs="Times New Roman"/>
          <w:sz w:val="24"/>
          <w:szCs w:val="24"/>
        </w:rPr>
        <w:t>C NMR spectra are quoted relative to dichloromethane as an internal standard (</w:t>
      </w:r>
      <w:r w:rsidRPr="007F30FB">
        <w:rPr>
          <w:rFonts w:ascii="Times New Roman" w:hAnsi="Times New Roman" w:cs="Times New Roman"/>
          <w:sz w:val="24"/>
          <w:szCs w:val="24"/>
        </w:rPr>
        <w:t>77.16 ppm</w:t>
      </w:r>
      <w:r w:rsidRPr="0089177F">
        <w:rPr>
          <w:rFonts w:ascii="Times New Roman" w:hAnsi="Times New Roman" w:cs="Times New Roman"/>
          <w:sz w:val="24"/>
          <w:szCs w:val="24"/>
        </w:rPr>
        <w:t>)</w:t>
      </w:r>
      <w:r>
        <w:rPr>
          <w:rFonts w:ascii="Times New Roman" w:hAnsi="Times New Roman" w:cs="Times New Roman"/>
          <w:sz w:val="24"/>
          <w:szCs w:val="24"/>
        </w:rPr>
        <w:t xml:space="preserve">. </w:t>
      </w:r>
      <w:bookmarkEnd w:id="0"/>
      <w:r w:rsidRPr="007F30FB">
        <w:rPr>
          <w:rFonts w:ascii="Times New Roman" w:hAnsi="Times New Roman" w:cs="Times New Roman"/>
          <w:sz w:val="24"/>
          <w:szCs w:val="24"/>
          <w:vertAlign w:val="superscript"/>
        </w:rPr>
        <w:t>1</w:t>
      </w:r>
      <w:r w:rsidRPr="007F30FB">
        <w:rPr>
          <w:rFonts w:ascii="Times New Roman" w:hAnsi="Times New Roman" w:cs="Times New Roman"/>
          <w:sz w:val="24"/>
          <w:szCs w:val="24"/>
        </w:rPr>
        <w:t xml:space="preserve">H NMR spectra were collected over 16 scans from 16 to -4 ppm. </w:t>
      </w:r>
      <w:r w:rsidRPr="007F30FB">
        <w:rPr>
          <w:rFonts w:ascii="Times New Roman" w:hAnsi="Times New Roman" w:cs="Times New Roman"/>
          <w:sz w:val="24"/>
          <w:szCs w:val="24"/>
          <w:vertAlign w:val="superscript"/>
        </w:rPr>
        <w:t>13</w:t>
      </w:r>
      <w:r w:rsidRPr="007F30FB">
        <w:rPr>
          <w:rFonts w:ascii="Times New Roman" w:hAnsi="Times New Roman" w:cs="Times New Roman"/>
          <w:sz w:val="24"/>
          <w:szCs w:val="24"/>
        </w:rPr>
        <w:t>C NMR spectra were collected over 252 scans from 235 to -15 ppm</w:t>
      </w:r>
      <w:r>
        <w:rPr>
          <w:rFonts w:ascii="Times New Roman" w:hAnsi="Times New Roman" w:cs="Times New Roman"/>
          <w:sz w:val="24"/>
          <w:szCs w:val="24"/>
        </w:rPr>
        <w:t xml:space="preserve">. </w:t>
      </w:r>
      <w:r w:rsidRPr="007F30FB">
        <w:rPr>
          <w:rFonts w:ascii="Times New Roman" w:hAnsi="Times New Roman" w:cs="Times New Roman"/>
          <w:sz w:val="24"/>
          <w:szCs w:val="24"/>
        </w:rPr>
        <w:t xml:space="preserve">Heteronuclear Single Quantum Coherence (HSQC) NMR spectra were collected over the range used in the 1D NMR studies. </w:t>
      </w:r>
    </w:p>
    <w:p w14:paraId="7B84930B" w14:textId="77777777" w:rsidR="007A0785" w:rsidRPr="00F51D9A" w:rsidRDefault="007A0785" w:rsidP="007A0785">
      <w:pPr>
        <w:spacing w:line="480" w:lineRule="auto"/>
        <w:jc w:val="both"/>
        <w:rPr>
          <w:rFonts w:ascii="Times New Roman" w:hAnsi="Times New Roman" w:cs="Times New Roman"/>
          <w:sz w:val="24"/>
          <w:szCs w:val="24"/>
        </w:rPr>
      </w:pPr>
      <w:bookmarkStart w:id="1" w:name="_Hlk137455789"/>
      <w:r w:rsidRPr="003D4388">
        <w:rPr>
          <w:rFonts w:ascii="Times New Roman" w:hAnsi="Times New Roman" w:cs="Times New Roman" w:hint="cs"/>
          <w:b/>
          <w:bCs/>
          <w:sz w:val="24"/>
          <w:szCs w:val="24"/>
        </w:rPr>
        <w:t>C</w:t>
      </w:r>
      <w:r w:rsidRPr="003D4388">
        <w:rPr>
          <w:rFonts w:ascii="Times New Roman" w:hAnsi="Times New Roman" w:cs="Times New Roman"/>
          <w:b/>
          <w:bCs/>
          <w:sz w:val="24"/>
          <w:szCs w:val="24"/>
        </w:rPr>
        <w:t>omputational modeling.</w:t>
      </w:r>
      <w:r w:rsidRPr="003D4388">
        <w:rPr>
          <w:rFonts w:ascii="Times New Roman" w:hAnsi="Times New Roman" w:cs="Times New Roman"/>
          <w:sz w:val="24"/>
          <w:szCs w:val="24"/>
        </w:rPr>
        <w:t xml:space="preserve"> </w:t>
      </w:r>
      <w:r>
        <w:rPr>
          <w:rFonts w:ascii="Times New Roman" w:hAnsi="Times New Roman" w:cs="Times New Roman" w:hint="eastAsia"/>
          <w:sz w:val="24"/>
          <w:szCs w:val="24"/>
        </w:rPr>
        <w:t>Num</w:t>
      </w:r>
      <w:r>
        <w:rPr>
          <w:rFonts w:ascii="Times New Roman" w:hAnsi="Times New Roman" w:cs="Times New Roman"/>
          <w:sz w:val="24"/>
          <w:szCs w:val="24"/>
        </w:rPr>
        <w:t>erical analyses were conducted in a two-dimensional domain comprising two subdomains of the COD resin and the silicone rubber bands, as presented in Extended Data Fig. 1. The length (</w:t>
      </w:r>
      <m:oMath>
        <m:r>
          <w:rPr>
            <w:rFonts w:ascii="Cambria Math" w:hAnsi="Cambria Math" w:cs="Times New Roman"/>
            <w:sz w:val="24"/>
            <w:szCs w:val="24"/>
          </w:rPr>
          <m:t>l=</m:t>
        </m:r>
      </m:oMath>
      <w:r>
        <w:rPr>
          <w:rFonts w:ascii="Times New Roman" w:hAnsi="Times New Roman" w:cs="Times New Roman" w:hint="eastAsia"/>
          <w:sz w:val="24"/>
          <w:szCs w:val="24"/>
        </w:rPr>
        <w:t xml:space="preserve"> </w:t>
      </w:r>
      <w:r>
        <w:rPr>
          <w:rFonts w:ascii="Times New Roman" w:hAnsi="Times New Roman" w:cs="Times New Roman"/>
          <w:sz w:val="24"/>
          <w:szCs w:val="24"/>
        </w:rPr>
        <w:t>50 mm) and width (</w:t>
      </w:r>
      <m:oMath>
        <m:sSub>
          <m:sSubPr>
            <m:ctrlPr>
              <w:rPr>
                <w:rFonts w:ascii="Cambria Math" w:hAnsi="Cambria Math" w:cs="Times New Roman"/>
                <w:i/>
                <w:sz w:val="24"/>
                <w:szCs w:val="24"/>
              </w:rPr>
            </m:ctrlPr>
          </m:sSubPr>
          <m:e>
            <m:r>
              <w:rPr>
                <w:rFonts w:ascii="Cambria Math" w:hAnsi="Cambria Math" w:cs="Times New Roman"/>
                <w:sz w:val="24"/>
                <w:szCs w:val="24"/>
              </w:rPr>
              <m:t>W</m:t>
            </m:r>
          </m:e>
          <m:sub>
            <m:r>
              <m:rPr>
                <m:sty m:val="p"/>
              </m:rPr>
              <w:rPr>
                <w:rFonts w:ascii="Cambria Math" w:hAnsi="Cambria Math" w:cs="Times New Roman"/>
                <w:sz w:val="24"/>
                <w:szCs w:val="24"/>
              </w:rPr>
              <m:t>s</m:t>
            </m:r>
          </m:sub>
        </m:sSub>
        <m:r>
          <w:rPr>
            <w:rFonts w:ascii="Cambria Math" w:hAnsi="Cambria Math" w:cs="Times New Roman"/>
            <w:sz w:val="24"/>
            <w:szCs w:val="24"/>
          </w:rPr>
          <m:t>=</m:t>
        </m:r>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2.5 mm) of the silicone rubber band were kept as constant in all simulations while the width of the COD resin </w:t>
      </w:r>
      <m:oMath>
        <m:sSub>
          <m:sSubPr>
            <m:ctrlPr>
              <w:rPr>
                <w:rFonts w:ascii="Cambria Math" w:hAnsi="Cambria Math" w:cs="Times New Roman"/>
                <w:i/>
                <w:sz w:val="24"/>
                <w:szCs w:val="24"/>
              </w:rPr>
            </m:ctrlPr>
          </m:sSubPr>
          <m:e>
            <m:r>
              <w:rPr>
                <w:rFonts w:ascii="Cambria Math" w:hAnsi="Cambria Math" w:cs="Times New Roman"/>
                <w:sz w:val="24"/>
                <w:szCs w:val="24"/>
              </w:rPr>
              <m:t>w</m:t>
            </m:r>
          </m:e>
          <m:sub>
            <m:r>
              <m:rPr>
                <m:sty m:val="p"/>
              </m:rPr>
              <w:rPr>
                <w:rFonts w:ascii="Cambria Math" w:hAnsi="Cambria Math" w:cs="Times New Roman"/>
                <w:sz w:val="24"/>
                <w:szCs w:val="24"/>
              </w:rPr>
              <m:t>r</m:t>
            </m:r>
          </m:sub>
        </m:sSub>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varied between 5 and 50 mm, consistent with the experimental setup. The polymerization front was numerically initiated at an inclined boundary (marked by the red dashed line) to mimic the asymmetric effect on frontal polymerization in experiment. The length of the boundaries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1</m:t>
            </m:r>
          </m:sub>
        </m:sSub>
        <m:r>
          <w:rPr>
            <w:rFonts w:ascii="Cambria Math" w:hAnsi="Cambria Math" w:cs="Times New Roman"/>
            <w:sz w:val="24"/>
            <w:szCs w:val="24"/>
          </w:rPr>
          <m:t>=</m:t>
        </m:r>
      </m:oMath>
      <w:r>
        <w:rPr>
          <w:rFonts w:ascii="Times New Roman" w:hAnsi="Times New Roman" w:cs="Times New Roman" w:hint="eastAsia"/>
          <w:sz w:val="24"/>
          <w:szCs w:val="24"/>
        </w:rPr>
        <w:t xml:space="preserve"> </w:t>
      </w:r>
      <w:r>
        <w:rPr>
          <w:rFonts w:ascii="Times New Roman" w:hAnsi="Times New Roman" w:cs="Times New Roman"/>
          <w:sz w:val="24"/>
          <w:szCs w:val="24"/>
        </w:rPr>
        <w:t>2 mm</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2</m:t>
            </m:r>
          </m:sub>
        </m:sSub>
        <m:r>
          <w:rPr>
            <w:rFonts w:ascii="Cambria Math" w:hAnsi="Cambria Math" w:cs="Times New Roman"/>
            <w:sz w:val="24"/>
            <w:szCs w:val="24"/>
          </w:rPr>
          <m:t>=</m:t>
        </m:r>
      </m:oMath>
      <w:r>
        <w:rPr>
          <w:rFonts w:ascii="Times New Roman" w:hAnsi="Times New Roman" w:cs="Times New Roman" w:hint="eastAsia"/>
          <w:sz w:val="24"/>
          <w:szCs w:val="24"/>
        </w:rPr>
        <w:t xml:space="preserve"> </w:t>
      </w:r>
      <w:r>
        <w:rPr>
          <w:rFonts w:ascii="Times New Roman" w:hAnsi="Times New Roman" w:cs="Times New Roman"/>
          <w:sz w:val="24"/>
          <w:szCs w:val="24"/>
        </w:rPr>
        <w:t>1 mm</w:t>
      </w:r>
      <w:r>
        <w:rPr>
          <w:rFonts w:ascii="Times New Roman" w:hAnsi="Times New Roman" w:cs="Times New Roman" w:hint="eastAsia"/>
          <w:sz w:val="24"/>
          <w:szCs w:val="24"/>
        </w:rPr>
        <w:t xml:space="preserve"> </w:t>
      </w:r>
      <w:r>
        <w:rPr>
          <w:rFonts w:ascii="Times New Roman" w:hAnsi="Times New Roman" w:cs="Times New Roman"/>
          <w:sz w:val="24"/>
          <w:szCs w:val="24"/>
        </w:rPr>
        <w:t>remained constant in all simulations. The glass mold was not explicitly considered in the numerical analyses.</w:t>
      </w:r>
    </w:p>
    <w:p w14:paraId="280A16B7" w14:textId="77777777" w:rsidR="007A0785" w:rsidRPr="003D4388" w:rsidRDefault="007A0785" w:rsidP="007A0785">
      <w:pPr>
        <w:spacing w:line="480" w:lineRule="auto"/>
        <w:ind w:firstLineChars="100" w:firstLine="240"/>
        <w:jc w:val="both"/>
        <w:rPr>
          <w:rFonts w:ascii="Times New Roman" w:hAnsi="Times New Roman" w:cs="Times New Roman"/>
          <w:sz w:val="24"/>
          <w:szCs w:val="24"/>
        </w:rPr>
      </w:pPr>
      <w:r w:rsidRPr="003D4388">
        <w:rPr>
          <w:rFonts w:ascii="Times New Roman" w:hAnsi="Times New Roman" w:cs="Times New Roman"/>
          <w:sz w:val="24"/>
          <w:szCs w:val="24"/>
        </w:rPr>
        <w:t xml:space="preserve">Frontal polymerization of COD was </w:t>
      </w:r>
      <w:bookmarkStart w:id="2" w:name="_Hlk150960067"/>
      <w:r w:rsidRPr="003D4388">
        <w:rPr>
          <w:rFonts w:ascii="Times New Roman" w:hAnsi="Times New Roman" w:cs="Times New Roman"/>
          <w:sz w:val="24"/>
          <w:szCs w:val="24"/>
        </w:rPr>
        <w:t>modeled by the following reaction-diffusion partial differential equations</w:t>
      </w:r>
      <w:bookmarkEnd w:id="2"/>
      <w:r w:rsidRPr="003D4388">
        <w:rPr>
          <w:rFonts w:ascii="Times New Roman" w:hAnsi="Times New Roman" w:cs="Times New Roman"/>
          <w:sz w:val="24"/>
          <w:szCs w:val="24"/>
        </w:rPr>
        <w:t>:</w:t>
      </w:r>
    </w:p>
    <w:p w14:paraId="26163EED" w14:textId="77777777" w:rsidR="007A0785" w:rsidRPr="003D4388" w:rsidRDefault="007A0785" w:rsidP="007A0785">
      <w:pPr>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r>
                        <w:rPr>
                          <w:rFonts w:ascii="Cambria Math" w:hAnsi="Cambria Math" w:cs="Times New Roman"/>
                          <w:sz w:val="24"/>
                          <w:szCs w:val="24"/>
                        </w:rPr>
                        <m:t>&amp;</m:t>
                      </m:r>
                      <m:sSub>
                        <m:sSubPr>
                          <m:ctrlPr>
                            <w:rPr>
                              <w:rFonts w:ascii="Cambria Math" w:hAnsi="Cambria Math" w:cs="Times New Roman"/>
                              <w:i/>
                              <w:sz w:val="24"/>
                              <w:szCs w:val="24"/>
                            </w:rPr>
                          </m:ctrlPr>
                        </m:sSubPr>
                        <m:e>
                          <m:r>
                            <w:rPr>
                              <w:rFonts w:ascii="Cambria Math" w:hAnsi="Cambria Math" w:cs="Times New Roman"/>
                              <w:sz w:val="24"/>
                              <w:szCs w:val="24"/>
                            </w:rPr>
                            <m:t>κ</m:t>
                          </m:r>
                        </m:e>
                        <m:sub>
                          <w:bookmarkStart w:id="3" w:name="_Hlk136404929"/>
                          <m:r>
                            <m:rPr>
                              <m:sty m:val="p"/>
                            </m:rPr>
                            <w:rPr>
                              <w:rFonts w:ascii="Cambria Math" w:hAnsi="Cambria Math" w:cs="Times New Roman"/>
                              <w:sz w:val="24"/>
                              <w:szCs w:val="24"/>
                            </w:rPr>
                            <m:t>r</m:t>
                          </m:r>
                          <w:bookmarkEnd w:id="3"/>
                        </m:sub>
                      </m:sSub>
                      <m:sSup>
                        <m:sSupPr>
                          <m:ctrlPr>
                            <w:rPr>
                              <w:rFonts w:ascii="Cambria Math" w:hAnsi="Cambria Math" w:cs="Times New Roman"/>
                              <w:i/>
                              <w:sz w:val="24"/>
                              <w:szCs w:val="24"/>
                            </w:rPr>
                          </m:ctrlPr>
                        </m:sSupPr>
                        <m:e>
                          <m:r>
                            <m:rPr>
                              <m:sty m:val="p"/>
                            </m:rPr>
                            <w:rPr>
                              <w:rFonts w:ascii="Cambria Math" w:hAnsi="Cambria Math" w:cs="Times New Roman"/>
                              <w:sz w:val="24"/>
                              <w:szCs w:val="24"/>
                            </w:rPr>
                            <m:t>∇</m:t>
                          </m:r>
                          <m:ctrlPr>
                            <w:rPr>
                              <w:rFonts w:ascii="Cambria Math" w:hAnsi="Cambria Math" w:cs="Times New Roman"/>
                              <w:sz w:val="24"/>
                              <w:szCs w:val="24"/>
                            </w:rPr>
                          </m:ctrlPr>
                        </m:e>
                        <m:sup>
                          <m:r>
                            <w:rPr>
                              <w:rFonts w:ascii="Cambria Math" w:hAnsi="Cambria Math" w:cs="Times New Roman"/>
                              <w:sz w:val="24"/>
                              <w:szCs w:val="24"/>
                            </w:rPr>
                            <m:t>2</m:t>
                          </m:r>
                        </m:sup>
                      </m:sSup>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ρ</m:t>
                          </m:r>
                        </m:e>
                        <m:sub>
                          <m:r>
                            <m:rPr>
                              <m:sty m:val="p"/>
                            </m:rPr>
                            <w:rPr>
                              <w:rFonts w:ascii="Cambria Math" w:hAnsi="Cambria Math" w:cs="Times New Roman"/>
                              <w:sz w:val="24"/>
                              <w:szCs w:val="24"/>
                            </w:rPr>
                            <m:t>r</m:t>
                          </m:r>
                        </m:sub>
                      </m:sSub>
                      <m:sSub>
                        <m:sSubPr>
                          <m:ctrlPr>
                            <w:rPr>
                              <w:rFonts w:ascii="Cambria Math" w:hAnsi="Cambria Math" w:cs="Times New Roman"/>
                              <w:i/>
                              <w:sz w:val="24"/>
                              <w:szCs w:val="24"/>
                            </w:rPr>
                          </m:ctrlPr>
                        </m:sSubPr>
                        <m:e>
                          <m:r>
                            <w:rPr>
                              <w:rFonts w:ascii="Cambria Math" w:hAnsi="Cambria Math" w:cs="Times New Roman"/>
                              <w:sz w:val="24"/>
                              <w:szCs w:val="24"/>
                            </w:rPr>
                            <m:t>H</m:t>
                          </m:r>
                        </m:e>
                        <m:sub>
                          <m:r>
                            <m:rPr>
                              <m:sty m:val="p"/>
                            </m:rPr>
                            <w:rPr>
                              <w:rFonts w:ascii="Cambria Math" w:hAnsi="Cambria Math" w:cs="Times New Roman"/>
                              <w:sz w:val="24"/>
                              <w:szCs w:val="24"/>
                            </w:rPr>
                            <m:t>r</m:t>
                          </m:r>
                        </m:sub>
                      </m:sSub>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sz w:val="24"/>
                              <w:szCs w:val="24"/>
                            </w:rPr>
                            <m:t>∂t</m:t>
                          </m:r>
                        </m:den>
                      </m:f>
                      <m:r>
                        <w:rPr>
                          <w:rFonts w:ascii="Cambria Math" w:hAnsi="Cambria Math" w:cs="Times New Roman"/>
                          <w:sz w:val="24"/>
                          <w:szCs w:val="24"/>
                        </w:rPr>
                        <m:t>-H(T-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m:rPr>
                              <m:sty m:val="p"/>
                            </m:rPr>
                            <w:rPr>
                              <w:rFonts w:ascii="Cambria Math" w:hAnsi="Cambria Math" w:cs="Times New Roman"/>
                              <w:sz w:val="24"/>
                              <w:szCs w:val="24"/>
                            </w:rPr>
                            <m:t>r</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p,</m:t>
                          </m:r>
                          <m:r>
                            <m:rPr>
                              <m:sty m:val="p"/>
                            </m:rPr>
                            <w:rPr>
                              <w:rFonts w:ascii="Cambria Math" w:hAnsi="Cambria Math" w:cs="Times New Roman"/>
                              <w:sz w:val="24"/>
                              <w:szCs w:val="24"/>
                            </w:rPr>
                            <m:t>r</m:t>
                          </m:r>
                        </m:sub>
                      </m:sSub>
                      <m:f>
                        <m:fPr>
                          <m:ctrlPr>
                            <w:rPr>
                              <w:rFonts w:ascii="Cambria Math" w:hAnsi="Cambria Math" w:cs="Times New Roman"/>
                              <w:i/>
                              <w:sz w:val="24"/>
                              <w:szCs w:val="24"/>
                            </w:rPr>
                          </m:ctrlPr>
                        </m:fPr>
                        <m:num>
                          <m:r>
                            <w:rPr>
                              <w:rFonts w:ascii="Cambria Math" w:hAnsi="Cambria Math" w:cs="Times New Roman"/>
                              <w:sz w:val="24"/>
                              <w:szCs w:val="24"/>
                            </w:rPr>
                            <m:t>∂T</m:t>
                          </m:r>
                        </m:num>
                        <m:den>
                          <m:r>
                            <w:rPr>
                              <w:rFonts w:ascii="Cambria Math" w:hAnsi="Cambria Math" w:cs="Times New Roman"/>
                              <w:sz w:val="24"/>
                              <w:szCs w:val="24"/>
                            </w:rPr>
                            <m:t>∂t</m:t>
                          </m:r>
                        </m:den>
                      </m:f>
                      <m:r>
                        <w:rPr>
                          <w:rFonts w:ascii="Cambria Math" w:hAnsi="Cambria Math" w:cs="Times New Roman"/>
                          <w:sz w:val="24"/>
                          <w:szCs w:val="24"/>
                        </w:rPr>
                        <m:t>,</m:t>
                      </m:r>
                    </m:e>
                    <m:e>
                      <m:r>
                        <w:rPr>
                          <w:rFonts w:ascii="Cambria Math" w:hAnsi="Cambria Math" w:cs="Times New Roman"/>
                          <w:sz w:val="24"/>
                          <w:szCs w:val="24"/>
                        </w:rPr>
                        <m:t>&amp;</m:t>
                      </m:r>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sz w:val="24"/>
                              <w:szCs w:val="24"/>
                            </w:rPr>
                            <m:t>∂t</m:t>
                          </m:r>
                        </m:den>
                      </m:f>
                      <m:r>
                        <w:rPr>
                          <w:rFonts w:ascii="Cambria Math" w:hAnsi="Cambria Math" w:cs="Times New Roman"/>
                          <w:sz w:val="24"/>
                          <w:szCs w:val="24"/>
                        </w:rPr>
                        <m:t>=A</m:t>
                      </m:r>
                      <m:r>
                        <m:rPr>
                          <m:sty m:val="p"/>
                        </m:rPr>
                        <w:rPr>
                          <w:rFonts w:ascii="Cambria Math" w:hAnsi="Cambria Math" w:cs="Times New Roman"/>
                          <w:sz w:val="24"/>
                          <w:szCs w:val="24"/>
                        </w:rPr>
                        <m:t>exp</m:t>
                      </m:r>
                      <m:d>
                        <m:dPr>
                          <m:ctrlPr>
                            <w:rPr>
                              <w:rFonts w:ascii="Cambria Math" w:hAnsi="Cambria Math" w:cs="Times New Roman"/>
                              <w:i/>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E</m:t>
                              </m:r>
                            </m:num>
                            <m:den>
                              <m:r>
                                <w:rPr>
                                  <w:rFonts w:ascii="Cambria Math" w:hAnsi="Cambria Math" w:cs="Times New Roman"/>
                                  <w:sz w:val="24"/>
                                  <w:szCs w:val="24"/>
                                </w:rPr>
                                <m:t>RT</m:t>
                              </m:r>
                            </m:den>
                          </m:f>
                        </m:e>
                      </m:d>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α</m:t>
                          </m:r>
                        </m:e>
                      </m:d>
                      <m:r>
                        <w:rPr>
                          <w:rFonts w:ascii="Cambria Math" w:hAnsi="Cambria Math" w:cs="Times New Roman"/>
                          <w:sz w:val="24"/>
                          <w:szCs w:val="24"/>
                        </w:rPr>
                        <m:t>.</m:t>
                      </m:r>
                    </m:e>
                  </m:eqArr>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1</m:t>
                  </m:r>
                </m:e>
              </m:d>
            </m:e>
          </m:eqArr>
        </m:oMath>
      </m:oMathPara>
    </w:p>
    <w:p w14:paraId="3E78D8C6" w14:textId="77777777" w:rsidR="007A0785" w:rsidRDefault="007A0785" w:rsidP="007A0785">
      <w:pPr>
        <w:spacing w:line="480" w:lineRule="auto"/>
        <w:ind w:firstLine="720"/>
        <w:jc w:val="both"/>
        <w:rPr>
          <w:rFonts w:ascii="Times New Roman" w:hAnsi="Times New Roman" w:cs="Times New Roman"/>
          <w:sz w:val="24"/>
          <w:szCs w:val="24"/>
        </w:rPr>
      </w:pPr>
      <w:r w:rsidRPr="003D4388">
        <w:rPr>
          <w:rFonts w:ascii="Times New Roman" w:hAnsi="Times New Roman" w:cs="Times New Roman" w:hint="eastAsia"/>
          <w:sz w:val="24"/>
          <w:szCs w:val="24"/>
        </w:rPr>
        <w:t>T</w:t>
      </w:r>
      <w:r w:rsidRPr="003D4388">
        <w:rPr>
          <w:rFonts w:ascii="Times New Roman" w:hAnsi="Times New Roman" w:cs="Times New Roman"/>
          <w:sz w:val="24"/>
          <w:szCs w:val="24"/>
        </w:rPr>
        <w:t xml:space="preserve">he main variables are the temperature </w:t>
      </w:r>
      <m:oMath>
        <m:r>
          <w:rPr>
            <w:rFonts w:ascii="Cambria Math" w:hAnsi="Cambria Math" w:cs="Times New Roman"/>
            <w:sz w:val="24"/>
            <w:szCs w:val="24"/>
          </w:rPr>
          <m:t>T</m:t>
        </m:r>
      </m:oMath>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(in K)</w:t>
      </w:r>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 xml:space="preserve">and the degree of cure </w:t>
      </w:r>
      <m:oMath>
        <m:r>
          <w:rPr>
            <w:rFonts w:ascii="Cambria Math" w:hAnsi="Cambria Math" w:cs="Times New Roman"/>
            <w:sz w:val="24"/>
            <w:szCs w:val="24"/>
          </w:rPr>
          <m:t>α</m:t>
        </m:r>
      </m:oMath>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(dimensionless), which takes values between 0</w:t>
      </w:r>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(monomer) and 1 (polymer) and describes the fractional</w:t>
      </w:r>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 xml:space="preserve">conversion based on the enthalpy of the reaction. In the first equation, </w:t>
      </w:r>
      <m:oMath>
        <m:sSub>
          <m:sSubPr>
            <m:ctrlPr>
              <w:rPr>
                <w:rFonts w:ascii="Cambria Math" w:hAnsi="Cambria Math" w:cs="Times New Roman"/>
                <w:iCs/>
                <w:sz w:val="24"/>
                <w:szCs w:val="24"/>
              </w:rPr>
            </m:ctrlPr>
          </m:sSubPr>
          <m:e>
            <m:r>
              <w:rPr>
                <w:rFonts w:ascii="Cambria Math" w:hAnsi="Cambria Math" w:cs="Times New Roman"/>
                <w:sz w:val="24"/>
                <w:szCs w:val="24"/>
              </w:rPr>
              <m:t>κ</m:t>
            </m:r>
            <m:ctrlPr>
              <w:rPr>
                <w:rFonts w:ascii="Cambria Math" w:hAnsi="Cambria Math" w:cs="Times New Roman"/>
                <w:i/>
                <w:sz w:val="24"/>
                <w:szCs w:val="24"/>
              </w:rPr>
            </m:ctrlPr>
          </m:e>
          <m:sub>
            <m:r>
              <m:rPr>
                <m:sty m:val="p"/>
              </m:rPr>
              <w:rPr>
                <w:rFonts w:ascii="Cambria Math" w:hAnsi="Cambria Math" w:cs="Times New Roman"/>
                <w:sz w:val="24"/>
                <w:szCs w:val="24"/>
              </w:rPr>
              <m:t>r</m:t>
            </m:r>
          </m:sub>
        </m:sSub>
      </m:oMath>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(in W/</w:t>
      </w:r>
      <w:proofErr w:type="spellStart"/>
      <w:r w:rsidRPr="003D4388">
        <w:rPr>
          <w:rFonts w:ascii="Times New Roman" w:hAnsi="Times New Roman" w:cs="Times New Roman"/>
          <w:sz w:val="24"/>
          <w:szCs w:val="24"/>
        </w:rPr>
        <w:t>mK</w:t>
      </w:r>
      <w:proofErr w:type="spellEnd"/>
      <w:r w:rsidRPr="003D438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ρ</m:t>
            </m:r>
          </m:e>
          <m:sub>
            <m:r>
              <m:rPr>
                <m:sty m:val="p"/>
              </m:rPr>
              <w:rPr>
                <w:rFonts w:ascii="Cambria Math" w:hAnsi="Cambria Math" w:cs="Times New Roman"/>
                <w:sz w:val="24"/>
                <w:szCs w:val="24"/>
              </w:rPr>
              <m:t>r</m:t>
            </m:r>
          </m:sub>
        </m:sSub>
      </m:oMath>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(in kg/m</w:t>
      </w:r>
      <w:r w:rsidRPr="003D4388">
        <w:rPr>
          <w:rFonts w:ascii="Times New Roman" w:hAnsi="Times New Roman" w:cs="Times New Roman"/>
          <w:sz w:val="24"/>
          <w:szCs w:val="24"/>
          <w:vertAlign w:val="superscript"/>
        </w:rPr>
        <w:t>3</w:t>
      </w:r>
      <w:r w:rsidRPr="003D438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m:rPr>
                <m:sty m:val="p"/>
              </m:rPr>
              <w:rPr>
                <w:rFonts w:ascii="Cambria Math" w:hAnsi="Cambria Math" w:cs="Times New Roman"/>
                <w:sz w:val="24"/>
                <w:szCs w:val="24"/>
              </w:rPr>
              <m:t>r</m:t>
            </m:r>
          </m:sub>
        </m:sSub>
      </m:oMath>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 xml:space="preserve">(in J/kg), and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p,</m:t>
            </m:r>
            <m:r>
              <m:rPr>
                <m:sty m:val="p"/>
              </m:rPr>
              <w:rPr>
                <w:rFonts w:ascii="Cambria Math" w:hAnsi="Cambria Math" w:cs="Times New Roman"/>
                <w:sz w:val="24"/>
                <w:szCs w:val="24"/>
              </w:rPr>
              <m:t>r</m:t>
            </m:r>
          </m:sub>
        </m:sSub>
      </m:oMath>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(in J/</w:t>
      </w:r>
      <w:proofErr w:type="spellStart"/>
      <w:r w:rsidRPr="003D4388">
        <w:rPr>
          <w:rFonts w:ascii="Times New Roman" w:hAnsi="Times New Roman" w:cs="Times New Roman"/>
          <w:sz w:val="24"/>
          <w:szCs w:val="24"/>
        </w:rPr>
        <w:t>kg∙K</w:t>
      </w:r>
      <w:proofErr w:type="spellEnd"/>
      <w:r w:rsidRPr="003D4388">
        <w:rPr>
          <w:rFonts w:ascii="Times New Roman" w:hAnsi="Times New Roman" w:cs="Times New Roman"/>
          <w:sz w:val="24"/>
          <w:szCs w:val="24"/>
        </w:rPr>
        <w:t xml:space="preserve">) represent the thermal conductivity, density, enthalpy of reaction, and </w:t>
      </w:r>
      <w:r w:rsidRPr="003D4388">
        <w:rPr>
          <w:rFonts w:ascii="Times New Roman" w:hAnsi="Times New Roman" w:cs="Times New Roman"/>
          <w:sz w:val="24"/>
          <w:szCs w:val="24"/>
        </w:rPr>
        <w:lastRenderedPageBreak/>
        <w:t>heat capacity of the resin</w:t>
      </w:r>
      <w:r>
        <w:rPr>
          <w:rFonts w:ascii="Times New Roman" w:hAnsi="Times New Roman" w:cs="Times New Roman"/>
          <w:sz w:val="24"/>
          <w:szCs w:val="24"/>
        </w:rPr>
        <w:t xml:space="preserve">, respectively, with the subscript ‘r’ denoting the resin. The term of </w:t>
      </w:r>
      <m:oMath>
        <m:r>
          <w:rPr>
            <w:rFonts w:ascii="Cambria Math" w:hAnsi="Cambria Math" w:cs="Times New Roman"/>
            <w:sz w:val="24"/>
            <w:szCs w:val="24"/>
          </w:rPr>
          <m:t>-H(T-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0</m:t>
            </m:r>
          </m:sub>
        </m:sSub>
        <m:r>
          <w:rPr>
            <w:rFonts w:ascii="Cambria Math" w:hAnsi="Cambria Math" w:cs="Times New Roman"/>
            <w:sz w:val="24"/>
            <w:szCs w:val="24"/>
          </w:rPr>
          <m:t>)</m:t>
        </m:r>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was introduced to approximate the heat loss through the glass mold, where </w:t>
      </w:r>
      <m:oMath>
        <m:r>
          <w:rPr>
            <w:rFonts w:ascii="Cambria Math" w:hAnsi="Cambria Math" w:cs="Times New Roman"/>
            <w:sz w:val="24"/>
            <w:szCs w:val="24"/>
          </w:rPr>
          <m:t>H=</m:t>
        </m:r>
      </m:oMath>
      <w:r>
        <w:rPr>
          <w:rFonts w:ascii="Times New Roman" w:hAnsi="Times New Roman" w:cs="Times New Roman" w:hint="eastAsia"/>
          <w:sz w:val="24"/>
          <w:szCs w:val="24"/>
        </w:rPr>
        <w:t xml:space="preserve"> </w:t>
      </w:r>
      <w:r>
        <w:rPr>
          <w:rFonts w:ascii="Times New Roman" w:hAnsi="Times New Roman" w:cs="Times New Roman"/>
          <w:sz w:val="24"/>
          <w:szCs w:val="24"/>
        </w:rPr>
        <w:t>140 kW/m</w:t>
      </w:r>
      <w:r w:rsidRPr="001F154A">
        <w:rPr>
          <w:rFonts w:ascii="Times New Roman" w:hAnsi="Times New Roman" w:cs="Times New Roman"/>
          <w:sz w:val="24"/>
          <w:szCs w:val="24"/>
          <w:vertAlign w:val="superscript"/>
        </w:rPr>
        <w:t>3</w:t>
      </w:r>
      <w:r>
        <w:rPr>
          <w:rFonts w:ascii="Times New Roman" w:hAnsi="Times New Roman" w:cs="Times New Roman"/>
          <w:sz w:val="24"/>
          <w:szCs w:val="24"/>
        </w:rPr>
        <w:t xml:space="preserve"> is a heat loss coefficient. With this setting, a quenched front was observed with </w:t>
      </w:r>
      <m:oMath>
        <m:r>
          <w:rPr>
            <w:rFonts w:ascii="Cambria Math" w:hAnsi="Cambria Math" w:cs="Times New Roman"/>
            <w:sz w:val="24"/>
            <w:szCs w:val="24"/>
          </w:rPr>
          <m:t>W=</m:t>
        </m:r>
      </m:oMath>
      <w:r>
        <w:rPr>
          <w:rFonts w:ascii="Times New Roman" w:hAnsi="Times New Roman" w:cs="Times New Roman" w:hint="eastAsia"/>
          <w:sz w:val="24"/>
          <w:szCs w:val="24"/>
        </w:rPr>
        <w:t xml:space="preserve"> </w:t>
      </w:r>
      <w:r>
        <w:rPr>
          <w:rFonts w:ascii="Times New Roman" w:hAnsi="Times New Roman" w:cs="Times New Roman"/>
          <w:sz w:val="24"/>
          <w:szCs w:val="24"/>
        </w:rPr>
        <w:t>5 mm at room temperature, consistent with experimental observation.</w:t>
      </w:r>
      <w:r w:rsidRPr="003D4388">
        <w:rPr>
          <w:rFonts w:ascii="Times New Roman" w:hAnsi="Times New Roman" w:cs="Times New Roman"/>
          <w:sz w:val="24"/>
          <w:szCs w:val="24"/>
        </w:rPr>
        <w:t xml:space="preserve"> The second equation models the cure kinetics of the resin, where </w:t>
      </w:r>
      <m:oMath>
        <m:r>
          <w:rPr>
            <w:rFonts w:ascii="Cambria Math" w:hAnsi="Cambria Math" w:cs="Times New Roman"/>
            <w:sz w:val="24"/>
            <w:szCs w:val="24"/>
          </w:rPr>
          <m:t>A</m:t>
        </m:r>
      </m:oMath>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 xml:space="preserve">(in /s), </w:t>
      </w:r>
      <m:oMath>
        <m:r>
          <w:rPr>
            <w:rFonts w:ascii="Cambria Math" w:hAnsi="Cambria Math" w:cs="Times New Roman"/>
            <w:sz w:val="24"/>
            <w:szCs w:val="24"/>
          </w:rPr>
          <m:t>E</m:t>
        </m:r>
      </m:oMath>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(in J/</w:t>
      </w:r>
      <w:proofErr w:type="spellStart"/>
      <w:r w:rsidRPr="003D4388">
        <w:rPr>
          <w:rFonts w:ascii="Times New Roman" w:hAnsi="Times New Roman" w:cs="Times New Roman"/>
          <w:sz w:val="24"/>
          <w:szCs w:val="24"/>
        </w:rPr>
        <w:t>mol</w:t>
      </w:r>
      <w:proofErr w:type="spellEnd"/>
      <w:r w:rsidRPr="003D4388">
        <w:rPr>
          <w:rFonts w:ascii="Times New Roman" w:hAnsi="Times New Roman" w:cs="Times New Roman"/>
          <w:sz w:val="24"/>
          <w:szCs w:val="24"/>
        </w:rPr>
        <w:t xml:space="preserve">), </w:t>
      </w:r>
      <m:oMath>
        <m:r>
          <w:rPr>
            <w:rFonts w:ascii="Cambria Math" w:hAnsi="Cambria Math" w:cs="Times New Roman"/>
            <w:sz w:val="24"/>
            <w:szCs w:val="24"/>
          </w:rPr>
          <m:t>R</m:t>
        </m:r>
      </m:oMath>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w:t>
      </w:r>
      <w:r>
        <w:rPr>
          <w:rFonts w:ascii="Times New Roman" w:hAnsi="Times New Roman" w:cs="Times New Roman"/>
          <w:sz w:val="24"/>
          <w:szCs w:val="24"/>
        </w:rPr>
        <w:t>=</w:t>
      </w:r>
      <w:r w:rsidRPr="003D4388">
        <w:rPr>
          <w:rFonts w:ascii="Times New Roman" w:hAnsi="Times New Roman" w:cs="Times New Roman"/>
          <w:sz w:val="24"/>
          <w:szCs w:val="24"/>
        </w:rPr>
        <w:t>8.314 J/</w:t>
      </w:r>
      <w:proofErr w:type="spellStart"/>
      <w:r w:rsidRPr="003D4388">
        <w:rPr>
          <w:rFonts w:ascii="Times New Roman" w:hAnsi="Times New Roman" w:cs="Times New Roman"/>
          <w:sz w:val="24"/>
          <w:szCs w:val="24"/>
        </w:rPr>
        <w:t>kg∙K</w:t>
      </w:r>
      <w:proofErr w:type="spellEnd"/>
      <w:r w:rsidRPr="003D4388">
        <w:rPr>
          <w:rFonts w:ascii="Times New Roman" w:hAnsi="Times New Roman" w:cs="Times New Roman"/>
          <w:sz w:val="24"/>
          <w:szCs w:val="24"/>
        </w:rPr>
        <w:t xml:space="preserve">) stand for the pre-exponential factor, activation energy, and the ideal gas constant, respectively. The </w:t>
      </w:r>
      <w:proofErr w:type="spellStart"/>
      <w:r w:rsidRPr="003D4388">
        <w:rPr>
          <w:rFonts w:ascii="Times New Roman" w:hAnsi="Times New Roman" w:cs="Times New Roman"/>
          <w:sz w:val="24"/>
          <w:szCs w:val="24"/>
        </w:rPr>
        <w:t>Prout</w:t>
      </w:r>
      <w:proofErr w:type="spellEnd"/>
      <w:r w:rsidRPr="003D4388">
        <w:rPr>
          <w:rFonts w:ascii="Times New Roman" w:hAnsi="Times New Roman" w:cs="Times New Roman"/>
          <w:sz w:val="24"/>
          <w:szCs w:val="24"/>
        </w:rPr>
        <w:t>-Tompkins model</w:t>
      </w:r>
      <w:r w:rsidRPr="00C83F31">
        <w:rPr>
          <w:rFonts w:ascii="Times New Roman" w:hAnsi="Times New Roman" w:cs="Times New Roman"/>
          <w:sz w:val="24"/>
          <w:szCs w:val="24"/>
          <w:vertAlign w:val="superscript"/>
        </w:rPr>
        <w:t>3</w:t>
      </w:r>
      <w:r w:rsidRPr="003D4388">
        <w:rPr>
          <w:rFonts w:ascii="Times New Roman" w:hAnsi="Times New Roman" w:cs="Times New Roman"/>
          <w:sz w:val="24"/>
          <w:szCs w:val="24"/>
        </w:rPr>
        <w:t xml:space="preserve"> </w:t>
      </w:r>
      <w:r>
        <w:rPr>
          <w:rFonts w:ascii="Times New Roman" w:hAnsi="Times New Roman" w:cs="Times New Roman"/>
          <w:sz w:val="24"/>
          <w:szCs w:val="24"/>
        </w:rPr>
        <w:t>was</w:t>
      </w:r>
      <w:r w:rsidRPr="003D4388">
        <w:rPr>
          <w:rFonts w:ascii="Times New Roman" w:hAnsi="Times New Roman" w:cs="Times New Roman"/>
          <w:sz w:val="24"/>
          <w:szCs w:val="24"/>
        </w:rPr>
        <w:t xml:space="preserve"> adopted to capture the dependence of cure kinetics on </w:t>
      </w:r>
      <m:oMath>
        <m:r>
          <w:rPr>
            <w:rFonts w:ascii="Cambria Math" w:hAnsi="Cambria Math" w:cs="Times New Roman"/>
            <w:sz w:val="24"/>
            <w:szCs w:val="24"/>
          </w:rPr>
          <m:t>α</m:t>
        </m:r>
      </m:oMath>
      <w:r w:rsidRPr="003D4388">
        <w:rPr>
          <w:rFonts w:ascii="Times New Roman" w:hAnsi="Times New Roman" w:cs="Times New Roman" w:hint="eastAsia"/>
          <w:sz w:val="24"/>
          <w:szCs w:val="24"/>
        </w:rPr>
        <w:t>,</w:t>
      </w:r>
      <w:r w:rsidRPr="003D4388">
        <w:rPr>
          <w:rFonts w:ascii="Times New Roman" w:hAnsi="Times New Roman" w:cs="Times New Roman"/>
          <w:sz w:val="24"/>
          <w:szCs w:val="24"/>
        </w:rPr>
        <w:t xml:space="preserve"> and </w:t>
      </w:r>
      <m:oMath>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α</m:t>
            </m:r>
          </m:e>
        </m:d>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1-α</m:t>
                </m:r>
              </m:e>
            </m:d>
          </m:e>
          <m:sup>
            <m:r>
              <w:rPr>
                <w:rFonts w:ascii="Cambria Math" w:hAnsi="Cambria Math" w:cs="Times New Roman"/>
                <w:sz w:val="24"/>
                <w:szCs w:val="24"/>
              </w:rPr>
              <m:t>n</m:t>
            </m:r>
          </m:sup>
        </m:sSup>
        <m:sSup>
          <m:sSupPr>
            <m:ctrlPr>
              <w:rPr>
                <w:rFonts w:ascii="Cambria Math" w:hAnsi="Cambria Math" w:cs="Times New Roman"/>
                <w:i/>
                <w:sz w:val="24"/>
                <w:szCs w:val="24"/>
              </w:rPr>
            </m:ctrlPr>
          </m:sSupPr>
          <m:e>
            <m:r>
              <w:rPr>
                <w:rFonts w:ascii="Cambria Math" w:hAnsi="Cambria Math" w:cs="Times New Roman"/>
                <w:sz w:val="24"/>
                <w:szCs w:val="24"/>
              </w:rPr>
              <m:t>α</m:t>
            </m:r>
          </m:e>
          <m:sup>
            <m:r>
              <w:rPr>
                <w:rFonts w:ascii="Cambria Math" w:hAnsi="Cambria Math" w:cs="Times New Roman"/>
                <w:sz w:val="24"/>
                <w:szCs w:val="24"/>
              </w:rPr>
              <m:t>m</m:t>
            </m:r>
          </m:sup>
        </m:sSup>
      </m:oMath>
      <w:r w:rsidRPr="003D4388">
        <w:rPr>
          <w:rFonts w:ascii="Times New Roman" w:hAnsi="Times New Roman" w:cs="Times New Roman" w:hint="eastAsia"/>
          <w:sz w:val="24"/>
          <w:szCs w:val="24"/>
        </w:rPr>
        <w:t>,</w:t>
      </w:r>
      <w:r w:rsidRPr="003D4388">
        <w:rPr>
          <w:rFonts w:ascii="Times New Roman" w:hAnsi="Times New Roman" w:cs="Times New Roman"/>
          <w:sz w:val="24"/>
          <w:szCs w:val="24"/>
        </w:rPr>
        <w:t xml:space="preserve"> where </w:t>
      </w:r>
      <m:oMath>
        <m:r>
          <w:rPr>
            <w:rFonts w:ascii="Cambria Math" w:hAnsi="Cambria Math" w:cs="Times New Roman"/>
            <w:sz w:val="24"/>
            <w:szCs w:val="24"/>
          </w:rPr>
          <m:t>n</m:t>
        </m:r>
      </m:oMath>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(dimensionless)</w:t>
      </w:r>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 xml:space="preserve">and </w:t>
      </w:r>
      <m:oMath>
        <m:r>
          <w:rPr>
            <w:rFonts w:ascii="Cambria Math" w:hAnsi="Cambria Math" w:cs="Times New Roman"/>
            <w:sz w:val="24"/>
            <w:szCs w:val="24"/>
          </w:rPr>
          <m:t>m</m:t>
        </m:r>
      </m:oMath>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(dimensionless)</w:t>
      </w:r>
      <w:r w:rsidRPr="003D4388">
        <w:rPr>
          <w:rFonts w:ascii="Times New Roman" w:hAnsi="Times New Roman" w:cs="Times New Roman" w:hint="eastAsia"/>
          <w:sz w:val="24"/>
          <w:szCs w:val="24"/>
        </w:rPr>
        <w:t xml:space="preserve"> </w:t>
      </w:r>
      <w:r w:rsidRPr="003D4388">
        <w:rPr>
          <w:rFonts w:ascii="Times New Roman" w:hAnsi="Times New Roman" w:cs="Times New Roman"/>
          <w:sz w:val="24"/>
          <w:szCs w:val="24"/>
        </w:rPr>
        <w:t xml:space="preserve">are reaction orders. </w:t>
      </w:r>
      <w:r>
        <w:rPr>
          <w:rFonts w:ascii="Times New Roman" w:hAnsi="Times New Roman" w:cs="Times New Roman"/>
          <w:sz w:val="24"/>
          <w:szCs w:val="24"/>
        </w:rPr>
        <w:t>The thermal conduction in the silicone rubber (subscript ‘s’) was modeled by:</w:t>
      </w:r>
    </w:p>
    <w:p w14:paraId="3D20F321" w14:textId="77777777" w:rsidR="007A0785" w:rsidRDefault="007A0785" w:rsidP="007A0785">
      <w:pPr>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κ</m:t>
                  </m:r>
                </m:e>
                <m:sub>
                  <m:r>
                    <m:rPr>
                      <m:sty m:val="p"/>
                    </m:rPr>
                    <w:rPr>
                      <w:rFonts w:ascii="Cambria Math" w:hAnsi="Cambria Math" w:cs="Times New Roman"/>
                      <w:sz w:val="24"/>
                      <w:szCs w:val="24"/>
                    </w:rPr>
                    <m:t>s</m:t>
                  </m:r>
                </m:sub>
              </m:sSub>
              <m:sSup>
                <m:sSupPr>
                  <m:ctrlPr>
                    <w:rPr>
                      <w:rFonts w:ascii="Cambria Math" w:hAnsi="Cambria Math" w:cs="Times New Roman"/>
                      <w:i/>
                      <w:sz w:val="24"/>
                      <w:szCs w:val="24"/>
                    </w:rPr>
                  </m:ctrlPr>
                </m:sSupPr>
                <m:e>
                  <m:r>
                    <m:rPr>
                      <m:sty m:val="p"/>
                    </m:rPr>
                    <w:rPr>
                      <w:rFonts w:ascii="Cambria Math" w:hAnsi="Cambria Math" w:cs="Times New Roman"/>
                      <w:sz w:val="24"/>
                      <w:szCs w:val="24"/>
                    </w:rPr>
                    <m:t>∇</m:t>
                  </m:r>
                  <m:ctrlPr>
                    <w:rPr>
                      <w:rFonts w:ascii="Cambria Math" w:hAnsi="Cambria Math" w:cs="Times New Roman"/>
                      <w:sz w:val="24"/>
                      <w:szCs w:val="24"/>
                    </w:rPr>
                  </m:ctrlPr>
                </m:e>
                <m:sup>
                  <m:r>
                    <w:rPr>
                      <w:rFonts w:ascii="Cambria Math" w:hAnsi="Cambria Math" w:cs="Times New Roman"/>
                      <w:sz w:val="24"/>
                      <w:szCs w:val="24"/>
                    </w:rPr>
                    <m:t>2</m:t>
                  </m:r>
                </m:sup>
              </m:sSup>
              <m:r>
                <w:rPr>
                  <w:rFonts w:ascii="Cambria Math" w:hAnsi="Cambria Math" w:cs="Times New Roman"/>
                  <w:sz w:val="24"/>
                  <w:szCs w:val="24"/>
                </w:rPr>
                <m:t>T-H</m:t>
              </m:r>
              <m:d>
                <m:dPr>
                  <m:ctrlPr>
                    <w:rPr>
                      <w:rFonts w:ascii="Cambria Math" w:hAnsi="Cambria Math" w:cs="Times New Roman"/>
                      <w:i/>
                      <w:sz w:val="24"/>
                      <w:szCs w:val="24"/>
                    </w:rPr>
                  </m:ctrlPr>
                </m:dPr>
                <m:e>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0</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m:rPr>
                      <m:sty m:val="p"/>
                    </m:rPr>
                    <w:rPr>
                      <w:rFonts w:ascii="Cambria Math" w:hAnsi="Cambria Math" w:cs="Times New Roman"/>
                      <w:sz w:val="24"/>
                      <w:szCs w:val="24"/>
                    </w:rPr>
                    <m:t>s</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p,</m:t>
                  </m:r>
                  <m:r>
                    <m:rPr>
                      <m:sty m:val="p"/>
                    </m:rPr>
                    <w:rPr>
                      <w:rFonts w:ascii="Cambria Math" w:hAnsi="Cambria Math" w:cs="Times New Roman"/>
                      <w:sz w:val="24"/>
                      <w:szCs w:val="24"/>
                    </w:rPr>
                    <m:t>s</m:t>
                  </m:r>
                </m:sub>
              </m:sSub>
              <m:f>
                <m:fPr>
                  <m:ctrlPr>
                    <w:rPr>
                      <w:rFonts w:ascii="Cambria Math" w:hAnsi="Cambria Math" w:cs="Times New Roman"/>
                      <w:i/>
                      <w:sz w:val="24"/>
                      <w:szCs w:val="24"/>
                    </w:rPr>
                  </m:ctrlPr>
                </m:fPr>
                <m:num>
                  <m:r>
                    <w:rPr>
                      <w:rFonts w:ascii="Cambria Math" w:hAnsi="Cambria Math" w:cs="Times New Roman"/>
                      <w:sz w:val="24"/>
                      <w:szCs w:val="24"/>
                    </w:rPr>
                    <m:t>∂T</m:t>
                  </m:r>
                </m:num>
                <m:den>
                  <m:r>
                    <w:rPr>
                      <w:rFonts w:ascii="Cambria Math" w:hAnsi="Cambria Math" w:cs="Times New Roman"/>
                      <w:sz w:val="24"/>
                      <w:szCs w:val="24"/>
                    </w:rPr>
                    <m:t>∂t</m:t>
                  </m:r>
                </m:den>
              </m:f>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2</m:t>
                  </m:r>
                </m:e>
              </m:d>
            </m:e>
          </m:eqArr>
        </m:oMath>
      </m:oMathPara>
    </w:p>
    <w:p w14:paraId="341C129B" w14:textId="77777777" w:rsidR="007A0785" w:rsidRDefault="007A0785" w:rsidP="007A0785">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 Dirichlet boundary condition </w:t>
      </w:r>
      <m:oMath>
        <m:r>
          <w:rPr>
            <w:rFonts w:ascii="Cambria Math" w:hAnsi="Cambria Math" w:cs="Times New Roman"/>
            <w:sz w:val="24"/>
            <w:szCs w:val="24"/>
          </w:rPr>
          <m:t>T</m:t>
        </m:r>
        <m:d>
          <m:dPr>
            <m:ctrlPr>
              <w:rPr>
                <w:rFonts w:ascii="Cambria Math" w:hAnsi="Cambria Math" w:cs="Times New Roman"/>
                <w:i/>
                <w:sz w:val="24"/>
                <w:szCs w:val="24"/>
              </w:rPr>
            </m:ctrlPr>
          </m:dPr>
          <m:e>
            <m:r>
              <w:rPr>
                <w:rFonts w:ascii="Cambria Math" w:hAnsi="Cambria Math" w:cs="Times New Roman"/>
                <w:sz w:val="24"/>
                <w:szCs w:val="24"/>
              </w:rPr>
              <m:t>x,y,t</m:t>
            </m:r>
          </m:e>
        </m:d>
        <m:r>
          <w:rPr>
            <w:rFonts w:ascii="Cambria Math" w:hAnsi="Cambria Math" w:cs="Times New Roman"/>
            <w:sz w:val="24"/>
            <w:szCs w:val="24"/>
          </w:rPr>
          <m:t>=</m:t>
        </m:r>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160 </w:t>
      </w:r>
      <m:oMath>
        <m:r>
          <w:rPr>
            <w:rFonts w:ascii="Cambria Math" w:hAnsi="Cambria Math" w:cs="Times New Roman"/>
            <w:sz w:val="24"/>
            <w:szCs w:val="24"/>
          </w:rPr>
          <m:t>℃</m:t>
        </m:r>
      </m:oMath>
      <w:r>
        <w:rPr>
          <w:rFonts w:ascii="Times New Roman" w:hAnsi="Times New Roman" w:cs="Times New Roman"/>
          <w:sz w:val="24"/>
          <w:szCs w:val="24"/>
        </w:rPr>
        <w:t xml:space="preserve"> was adopted at the inclined boundary for </w:t>
      </w:r>
      <m:oMath>
        <m:r>
          <w:rPr>
            <w:rFonts w:ascii="Cambria Math" w:hAnsi="Cambria Math" w:cs="Times New Roman"/>
            <w:sz w:val="24"/>
            <w:szCs w:val="24"/>
          </w:rPr>
          <m:t>t≤</m:t>
        </m:r>
      </m:oMath>
      <w:r>
        <w:rPr>
          <w:rFonts w:ascii="Times New Roman" w:hAnsi="Times New Roman" w:cs="Times New Roman"/>
          <w:sz w:val="24"/>
          <w:szCs w:val="24"/>
        </w:rPr>
        <w:t xml:space="preserve"> 5 s to trigger the polymerization front, and an adiabatic boundary condition was imposed to replace the Dirichlet boundary condi</w:t>
      </w:r>
      <w:proofErr w:type="spellStart"/>
      <w:r>
        <w:rPr>
          <w:rFonts w:ascii="Times New Roman" w:hAnsi="Times New Roman" w:cs="Times New Roman"/>
          <w:sz w:val="24"/>
          <w:szCs w:val="24"/>
        </w:rPr>
        <w:t>tion</w:t>
      </w:r>
      <w:proofErr w:type="spellEnd"/>
      <w:r>
        <w:rPr>
          <w:rFonts w:ascii="Times New Roman" w:hAnsi="Times New Roman" w:cs="Times New Roman"/>
          <w:sz w:val="24"/>
          <w:szCs w:val="24"/>
        </w:rPr>
        <w:t xml:space="preserve">. Adiabatic boundary conditions were utilized at all other boundaries. The continuity of temperature and heat flux were imposed at all material interfaces between the COD resin and the silicone rubber bands. The initial degree of cure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0</m:t>
            </m:r>
          </m:sub>
        </m:sSub>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was set as 0.04 and the initial temperature varied between 20 and 40 </w:t>
      </w:r>
      <m:oMath>
        <m:r>
          <w:rPr>
            <w:rFonts w:ascii="Cambria Math" w:hAnsi="Cambria Math" w:cs="Times New Roman"/>
            <w:sz w:val="24"/>
            <w:szCs w:val="24"/>
          </w:rPr>
          <m:t>℃</m:t>
        </m:r>
      </m:oMath>
      <w:r>
        <w:rPr>
          <w:rFonts w:ascii="Times New Roman" w:hAnsi="Times New Roman" w:cs="Times New Roman" w:hint="eastAsia"/>
          <w:sz w:val="24"/>
          <w:szCs w:val="24"/>
        </w:rPr>
        <w:t>.</w:t>
      </w:r>
    </w:p>
    <w:p w14:paraId="34028114" w14:textId="77777777" w:rsidR="007A0785" w:rsidRPr="0008668C" w:rsidRDefault="007A0785" w:rsidP="007A0785">
      <w:pPr>
        <w:spacing w:line="480" w:lineRule="auto"/>
        <w:ind w:firstLineChars="100" w:firstLine="240"/>
        <w:jc w:val="both"/>
        <w:rPr>
          <w:rFonts w:ascii="Times New Roman" w:hAnsi="Times New Roman" w:cs="Times New Roman"/>
          <w:sz w:val="24"/>
          <w:szCs w:val="24"/>
        </w:rPr>
      </w:pPr>
      <w:r w:rsidRPr="0008668C">
        <w:rPr>
          <w:rFonts w:ascii="Times New Roman" w:hAnsi="Times New Roman" w:cs="Times New Roman"/>
          <w:sz w:val="24"/>
          <w:szCs w:val="24"/>
        </w:rPr>
        <w:t>The thermal properties of COD and silicone rubber are adopted from literature</w:t>
      </w:r>
      <w:r w:rsidRPr="0008668C">
        <w:rPr>
          <w:rFonts w:ascii="Times New Roman" w:hAnsi="Times New Roman" w:cs="Times New Roman"/>
          <w:sz w:val="24"/>
          <w:szCs w:val="24"/>
          <w:vertAlign w:val="superscript"/>
        </w:rPr>
        <w:t>5,4</w:t>
      </w:r>
      <w:r w:rsidRPr="0008668C">
        <w:rPr>
          <w:rFonts w:ascii="Times New Roman" w:hAnsi="Times New Roman" w:cs="Times New Roman"/>
          <w:sz w:val="24"/>
          <w:szCs w:val="24"/>
        </w:rPr>
        <w:t xml:space="preserve"> and given in Extended Data Table 2. DSC tests were performed under various temperature ramping rate to parametrize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m:rPr>
                <m:sty m:val="p"/>
              </m:rPr>
              <w:rPr>
                <w:rFonts w:ascii="Cambria Math" w:hAnsi="Cambria Math" w:cs="Times New Roman"/>
                <w:sz w:val="24"/>
                <w:szCs w:val="24"/>
              </w:rPr>
              <m:t>r</m:t>
            </m:r>
          </m:sub>
        </m:sSub>
      </m:oMath>
      <w:r w:rsidRPr="0008668C">
        <w:rPr>
          <w:rFonts w:ascii="Times New Roman" w:hAnsi="Times New Roman" w:cs="Times New Roman"/>
          <w:sz w:val="24"/>
          <w:szCs w:val="24"/>
        </w:rPr>
        <w:t xml:space="preserve">, </w:t>
      </w:r>
      <m:oMath>
        <m:r>
          <w:rPr>
            <w:rFonts w:ascii="Cambria Math" w:hAnsi="Cambria Math" w:cs="Times New Roman"/>
            <w:sz w:val="24"/>
            <w:szCs w:val="24"/>
          </w:rPr>
          <m:t>A</m:t>
        </m:r>
      </m:oMath>
      <w:r w:rsidRPr="0008668C">
        <w:rPr>
          <w:rFonts w:ascii="Times New Roman" w:hAnsi="Times New Roman" w:cs="Times New Roman"/>
          <w:sz w:val="24"/>
          <w:szCs w:val="24"/>
        </w:rPr>
        <w:t xml:space="preserve">, </w:t>
      </w:r>
      <m:oMath>
        <m:r>
          <w:rPr>
            <w:rFonts w:ascii="Cambria Math" w:hAnsi="Cambria Math" w:cs="Times New Roman"/>
            <w:sz w:val="24"/>
            <w:szCs w:val="24"/>
          </w:rPr>
          <m:t>E</m:t>
        </m:r>
      </m:oMath>
      <w:r w:rsidRPr="0008668C">
        <w:rPr>
          <w:rFonts w:ascii="Times New Roman" w:hAnsi="Times New Roman" w:cs="Times New Roman"/>
          <w:sz w:val="24"/>
          <w:szCs w:val="24"/>
        </w:rPr>
        <w:t xml:space="preserve">, </w:t>
      </w:r>
      <m:oMath>
        <m:r>
          <w:rPr>
            <w:rFonts w:ascii="Cambria Math" w:hAnsi="Cambria Math" w:cs="Times New Roman"/>
            <w:sz w:val="24"/>
            <w:szCs w:val="24"/>
          </w:rPr>
          <m:t>n</m:t>
        </m:r>
      </m:oMath>
      <w:r w:rsidRPr="0008668C">
        <w:rPr>
          <w:rFonts w:ascii="Times New Roman" w:hAnsi="Times New Roman" w:cs="Times New Roman"/>
          <w:sz w:val="24"/>
          <w:szCs w:val="24"/>
        </w:rPr>
        <w:t xml:space="preserve"> and </w:t>
      </w:r>
      <m:oMath>
        <m:r>
          <w:rPr>
            <w:rFonts w:ascii="Cambria Math" w:hAnsi="Cambria Math" w:cs="Times New Roman"/>
            <w:sz w:val="24"/>
            <w:szCs w:val="24"/>
          </w:rPr>
          <m:t>m</m:t>
        </m:r>
      </m:oMath>
      <w:r w:rsidRPr="0008668C">
        <w:rPr>
          <w:rFonts w:ascii="Times New Roman" w:hAnsi="Times New Roman" w:cs="Times New Roman"/>
          <w:sz w:val="24"/>
          <w:szCs w:val="24"/>
        </w:rPr>
        <w:t xml:space="preserve">. The cure kinetics parameters are presented in Extended Data Table 2, and the comparison between the DSC experiments and cure kinetics model is demonstrated in Extended Data Fig. 2. The cure kinetics model can be further validated by comparing the numerical front velocity of 0.44 mm/s and front temperature of 162.7 </w:t>
      </w:r>
      <m:oMath>
        <m:r>
          <w:rPr>
            <w:rFonts w:ascii="Cambria Math" w:hAnsi="Cambria Math" w:cs="Times New Roman"/>
            <w:sz w:val="24"/>
            <w:szCs w:val="24"/>
          </w:rPr>
          <m:t>℃</m:t>
        </m:r>
      </m:oMath>
      <w:r w:rsidRPr="0008668C">
        <w:rPr>
          <w:rFonts w:ascii="Times New Roman" w:hAnsi="Times New Roman" w:cs="Times New Roman"/>
          <w:sz w:val="24"/>
          <w:szCs w:val="24"/>
        </w:rPr>
        <w:t xml:space="preserve"> in unidirectional frontal </w:t>
      </w:r>
      <w:r w:rsidRPr="0008668C">
        <w:rPr>
          <w:rFonts w:ascii="Times New Roman" w:hAnsi="Times New Roman" w:cs="Times New Roman"/>
          <w:sz w:val="24"/>
          <w:szCs w:val="24"/>
        </w:rPr>
        <w:lastRenderedPageBreak/>
        <w:t xml:space="preserve">polymerization with the experimental values of 0.45 mm/s and 159.2 </w:t>
      </w:r>
      <m:oMath>
        <m:r>
          <w:rPr>
            <w:rFonts w:ascii="Cambria Math" w:hAnsi="Cambria Math" w:cs="Times New Roman"/>
            <w:sz w:val="24"/>
            <w:szCs w:val="24"/>
          </w:rPr>
          <m:t>℃</m:t>
        </m:r>
      </m:oMath>
      <w:r w:rsidRPr="0008668C">
        <w:rPr>
          <w:rFonts w:ascii="Times New Roman" w:hAnsi="Times New Roman" w:cs="Times New Roman"/>
          <w:sz w:val="24"/>
          <w:szCs w:val="24"/>
        </w:rPr>
        <w:t xml:space="preserve"> measured in the FP experiments in a test tube.</w:t>
      </w:r>
    </w:p>
    <w:p w14:paraId="5F1E9BA7" w14:textId="77777777" w:rsidR="007A0785" w:rsidRPr="0008668C" w:rsidRDefault="007A0785" w:rsidP="007A0785">
      <w:pPr>
        <w:spacing w:line="480" w:lineRule="auto"/>
        <w:ind w:firstLineChars="100" w:firstLine="240"/>
        <w:jc w:val="both"/>
        <w:rPr>
          <w:rFonts w:ascii="Times New Roman" w:hAnsi="Times New Roman" w:cs="Times New Roman"/>
          <w:sz w:val="24"/>
          <w:szCs w:val="24"/>
        </w:rPr>
      </w:pPr>
      <w:r w:rsidRPr="0008668C">
        <w:rPr>
          <w:rFonts w:ascii="Times New Roman" w:hAnsi="Times New Roman" w:cs="Times New Roman"/>
          <w:sz w:val="24"/>
          <w:szCs w:val="24"/>
        </w:rPr>
        <w:t xml:space="preserve">All finite element simulations </w:t>
      </w:r>
      <w:bookmarkStart w:id="4" w:name="_Hlk150960128"/>
      <w:r w:rsidRPr="0008668C">
        <w:rPr>
          <w:rFonts w:ascii="Times New Roman" w:hAnsi="Times New Roman" w:cs="Times New Roman"/>
          <w:sz w:val="24"/>
          <w:szCs w:val="24"/>
        </w:rPr>
        <w:t>were conducted using the Multiphysics Object-Oriented Simulation Environment (MOOSE)</w:t>
      </w:r>
      <w:r w:rsidRPr="0008668C">
        <w:rPr>
          <w:rFonts w:ascii="Times New Roman" w:hAnsi="Times New Roman" w:cs="Times New Roman"/>
          <w:sz w:val="24"/>
          <w:szCs w:val="24"/>
          <w:vertAlign w:val="superscript"/>
        </w:rPr>
        <w:t>6</w:t>
      </w:r>
      <w:r w:rsidRPr="0008668C">
        <w:rPr>
          <w:rFonts w:ascii="Times New Roman" w:hAnsi="Times New Roman" w:cs="Times New Roman"/>
          <w:sz w:val="24"/>
          <w:szCs w:val="24"/>
        </w:rPr>
        <w:t xml:space="preserve">, an open-source C++ finite element solver with robust mesh and time-step adaptivity to capture the gradients in temperature and degree of cure in the vicinity of the unstable polymerization front. </w:t>
      </w:r>
      <w:bookmarkEnd w:id="4"/>
      <w:r w:rsidRPr="0008668C">
        <w:rPr>
          <w:rFonts w:ascii="Times New Roman" w:hAnsi="Times New Roman" w:cs="Times New Roman"/>
          <w:sz w:val="24"/>
          <w:szCs w:val="24"/>
        </w:rPr>
        <w:t xml:space="preserve">The average size of the mesh was ~ 0.4 mm, and the h-level of the mesh adaptivity was set as 6. The typical time step was 0.01 s and was reduced to ~ 0.00001 s when experiencing large gradients of </w:t>
      </w:r>
      <m:oMath>
        <m:r>
          <w:rPr>
            <w:rFonts w:ascii="Cambria Math" w:hAnsi="Cambria Math" w:cs="Times New Roman"/>
            <w:sz w:val="24"/>
            <w:szCs w:val="24"/>
          </w:rPr>
          <m:t>T</m:t>
        </m:r>
      </m:oMath>
      <w:r w:rsidRPr="0008668C">
        <w:rPr>
          <w:rFonts w:ascii="Times New Roman" w:hAnsi="Times New Roman" w:cs="Times New Roman"/>
          <w:sz w:val="24"/>
          <w:szCs w:val="24"/>
        </w:rPr>
        <w:t xml:space="preserve"> and </w:t>
      </w:r>
      <m:oMath>
        <m:r>
          <w:rPr>
            <w:rFonts w:ascii="Cambria Math" w:hAnsi="Cambria Math" w:cs="Times New Roman"/>
            <w:sz w:val="24"/>
            <w:szCs w:val="24"/>
          </w:rPr>
          <m:t>α</m:t>
        </m:r>
      </m:oMath>
      <w:r w:rsidRPr="0008668C">
        <w:rPr>
          <w:rFonts w:ascii="Times New Roman" w:hAnsi="Times New Roman" w:cs="Times New Roman"/>
          <w:sz w:val="24"/>
          <w:szCs w:val="24"/>
        </w:rPr>
        <w:t xml:space="preserve"> during instabilities.</w:t>
      </w:r>
    </w:p>
    <w:p w14:paraId="34464922" w14:textId="77777777" w:rsidR="007A0785" w:rsidRPr="00094324" w:rsidRDefault="007A0785" w:rsidP="007A0785">
      <w:pPr>
        <w:spacing w:line="480" w:lineRule="auto"/>
        <w:jc w:val="both"/>
        <w:rPr>
          <w:rFonts w:ascii="Times New Roman" w:hAnsi="Times New Roman" w:cs="Times New Roman"/>
          <w:sz w:val="24"/>
          <w:szCs w:val="24"/>
        </w:rPr>
      </w:pPr>
      <w:r w:rsidRPr="00C551A8">
        <w:rPr>
          <w:rFonts w:ascii="Times New Roman" w:hAnsi="Times New Roman" w:cs="Times New Roman"/>
          <w:b/>
          <w:bCs/>
          <w:sz w:val="24"/>
          <w:szCs w:val="24"/>
        </w:rPr>
        <w:t>Image Analysis.</w:t>
      </w:r>
      <w:r w:rsidRPr="00CD2456">
        <w:rPr>
          <w:rFonts w:ascii="Times New Roman" w:hAnsi="Times New Roman" w:cs="Times New Roman"/>
          <w:b/>
          <w:bCs/>
          <w:sz w:val="24"/>
          <w:szCs w:val="24"/>
        </w:rPr>
        <w:t xml:space="preserve"> </w:t>
      </w:r>
      <w:r w:rsidRPr="007F7D41">
        <w:rPr>
          <w:rFonts w:ascii="Times New Roman" w:hAnsi="Times New Roman" w:cs="Times New Roman"/>
          <w:sz w:val="24"/>
          <w:szCs w:val="24"/>
        </w:rPr>
        <w:t>Optical images of the resulting polymer specimens</w:t>
      </w:r>
      <w:r>
        <w:rPr>
          <w:rFonts w:ascii="Times New Roman" w:hAnsi="Times New Roman" w:cs="Times New Roman"/>
          <w:sz w:val="24"/>
          <w:szCs w:val="24"/>
        </w:rPr>
        <w:t xml:space="preserve"> 24 h post polymerization</w:t>
      </w:r>
      <w:r w:rsidRPr="007F7D41">
        <w:rPr>
          <w:rFonts w:ascii="Times New Roman" w:hAnsi="Times New Roman" w:cs="Times New Roman"/>
          <w:sz w:val="24"/>
          <w:szCs w:val="24"/>
        </w:rPr>
        <w:t xml:space="preserve"> </w:t>
      </w:r>
      <w:proofErr w:type="gramStart"/>
      <w:r>
        <w:rPr>
          <w:rFonts w:ascii="Times New Roman" w:hAnsi="Times New Roman" w:cs="Times New Roman"/>
          <w:sz w:val="24"/>
          <w:szCs w:val="24"/>
        </w:rPr>
        <w:t>were</w:t>
      </w:r>
      <w:proofErr w:type="gramEnd"/>
      <w:r w:rsidRPr="007F7D41">
        <w:rPr>
          <w:rFonts w:ascii="Times New Roman" w:hAnsi="Times New Roman" w:cs="Times New Roman"/>
          <w:sz w:val="24"/>
          <w:szCs w:val="24"/>
        </w:rPr>
        <w:t xml:space="preserve"> captured using a digital microscope</w:t>
      </w:r>
      <w:r>
        <w:rPr>
          <w:rFonts w:ascii="Times New Roman" w:hAnsi="Times New Roman" w:cs="Times New Roman"/>
          <w:sz w:val="24"/>
          <w:szCs w:val="24"/>
        </w:rPr>
        <w:t xml:space="preserve"> </w:t>
      </w:r>
      <w:r w:rsidRPr="007F7D41">
        <w:rPr>
          <w:rFonts w:ascii="Times New Roman" w:hAnsi="Times New Roman" w:cs="Times New Roman"/>
          <w:sz w:val="24"/>
          <w:szCs w:val="24"/>
        </w:rPr>
        <w:t>(VHX-5000, Keyence)</w:t>
      </w:r>
      <w:r>
        <w:rPr>
          <w:rFonts w:ascii="Times New Roman" w:hAnsi="Times New Roman" w:cs="Times New Roman"/>
          <w:sz w:val="24"/>
          <w:szCs w:val="24"/>
        </w:rPr>
        <w:t xml:space="preserve"> with a 20x objective</w:t>
      </w:r>
      <w:r w:rsidRPr="007F7D41">
        <w:rPr>
          <w:rFonts w:ascii="Times New Roman" w:hAnsi="Times New Roman" w:cs="Times New Roman"/>
          <w:sz w:val="24"/>
          <w:szCs w:val="24"/>
        </w:rPr>
        <w:t>. The distance between the material domains w</w:t>
      </w:r>
      <w:r>
        <w:rPr>
          <w:rFonts w:ascii="Times New Roman" w:hAnsi="Times New Roman" w:cs="Times New Roman"/>
          <w:sz w:val="24"/>
          <w:szCs w:val="24"/>
        </w:rPr>
        <w:t>as</w:t>
      </w:r>
      <w:r w:rsidRPr="007F7D41">
        <w:rPr>
          <w:rFonts w:ascii="Times New Roman" w:hAnsi="Times New Roman" w:cs="Times New Roman"/>
          <w:sz w:val="24"/>
          <w:szCs w:val="24"/>
        </w:rPr>
        <w:t xml:space="preserve"> analyzed using FIJI (ImageJ 1.54b)</w:t>
      </w:r>
      <w:r>
        <w:rPr>
          <w:rFonts w:ascii="Times New Roman" w:hAnsi="Times New Roman" w:cs="Times New Roman"/>
          <w:sz w:val="24"/>
          <w:szCs w:val="24"/>
        </w:rPr>
        <w:t xml:space="preserve">. </w:t>
      </w:r>
      <w:r w:rsidRPr="007F7D41">
        <w:rPr>
          <w:rFonts w:ascii="Times New Roman" w:hAnsi="Times New Roman" w:cs="Times New Roman"/>
          <w:sz w:val="24"/>
          <w:szCs w:val="24"/>
        </w:rPr>
        <w:t xml:space="preserve">The </w:t>
      </w:r>
      <w:r>
        <w:rPr>
          <w:rFonts w:ascii="Times New Roman" w:hAnsi="Times New Roman" w:cs="Times New Roman"/>
          <w:sz w:val="24"/>
          <w:szCs w:val="24"/>
        </w:rPr>
        <w:t xml:space="preserve">average </w:t>
      </w:r>
      <w:r w:rsidRPr="007F7D41">
        <w:rPr>
          <w:rFonts w:ascii="Times New Roman" w:hAnsi="Times New Roman" w:cs="Times New Roman"/>
          <w:sz w:val="24"/>
          <w:szCs w:val="24"/>
        </w:rPr>
        <w:t>distance</w:t>
      </w:r>
      <w:r>
        <w:rPr>
          <w:rFonts w:ascii="Times New Roman" w:hAnsi="Times New Roman" w:cs="Times New Roman"/>
          <w:sz w:val="24"/>
          <w:szCs w:val="24"/>
        </w:rPr>
        <w:t xml:space="preserve"> </w:t>
      </w:r>
      <w:r w:rsidRPr="007F7D41">
        <w:rPr>
          <w:rFonts w:ascii="Times New Roman" w:hAnsi="Times New Roman" w:cs="Times New Roman"/>
          <w:sz w:val="24"/>
          <w:szCs w:val="24"/>
        </w:rPr>
        <w:t xml:space="preserve">was determined by measuring the spatial separation between the material </w:t>
      </w:r>
      <w:r>
        <w:rPr>
          <w:rFonts w:ascii="Times New Roman" w:hAnsi="Times New Roman" w:cs="Times New Roman"/>
          <w:sz w:val="24"/>
          <w:szCs w:val="24"/>
        </w:rPr>
        <w:t>domains</w:t>
      </w:r>
      <w:r w:rsidRPr="007F7D41">
        <w:rPr>
          <w:rFonts w:ascii="Times New Roman" w:hAnsi="Times New Roman" w:cs="Times New Roman"/>
          <w:sz w:val="24"/>
          <w:szCs w:val="24"/>
        </w:rPr>
        <w:t xml:space="preserve"> at three positions (left, middle, and right) along the samples, covering roughly</w:t>
      </w:r>
      <w:r>
        <w:rPr>
          <w:rFonts w:ascii="Times New Roman" w:hAnsi="Times New Roman" w:cs="Times New Roman"/>
          <w:sz w:val="24"/>
          <w:szCs w:val="24"/>
        </w:rPr>
        <w:t xml:space="preserve"> </w:t>
      </w:r>
      <w:r w:rsidRPr="007F7D41">
        <w:rPr>
          <w:rFonts w:ascii="Times New Roman" w:hAnsi="Times New Roman" w:cs="Times New Roman"/>
          <w:sz w:val="24"/>
          <w:szCs w:val="24"/>
        </w:rPr>
        <w:t>50 mm.</w:t>
      </w:r>
    </w:p>
    <w:p w14:paraId="077073AC" w14:textId="77777777" w:rsidR="007A0785" w:rsidRPr="00666344" w:rsidRDefault="007A0785" w:rsidP="007A0785">
      <w:pPr>
        <w:spacing w:line="480" w:lineRule="auto"/>
        <w:jc w:val="both"/>
        <w:rPr>
          <w:rFonts w:ascii="Times New Roman" w:hAnsi="Times New Roman" w:cs="Times New Roman"/>
          <w:b/>
          <w:bCs/>
          <w:sz w:val="24"/>
          <w:szCs w:val="24"/>
        </w:rPr>
      </w:pPr>
      <w:r w:rsidRPr="00407F1E">
        <w:rPr>
          <w:rFonts w:ascii="Times New Roman" w:hAnsi="Times New Roman" w:cs="Times New Roman"/>
          <w:b/>
          <w:bCs/>
          <w:sz w:val="24"/>
          <w:szCs w:val="24"/>
        </w:rPr>
        <w:t>Fabrication of specimen</w:t>
      </w:r>
      <w:r>
        <w:rPr>
          <w:rFonts w:ascii="Times New Roman" w:hAnsi="Times New Roman" w:cs="Times New Roman"/>
          <w:b/>
          <w:bCs/>
          <w:sz w:val="24"/>
          <w:szCs w:val="24"/>
        </w:rPr>
        <w:t>s</w:t>
      </w:r>
      <w:r w:rsidRPr="00407F1E">
        <w:rPr>
          <w:rFonts w:ascii="Times New Roman" w:hAnsi="Times New Roman" w:cs="Times New Roman"/>
          <w:b/>
          <w:bCs/>
          <w:sz w:val="24"/>
          <w:szCs w:val="24"/>
        </w:rPr>
        <w:t xml:space="preserve"> for X-ray diffraction</w:t>
      </w:r>
      <w:bookmarkEnd w:id="1"/>
      <w:r>
        <w:rPr>
          <w:rFonts w:ascii="Times New Roman" w:hAnsi="Times New Roman" w:cs="Times New Roman"/>
          <w:b/>
          <w:bCs/>
          <w:sz w:val="24"/>
          <w:szCs w:val="24"/>
        </w:rPr>
        <w:t xml:space="preserve">. </w:t>
      </w:r>
      <w:r>
        <w:rPr>
          <w:rFonts w:ascii="Times New Roman" w:hAnsi="Times New Roman" w:cs="Times New Roman"/>
          <w:sz w:val="24"/>
          <w:szCs w:val="24"/>
        </w:rPr>
        <w:t xml:space="preserve">Various resin formulations were used to fabricate different polymer specimens derived with three different initiators (Ru-1, Ru-2, Ru-3) which can be found in </w:t>
      </w:r>
      <w:r w:rsidRPr="00C83F31">
        <w:rPr>
          <w:rFonts w:ascii="Times New Roman" w:hAnsi="Times New Roman" w:cs="Times New Roman"/>
          <w:sz w:val="24"/>
          <w:szCs w:val="24"/>
        </w:rPr>
        <w:t>Extended Data Table 1.</w:t>
      </w:r>
      <w:r>
        <w:rPr>
          <w:rFonts w:ascii="Times New Roman" w:hAnsi="Times New Roman" w:cs="Times New Roman"/>
          <w:sz w:val="24"/>
          <w:szCs w:val="24"/>
        </w:rPr>
        <w:t xml:space="preserve"> For this fabrication method, 5.29 g (6 mL) of COD was used. We use a 15 mm x 60 mm x 3.3 mm U-shaped high temperature silicone rubber spacer between two 1 mm thick glass slides for X-ray diffraction specimens. The specimen thickness was specifically chosen such that about 70% penetration of the X-ray source could be achieved. FROMP is initiated immediately by applying an electric current to a resistive wire placed along one edge of the mold. The power supply is turned off a few seconds after frontal propagation is observed and remains off for the remainder of the propagation. Specimens sat for 24 h under N</w:t>
      </w:r>
      <w:r w:rsidRPr="008B5D05">
        <w:rPr>
          <w:rFonts w:ascii="Times New Roman" w:hAnsi="Times New Roman" w:cs="Times New Roman"/>
          <w:sz w:val="24"/>
          <w:szCs w:val="24"/>
          <w:vertAlign w:val="subscript"/>
        </w:rPr>
        <w:t>2</w:t>
      </w:r>
      <w:r>
        <w:rPr>
          <w:rFonts w:ascii="Times New Roman" w:hAnsi="Times New Roman" w:cs="Times New Roman"/>
          <w:sz w:val="24"/>
          <w:szCs w:val="24"/>
        </w:rPr>
        <w:t xml:space="preserve"> at 23.5 </w:t>
      </w:r>
      <w:r>
        <w:rPr>
          <w:rFonts w:ascii="Calibri" w:hAnsi="Calibri" w:cs="Calibri"/>
          <w:sz w:val="24"/>
          <w:szCs w:val="24"/>
        </w:rPr>
        <w:t>°</w:t>
      </w:r>
      <w:r>
        <w:rPr>
          <w:rFonts w:ascii="Times New Roman" w:hAnsi="Times New Roman" w:cs="Times New Roman"/>
          <w:sz w:val="24"/>
          <w:szCs w:val="24"/>
        </w:rPr>
        <w:t xml:space="preserve">C before removing the polymers from the glass mold. Samples were then cut to a 1 cm x 4 </w:t>
      </w:r>
      <w:r>
        <w:rPr>
          <w:rFonts w:ascii="Times New Roman" w:hAnsi="Times New Roman" w:cs="Times New Roman"/>
          <w:sz w:val="24"/>
          <w:szCs w:val="24"/>
        </w:rPr>
        <w:lastRenderedPageBreak/>
        <w:t>cm rectangular geometry and let to sit for another 48 h under N</w:t>
      </w:r>
      <w:r w:rsidRPr="0072226C">
        <w:rPr>
          <w:rFonts w:ascii="Times New Roman" w:hAnsi="Times New Roman" w:cs="Times New Roman"/>
          <w:sz w:val="24"/>
          <w:szCs w:val="24"/>
          <w:vertAlign w:val="subscript"/>
        </w:rPr>
        <w:t>2</w:t>
      </w:r>
      <w:r>
        <w:rPr>
          <w:rFonts w:ascii="Times New Roman" w:hAnsi="Times New Roman" w:cs="Times New Roman"/>
          <w:sz w:val="24"/>
          <w:szCs w:val="24"/>
        </w:rPr>
        <w:t xml:space="preserve"> at 23.5 </w:t>
      </w:r>
      <w:r w:rsidRPr="0008668C">
        <w:rPr>
          <w:rFonts w:ascii="Times New Roman" w:hAnsi="Times New Roman" w:cs="Times New Roman"/>
          <w:sz w:val="24"/>
          <w:szCs w:val="24"/>
        </w:rPr>
        <w:t>°</w:t>
      </w:r>
      <w:r>
        <w:rPr>
          <w:rFonts w:ascii="Times New Roman" w:hAnsi="Times New Roman" w:cs="Times New Roman"/>
          <w:sz w:val="24"/>
          <w:szCs w:val="24"/>
        </w:rPr>
        <w:t>C before being placed in the freezer (ca. -</w:t>
      </w:r>
      <w:r w:rsidRPr="0008668C">
        <w:rPr>
          <w:rFonts w:ascii="Times New Roman" w:hAnsi="Times New Roman" w:cs="Times New Roman"/>
          <w:sz w:val="24"/>
          <w:szCs w:val="24"/>
        </w:rPr>
        <w:t>20 °</w:t>
      </w:r>
      <w:r>
        <w:rPr>
          <w:rFonts w:ascii="Times New Roman" w:hAnsi="Times New Roman" w:cs="Times New Roman"/>
          <w:sz w:val="24"/>
          <w:szCs w:val="24"/>
        </w:rPr>
        <w:t xml:space="preserve">C) to mitigate the evolution of the material domains prior to testing. </w:t>
      </w:r>
    </w:p>
    <w:p w14:paraId="00124A8E" w14:textId="77777777" w:rsidR="007A0785" w:rsidRDefault="007A0785" w:rsidP="007A0785">
      <w:pPr>
        <w:spacing w:line="480" w:lineRule="auto"/>
        <w:jc w:val="both"/>
        <w:rPr>
          <w:rFonts w:ascii="Times New Roman" w:hAnsi="Times New Roman" w:cs="Times New Roman"/>
          <w:sz w:val="24"/>
          <w:szCs w:val="24"/>
        </w:rPr>
      </w:pPr>
      <w:bookmarkStart w:id="5" w:name="_Hlk135909196"/>
      <w:r w:rsidRPr="001D0A15">
        <w:rPr>
          <w:rFonts w:ascii="Times New Roman" w:hAnsi="Times New Roman" w:cs="Times New Roman"/>
          <w:b/>
          <w:bCs/>
          <w:sz w:val="24"/>
          <w:szCs w:val="24"/>
        </w:rPr>
        <w:t>Small/wide angle X-ray scattering (S/WAXS).</w:t>
      </w:r>
      <w:r w:rsidRPr="00CD2456">
        <w:rPr>
          <w:rFonts w:ascii="Times New Roman" w:hAnsi="Times New Roman" w:cs="Times New Roman"/>
          <w:b/>
          <w:bCs/>
          <w:sz w:val="24"/>
          <w:szCs w:val="24"/>
        </w:rPr>
        <w:t xml:space="preserve"> </w:t>
      </w:r>
      <w:r w:rsidRPr="00D50764">
        <w:rPr>
          <w:rFonts w:ascii="Times New Roman" w:hAnsi="Times New Roman" w:cs="Times New Roman"/>
          <w:sz w:val="24"/>
          <w:szCs w:val="24"/>
        </w:rPr>
        <w:t>Simultaneous S/WAXS experiments were conducted at beamline 12-ID-B, Advanced Photon Source (APS), Argonne National Laboratory, using a Pilatus2M/Eiger9M detector (</w:t>
      </w:r>
      <w:proofErr w:type="spellStart"/>
      <w:r w:rsidRPr="00D50764">
        <w:rPr>
          <w:rFonts w:ascii="Times New Roman" w:hAnsi="Times New Roman" w:cs="Times New Roman"/>
          <w:sz w:val="24"/>
          <w:szCs w:val="24"/>
        </w:rPr>
        <w:t>Dectris</w:t>
      </w:r>
      <w:proofErr w:type="spellEnd"/>
      <w:r w:rsidRPr="00D50764">
        <w:rPr>
          <w:rFonts w:ascii="Times New Roman" w:hAnsi="Times New Roman" w:cs="Times New Roman"/>
          <w:sz w:val="24"/>
          <w:szCs w:val="24"/>
        </w:rPr>
        <w:t>, Switzerland) for SAXS and a Pilatus300K detector (</w:t>
      </w:r>
      <w:proofErr w:type="spellStart"/>
      <w:r w:rsidRPr="00D50764">
        <w:rPr>
          <w:rFonts w:ascii="Times New Roman" w:hAnsi="Times New Roman" w:cs="Times New Roman"/>
          <w:sz w:val="24"/>
          <w:szCs w:val="24"/>
        </w:rPr>
        <w:t>Dectris</w:t>
      </w:r>
      <w:proofErr w:type="spellEnd"/>
      <w:r w:rsidRPr="00D50764">
        <w:rPr>
          <w:rFonts w:ascii="Times New Roman" w:hAnsi="Times New Roman" w:cs="Times New Roman"/>
          <w:sz w:val="24"/>
          <w:szCs w:val="24"/>
        </w:rPr>
        <w:t xml:space="preserve">, Switzerland) for WAXS. X-ray beams with an average photon energy of 13.3 </w:t>
      </w:r>
      <w:proofErr w:type="spellStart"/>
      <w:r w:rsidRPr="00D50764">
        <w:rPr>
          <w:rFonts w:ascii="Times New Roman" w:hAnsi="Times New Roman" w:cs="Times New Roman"/>
          <w:sz w:val="24"/>
          <w:szCs w:val="24"/>
        </w:rPr>
        <w:t>keV</w:t>
      </w:r>
      <w:proofErr w:type="spellEnd"/>
      <w:r w:rsidRPr="00D50764">
        <w:rPr>
          <w:rFonts w:ascii="Times New Roman" w:hAnsi="Times New Roman" w:cs="Times New Roman"/>
          <w:sz w:val="24"/>
          <w:szCs w:val="24"/>
        </w:rPr>
        <w:t xml:space="preserve"> were used. The sample-to-detector distances (SDDs) for SAXS and WAXS were approximately 2 m and 0.46 m, respectively. All calibrations for SDDs were performed using a silver behenate powder standard. The obtained scattering patterns were radially and azimuthally integrated using an Igor-based package, </w:t>
      </w:r>
      <w:r>
        <w:rPr>
          <w:rFonts w:ascii="Times New Roman" w:hAnsi="Times New Roman" w:cs="Times New Roman"/>
          <w:sz w:val="24"/>
          <w:szCs w:val="24"/>
        </w:rPr>
        <w:t>NIKA</w:t>
      </w:r>
      <w:r>
        <w:rPr>
          <w:rFonts w:ascii="Times New Roman" w:hAnsi="Times New Roman" w:cs="Times New Roman"/>
          <w:sz w:val="24"/>
          <w:szCs w:val="24"/>
          <w:vertAlign w:val="superscript"/>
        </w:rPr>
        <w:t>7</w:t>
      </w:r>
      <w:r>
        <w:rPr>
          <w:rFonts w:ascii="Times New Roman" w:hAnsi="Times New Roman" w:cs="Times New Roman"/>
          <w:sz w:val="24"/>
          <w:szCs w:val="24"/>
        </w:rPr>
        <w:t>.</w:t>
      </w:r>
    </w:p>
    <w:p w14:paraId="58C2DE7C" w14:textId="77777777" w:rsidR="007A0785" w:rsidRPr="00D50764" w:rsidRDefault="007A0785" w:rsidP="007A0785">
      <w:pPr>
        <w:spacing w:line="480" w:lineRule="auto"/>
        <w:ind w:firstLine="720"/>
        <w:jc w:val="both"/>
        <w:rPr>
          <w:rFonts w:ascii="Times New Roman" w:hAnsi="Times New Roman" w:cs="Times New Roman"/>
          <w:sz w:val="24"/>
          <w:szCs w:val="24"/>
        </w:rPr>
      </w:pPr>
      <w:r w:rsidRPr="00D50764">
        <w:rPr>
          <w:rFonts w:ascii="Times New Roman" w:hAnsi="Times New Roman" w:cs="Times New Roman"/>
          <w:sz w:val="24"/>
          <w:szCs w:val="24"/>
        </w:rPr>
        <w:t xml:space="preserve">To determine the percent distribution of the polymer chain orientation, we performed the following steps. First, the 1D azimuthal plots acquired at each sample point were fitted using three Gaussian curves centering at -90, 0, </w:t>
      </w:r>
      <w:r>
        <w:rPr>
          <w:rFonts w:ascii="Times New Roman" w:hAnsi="Times New Roman" w:cs="Times New Roman"/>
          <w:sz w:val="24"/>
          <w:szCs w:val="24"/>
        </w:rPr>
        <w:t xml:space="preserve">and </w:t>
      </w:r>
      <w:r w:rsidRPr="00D50764">
        <w:rPr>
          <w:rFonts w:ascii="Times New Roman" w:hAnsi="Times New Roman" w:cs="Times New Roman"/>
          <w:sz w:val="24"/>
          <w:szCs w:val="24"/>
        </w:rPr>
        <w:t xml:space="preserve">90 degrees. We selected the higher height values from the Gaussian curves centered at -90 and 90 degrees. Using the selected height value, we calculated the percent height ratio by including the height of the curve centered at 0 degrees. The percent height ratio is equivalent to the percent distribution. In this data process, we fairly assumed that the 1D azimuthal plots give rise to peaks only at -90, 0, 90 degrees. To better illustrate the percent distribution of the polymer chain orientation, violin plots were overlaid with data points using the software </w:t>
      </w:r>
      <w:proofErr w:type="spellStart"/>
      <w:r w:rsidRPr="00D50764">
        <w:rPr>
          <w:rFonts w:ascii="Times New Roman" w:hAnsi="Times New Roman" w:cs="Times New Roman"/>
          <w:sz w:val="24"/>
          <w:szCs w:val="24"/>
        </w:rPr>
        <w:t>OriginPro</w:t>
      </w:r>
      <w:proofErr w:type="spellEnd"/>
      <w:r w:rsidRPr="00D50764">
        <w:rPr>
          <w:rFonts w:ascii="Times New Roman" w:hAnsi="Times New Roman" w:cs="Times New Roman"/>
          <w:sz w:val="24"/>
          <w:szCs w:val="24"/>
        </w:rPr>
        <w:t>. The Kernel bandwidth was set to zero.</w:t>
      </w:r>
    </w:p>
    <w:bookmarkEnd w:id="5"/>
    <w:p w14:paraId="46DE1E07" w14:textId="77777777" w:rsidR="007A0785" w:rsidRPr="0008668C" w:rsidRDefault="007A0785" w:rsidP="007A0785">
      <w:pPr>
        <w:spacing w:line="480" w:lineRule="auto"/>
        <w:jc w:val="both"/>
        <w:rPr>
          <w:rFonts w:ascii="Times New Roman" w:hAnsi="Times New Roman" w:cs="Times New Roman"/>
          <w:sz w:val="24"/>
          <w:szCs w:val="24"/>
        </w:rPr>
      </w:pPr>
      <w:r w:rsidRPr="001304BC">
        <w:rPr>
          <w:rFonts w:ascii="Times New Roman" w:hAnsi="Times New Roman" w:cs="Times New Roman"/>
          <w:b/>
          <w:bCs/>
          <w:sz w:val="24"/>
          <w:szCs w:val="24"/>
        </w:rPr>
        <w:t>Fabrication of specimen</w:t>
      </w:r>
      <w:r>
        <w:rPr>
          <w:rFonts w:ascii="Times New Roman" w:hAnsi="Times New Roman" w:cs="Times New Roman"/>
          <w:b/>
          <w:bCs/>
          <w:sz w:val="24"/>
          <w:szCs w:val="24"/>
        </w:rPr>
        <w:t>s</w:t>
      </w:r>
      <w:r w:rsidRPr="001304BC">
        <w:rPr>
          <w:rFonts w:ascii="Times New Roman" w:hAnsi="Times New Roman" w:cs="Times New Roman"/>
          <w:b/>
          <w:bCs/>
          <w:sz w:val="24"/>
          <w:szCs w:val="24"/>
        </w:rPr>
        <w:t xml:space="preserve"> for mechanical testing</w:t>
      </w:r>
      <w:r>
        <w:rPr>
          <w:rFonts w:ascii="Times New Roman" w:hAnsi="Times New Roman" w:cs="Times New Roman"/>
          <w:b/>
          <w:bCs/>
          <w:sz w:val="24"/>
          <w:szCs w:val="24"/>
        </w:rPr>
        <w:t xml:space="preserve">. </w:t>
      </w:r>
      <w:r w:rsidRPr="00CD2456">
        <w:rPr>
          <w:rFonts w:ascii="Times New Roman" w:hAnsi="Times New Roman" w:cs="Times New Roman"/>
          <w:b/>
          <w:bCs/>
          <w:sz w:val="24"/>
          <w:szCs w:val="24"/>
        </w:rPr>
        <w:t xml:space="preserve"> </w:t>
      </w:r>
      <w:bookmarkStart w:id="6" w:name="_Hlk137469217"/>
      <w:r w:rsidRPr="0008668C">
        <w:rPr>
          <w:rFonts w:ascii="Times New Roman" w:hAnsi="Times New Roman" w:cs="Times New Roman"/>
          <w:sz w:val="24"/>
          <w:szCs w:val="24"/>
        </w:rPr>
        <w:t xml:space="preserve">For this fabrication method, 22.94 g (26 mL) of COD was used and the initiator and inhibitor concentrations found in Extended Data Table 1 were scaled accordingly. Various resin formulations were used to fabricate different polymer specimens derived with the three initiators. The resin mixture was sonicated for 10 minutes until </w:t>
      </w:r>
      <w:r w:rsidRPr="0008668C">
        <w:rPr>
          <w:rFonts w:ascii="Times New Roman" w:hAnsi="Times New Roman" w:cs="Times New Roman"/>
          <w:sz w:val="24"/>
          <w:szCs w:val="24"/>
        </w:rPr>
        <w:lastRenderedPageBreak/>
        <w:t xml:space="preserve">complete dissolution of the initiator and then transferred into the rectilinear mold. We used a 60 mm x 65 mm x 4.2 mm U-shaped high temperature silicone rubber spacer between two 1 mm thick glass slides for tensile specimens.  The ambient temperature was set to </w:t>
      </w:r>
      <w:r w:rsidRPr="0008668C">
        <w:rPr>
          <w:rFonts w:ascii="Times New Roman" w:hAnsi="Times New Roman" w:cs="Times New Roman"/>
          <w:i/>
          <w:iCs/>
          <w:sz w:val="24"/>
          <w:szCs w:val="24"/>
        </w:rPr>
        <w:t>T</w:t>
      </w:r>
      <w:r w:rsidRPr="0008668C">
        <w:rPr>
          <w:rFonts w:ascii="Times New Roman" w:hAnsi="Times New Roman" w:cs="Times New Roman"/>
          <w:sz w:val="24"/>
          <w:szCs w:val="24"/>
          <w:vertAlign w:val="subscript"/>
        </w:rPr>
        <w:t>0</w:t>
      </w:r>
      <w:r w:rsidRPr="0008668C">
        <w:rPr>
          <w:rFonts w:ascii="Times New Roman" w:hAnsi="Times New Roman" w:cs="Times New Roman"/>
          <w:sz w:val="24"/>
          <w:szCs w:val="24"/>
        </w:rPr>
        <w:t xml:space="preserve"> = 20 °C for the Ru-1 derived specimens, </w:t>
      </w:r>
      <w:r w:rsidRPr="0008668C">
        <w:rPr>
          <w:rFonts w:ascii="Times New Roman" w:hAnsi="Times New Roman" w:cs="Times New Roman"/>
          <w:i/>
          <w:iCs/>
          <w:sz w:val="24"/>
          <w:szCs w:val="24"/>
        </w:rPr>
        <w:t>T</w:t>
      </w:r>
      <w:r w:rsidRPr="0008668C">
        <w:rPr>
          <w:rFonts w:ascii="Times New Roman" w:hAnsi="Times New Roman" w:cs="Times New Roman"/>
          <w:sz w:val="24"/>
          <w:szCs w:val="24"/>
          <w:vertAlign w:val="subscript"/>
        </w:rPr>
        <w:t>0</w:t>
      </w:r>
      <w:r w:rsidRPr="0008668C">
        <w:rPr>
          <w:rFonts w:ascii="Times New Roman" w:hAnsi="Times New Roman" w:cs="Times New Roman"/>
          <w:sz w:val="24"/>
          <w:szCs w:val="24"/>
        </w:rPr>
        <w:t xml:space="preserve"> = 30 °C for the Ru-2 derived specimens, and </w:t>
      </w:r>
      <w:r w:rsidRPr="0008668C">
        <w:rPr>
          <w:rFonts w:ascii="Times New Roman" w:hAnsi="Times New Roman" w:cs="Times New Roman"/>
          <w:i/>
          <w:iCs/>
          <w:sz w:val="24"/>
          <w:szCs w:val="24"/>
        </w:rPr>
        <w:t>T</w:t>
      </w:r>
      <w:r w:rsidRPr="0008668C">
        <w:rPr>
          <w:rFonts w:ascii="Times New Roman" w:hAnsi="Times New Roman" w:cs="Times New Roman"/>
          <w:sz w:val="24"/>
          <w:szCs w:val="24"/>
          <w:vertAlign w:val="subscript"/>
        </w:rPr>
        <w:t>0</w:t>
      </w:r>
      <w:r w:rsidRPr="0008668C">
        <w:rPr>
          <w:rFonts w:ascii="Times New Roman" w:hAnsi="Times New Roman" w:cs="Times New Roman"/>
          <w:sz w:val="24"/>
          <w:szCs w:val="24"/>
        </w:rPr>
        <w:t xml:space="preserve"> = 40 °C for the Ru-3 derived specimens. FROMP is initiated immediately by applying an electric current to a resistive wire placed along one edge of the mold. The power supply is turned off a few seconds after frontal propagation is observed and remains off for the remainder of the propagation. All specimens fabricated were left between glass for 24 h before removing specimen from the glass mold. We cut dog-bone specimens for tensile testing 48 h post polymerization from the manufactured polymer specimen using an ASTM D638 Type V dimension die from </w:t>
      </w:r>
      <w:proofErr w:type="spellStart"/>
      <w:r w:rsidRPr="0008668C">
        <w:rPr>
          <w:rFonts w:ascii="Times New Roman" w:hAnsi="Times New Roman" w:cs="Times New Roman"/>
          <w:sz w:val="24"/>
          <w:szCs w:val="24"/>
        </w:rPr>
        <w:t>Qualitest</w:t>
      </w:r>
      <w:proofErr w:type="spellEnd"/>
      <w:r w:rsidRPr="0008668C">
        <w:rPr>
          <w:rFonts w:ascii="Times New Roman" w:hAnsi="Times New Roman" w:cs="Times New Roman"/>
          <w:sz w:val="24"/>
          <w:szCs w:val="24"/>
        </w:rPr>
        <w:t>. Dog-bone specimens were then stored under N</w:t>
      </w:r>
      <w:r w:rsidRPr="0008668C">
        <w:rPr>
          <w:rFonts w:ascii="Times New Roman" w:hAnsi="Times New Roman" w:cs="Times New Roman"/>
          <w:sz w:val="24"/>
          <w:szCs w:val="24"/>
          <w:vertAlign w:val="subscript"/>
        </w:rPr>
        <w:t>2</w:t>
      </w:r>
      <w:r w:rsidRPr="0008668C">
        <w:rPr>
          <w:rFonts w:ascii="Times New Roman" w:hAnsi="Times New Roman" w:cs="Times New Roman"/>
          <w:sz w:val="24"/>
          <w:szCs w:val="24"/>
        </w:rPr>
        <w:t xml:space="preserve"> at 23.5 °C for the remainder of their aging process prior to quasi-static tensile testing. </w:t>
      </w:r>
      <w:bookmarkEnd w:id="6"/>
      <w:r w:rsidRPr="0008668C">
        <w:rPr>
          <w:rFonts w:ascii="Times New Roman" w:hAnsi="Times New Roman" w:cs="Times New Roman"/>
          <w:sz w:val="24"/>
          <w:szCs w:val="24"/>
        </w:rPr>
        <w:t>Ru-1 uniform specimens were left under N</w:t>
      </w:r>
      <w:r w:rsidRPr="0008668C">
        <w:rPr>
          <w:rFonts w:ascii="Times New Roman" w:hAnsi="Times New Roman" w:cs="Times New Roman"/>
          <w:sz w:val="24"/>
          <w:szCs w:val="24"/>
          <w:vertAlign w:val="subscript"/>
        </w:rPr>
        <w:t>2</w:t>
      </w:r>
      <w:r w:rsidRPr="0008668C">
        <w:rPr>
          <w:rFonts w:ascii="Times New Roman" w:hAnsi="Times New Roman" w:cs="Times New Roman"/>
          <w:sz w:val="24"/>
          <w:szCs w:val="24"/>
        </w:rPr>
        <w:t xml:space="preserve"> for 48 h (72 h aged post polymerization) and Ru-1 architected specimens were left under N</w:t>
      </w:r>
      <w:r w:rsidRPr="0008668C">
        <w:rPr>
          <w:rFonts w:ascii="Times New Roman" w:hAnsi="Times New Roman" w:cs="Times New Roman"/>
          <w:sz w:val="24"/>
          <w:szCs w:val="24"/>
          <w:vertAlign w:val="subscript"/>
        </w:rPr>
        <w:t xml:space="preserve">2 </w:t>
      </w:r>
      <w:r w:rsidRPr="0008668C">
        <w:rPr>
          <w:rFonts w:ascii="Times New Roman" w:hAnsi="Times New Roman" w:cs="Times New Roman"/>
          <w:sz w:val="24"/>
          <w:szCs w:val="24"/>
        </w:rPr>
        <w:t>for 120 h (144 h aged post polymerization). Ru-2 and Ru-3 uniform specimens were left under N</w:t>
      </w:r>
      <w:r w:rsidRPr="0008668C">
        <w:rPr>
          <w:rFonts w:ascii="Times New Roman" w:hAnsi="Times New Roman" w:cs="Times New Roman"/>
          <w:sz w:val="24"/>
          <w:szCs w:val="24"/>
          <w:vertAlign w:val="subscript"/>
        </w:rPr>
        <w:t>2</w:t>
      </w:r>
      <w:r w:rsidRPr="0008668C">
        <w:rPr>
          <w:rFonts w:ascii="Times New Roman" w:hAnsi="Times New Roman" w:cs="Times New Roman"/>
          <w:sz w:val="24"/>
          <w:szCs w:val="24"/>
        </w:rPr>
        <w:t xml:space="preserve"> for 48 h (72 h aged post polymerization) and the respective architected specimens were left under N</w:t>
      </w:r>
      <w:r w:rsidRPr="0008668C">
        <w:rPr>
          <w:rFonts w:ascii="Times New Roman" w:hAnsi="Times New Roman" w:cs="Times New Roman"/>
          <w:sz w:val="24"/>
          <w:szCs w:val="24"/>
          <w:vertAlign w:val="subscript"/>
        </w:rPr>
        <w:t>2</w:t>
      </w:r>
      <w:r w:rsidRPr="0008668C">
        <w:rPr>
          <w:rFonts w:ascii="Times New Roman" w:hAnsi="Times New Roman" w:cs="Times New Roman"/>
          <w:sz w:val="24"/>
          <w:szCs w:val="24"/>
        </w:rPr>
        <w:t xml:space="preserve"> for 96 h (120 h post polymerization). The respective heat of fusion for each specimen type at the time of testing can be found in Supplementary Data Table S5. </w:t>
      </w:r>
    </w:p>
    <w:p w14:paraId="5232D7FF" w14:textId="77777777" w:rsidR="007A0785" w:rsidRPr="0008668C" w:rsidRDefault="007A0785" w:rsidP="007A0785">
      <w:pPr>
        <w:spacing w:line="480" w:lineRule="auto"/>
        <w:jc w:val="both"/>
        <w:rPr>
          <w:rFonts w:ascii="Times New Roman" w:hAnsi="Times New Roman" w:cs="Times New Roman"/>
          <w:sz w:val="24"/>
          <w:szCs w:val="24"/>
        </w:rPr>
      </w:pPr>
      <w:r w:rsidRPr="00CD2456">
        <w:rPr>
          <w:rFonts w:ascii="Times New Roman" w:hAnsi="Times New Roman" w:cs="Times New Roman"/>
          <w:b/>
          <w:bCs/>
          <w:sz w:val="24"/>
          <w:szCs w:val="24"/>
        </w:rPr>
        <w:t>Quasi-static tensile testing</w:t>
      </w:r>
      <w:r>
        <w:rPr>
          <w:rFonts w:ascii="Times New Roman" w:hAnsi="Times New Roman" w:cs="Times New Roman"/>
          <w:b/>
          <w:bCs/>
          <w:sz w:val="24"/>
          <w:szCs w:val="24"/>
        </w:rPr>
        <w:t xml:space="preserve">. </w:t>
      </w:r>
      <w:r w:rsidRPr="0008668C">
        <w:rPr>
          <w:rFonts w:ascii="Times New Roman" w:hAnsi="Times New Roman" w:cs="Times New Roman"/>
          <w:sz w:val="24"/>
          <w:szCs w:val="24"/>
        </w:rPr>
        <w:t xml:space="preserve">Tensile tests were conducted using an Instron 5984 universal testing system equipped with a 5 </w:t>
      </w:r>
      <w:proofErr w:type="spellStart"/>
      <w:r w:rsidRPr="0008668C">
        <w:rPr>
          <w:rFonts w:ascii="Times New Roman" w:hAnsi="Times New Roman" w:cs="Times New Roman"/>
          <w:sz w:val="24"/>
          <w:szCs w:val="24"/>
        </w:rPr>
        <w:t>kN</w:t>
      </w:r>
      <w:proofErr w:type="spellEnd"/>
      <w:r w:rsidRPr="0008668C">
        <w:rPr>
          <w:rFonts w:ascii="Times New Roman" w:hAnsi="Times New Roman" w:cs="Times New Roman"/>
          <w:sz w:val="24"/>
          <w:szCs w:val="24"/>
        </w:rPr>
        <w:t xml:space="preserve"> load cell and a video extensometer under ambient conditions. Any compressive load introduced during the tightening of the frame’s grips was removed by loading the sample until the load read 0 N at 10% of the final testing rate. Tensile tests were performed under displacement control at a constant rate of 5 mm/min until the samples failed. Young’s modulus was calculated using the slope of the best-fit line for the stress-strain curve from 0.1-0.3% </w:t>
      </w:r>
      <w:r w:rsidRPr="0008668C">
        <w:rPr>
          <w:rFonts w:ascii="Times New Roman" w:hAnsi="Times New Roman" w:cs="Times New Roman"/>
          <w:sz w:val="24"/>
          <w:szCs w:val="24"/>
        </w:rPr>
        <w:lastRenderedPageBreak/>
        <w:t>strain. The tensile strength of the sample was recorded as the maximum stress achieved during the test. Strain-to-failure was taken as the maximum strain the samples achieved at the point of failure</w:t>
      </w:r>
      <w:r w:rsidRPr="0008668C">
        <w:rPr>
          <w:rFonts w:ascii="Times New Roman" w:hAnsi="Times New Roman" w:cs="Times New Roman"/>
          <w:i/>
          <w:iCs/>
          <w:sz w:val="24"/>
          <w:szCs w:val="24"/>
        </w:rPr>
        <w:t>.</w:t>
      </w:r>
      <w:r w:rsidRPr="0008668C">
        <w:rPr>
          <w:rFonts w:ascii="Times New Roman" w:hAnsi="Times New Roman" w:cs="Times New Roman"/>
          <w:sz w:val="24"/>
          <w:szCs w:val="24"/>
        </w:rPr>
        <w:t xml:space="preserve"> The strain energy density was calculated from the area under the curve of the stress-strain curve up to the point of failure. The error bars represent the 95% confidence interval for </w:t>
      </w:r>
      <w:r w:rsidRPr="0008668C">
        <w:rPr>
          <w:rFonts w:ascii="Times New Roman" w:hAnsi="Times New Roman" w:cs="Times New Roman"/>
          <w:i/>
          <w:iCs/>
          <w:sz w:val="24"/>
          <w:szCs w:val="24"/>
        </w:rPr>
        <w:t xml:space="preserve">n=5 </w:t>
      </w:r>
      <w:r w:rsidRPr="0008668C">
        <w:rPr>
          <w:rFonts w:ascii="Times New Roman" w:hAnsi="Times New Roman" w:cs="Times New Roman"/>
          <w:sz w:val="24"/>
          <w:szCs w:val="24"/>
        </w:rPr>
        <w:t>calculated using a Z-score of 1.96.</w:t>
      </w:r>
    </w:p>
    <w:p w14:paraId="0395293B" w14:textId="77777777" w:rsidR="007A0785" w:rsidRPr="0008668C" w:rsidRDefault="007A0785" w:rsidP="007A0785">
      <w:pPr>
        <w:spacing w:line="480" w:lineRule="auto"/>
        <w:jc w:val="both"/>
        <w:rPr>
          <w:rFonts w:ascii="Times New Roman" w:hAnsi="Times New Roman" w:cs="Times New Roman"/>
          <w:b/>
          <w:bCs/>
          <w:sz w:val="24"/>
          <w:szCs w:val="24"/>
        </w:rPr>
      </w:pPr>
      <w:r w:rsidRPr="009F0827">
        <w:rPr>
          <w:rFonts w:ascii="Times New Roman" w:hAnsi="Times New Roman" w:cs="Times New Roman"/>
          <w:b/>
          <w:bCs/>
          <w:sz w:val="24"/>
          <w:szCs w:val="24"/>
        </w:rPr>
        <w:t>Thermomechanical Characterization</w:t>
      </w:r>
      <w:r>
        <w:rPr>
          <w:rFonts w:ascii="Times New Roman" w:hAnsi="Times New Roman" w:cs="Times New Roman"/>
          <w:b/>
          <w:bCs/>
          <w:sz w:val="24"/>
          <w:szCs w:val="24"/>
        </w:rPr>
        <w:t xml:space="preserve">. </w:t>
      </w:r>
      <w:r w:rsidRPr="0008668C">
        <w:rPr>
          <w:rFonts w:ascii="Times New Roman" w:hAnsi="Times New Roman" w:cs="Times New Roman"/>
          <w:sz w:val="24"/>
          <w:szCs w:val="24"/>
        </w:rPr>
        <w:t>The thermomechanical properties of uniform and architected specimens derived from the three initiators were evaluated 24 h post polymerization using dynamic mechanical analysis (DMA). These tests were performed on a TA instruments Q800 equipped with a gas cooling accessory and tension clamps. Uniform and architected specimens were cut into rectangular samples 25 mm x 4 mm x 0.9 mm and the gauge length was maintained at 16 mm. DMA was performed in multi-frequency strain mode with an oscillation strain of 0.1 % and a static force of 0.001 N. The temperature was increased linearly from -130°C to 50 °</w:t>
      </w:r>
      <w:proofErr w:type="spellStart"/>
      <w:r w:rsidRPr="0008668C">
        <w:rPr>
          <w:rFonts w:ascii="Times New Roman" w:hAnsi="Times New Roman" w:cs="Times New Roman"/>
          <w:sz w:val="24"/>
          <w:szCs w:val="24"/>
        </w:rPr>
        <w:t>C at</w:t>
      </w:r>
      <w:proofErr w:type="spellEnd"/>
      <w:r w:rsidRPr="0008668C">
        <w:rPr>
          <w:rFonts w:ascii="Times New Roman" w:hAnsi="Times New Roman" w:cs="Times New Roman"/>
          <w:sz w:val="24"/>
          <w:szCs w:val="24"/>
        </w:rPr>
        <w:t xml:space="preserve"> 5 °C/min. Data were obtained for a minimum of three specimens.</w:t>
      </w:r>
      <w:r w:rsidRPr="009F0827">
        <w:rPr>
          <w:rFonts w:ascii="Times New Roman" w:hAnsi="Times New Roman" w:cs="Times New Roman"/>
          <w:sz w:val="24"/>
          <w:szCs w:val="24"/>
        </w:rPr>
        <w:t xml:space="preserve"> </w:t>
      </w:r>
    </w:p>
    <w:p w14:paraId="0C5B7CE0" w14:textId="77777777" w:rsidR="007A0785" w:rsidRDefault="007A0785" w:rsidP="007A0785">
      <w:pPr>
        <w:spacing w:line="480" w:lineRule="auto"/>
        <w:jc w:val="both"/>
        <w:rPr>
          <w:rFonts w:ascii="Times New Roman" w:hAnsi="Times New Roman" w:cs="Times New Roman"/>
          <w:b/>
          <w:bCs/>
          <w:sz w:val="24"/>
          <w:szCs w:val="24"/>
        </w:rPr>
      </w:pPr>
      <w:r w:rsidRPr="00E9518A">
        <w:rPr>
          <w:rFonts w:ascii="Times New Roman" w:hAnsi="Times New Roman" w:cs="Times New Roman"/>
          <w:b/>
          <w:bCs/>
          <w:sz w:val="24"/>
          <w:szCs w:val="24"/>
        </w:rPr>
        <w:t>Method References</w:t>
      </w:r>
      <w:r>
        <w:rPr>
          <w:rFonts w:ascii="Times New Roman" w:hAnsi="Times New Roman" w:cs="Times New Roman"/>
          <w:b/>
          <w:bCs/>
          <w:sz w:val="24"/>
          <w:szCs w:val="24"/>
        </w:rPr>
        <w:t xml:space="preserve"> </w:t>
      </w:r>
    </w:p>
    <w:p w14:paraId="2CD258F2" w14:textId="77777777" w:rsidR="007A0785" w:rsidRDefault="007A0785" w:rsidP="007A0785">
      <w:pPr>
        <w:pStyle w:val="ListParagraph"/>
        <w:widowControl w:val="0"/>
        <w:numPr>
          <w:ilvl w:val="0"/>
          <w:numId w:val="1"/>
        </w:numPr>
        <w:autoSpaceDE w:val="0"/>
        <w:autoSpaceDN w:val="0"/>
        <w:adjustRightInd w:val="0"/>
        <w:spacing w:line="240" w:lineRule="auto"/>
        <w:rPr>
          <w:rFonts w:ascii="Times New Roman" w:hAnsi="Times New Roman" w:cs="Times New Roman"/>
          <w:noProof/>
          <w:sz w:val="24"/>
          <w:szCs w:val="24"/>
        </w:rPr>
      </w:pPr>
      <w:r w:rsidRPr="00B95D16">
        <w:rPr>
          <w:rFonts w:ascii="Times New Roman" w:hAnsi="Times New Roman" w:cs="Times New Roman"/>
          <w:noProof/>
          <w:sz w:val="24"/>
          <w:szCs w:val="24"/>
        </w:rPr>
        <w:t xml:space="preserve">Kessler, M. R.; White, S. R. Cure Kinetics of the Ring-Opening Metathesis Polymerization of Dicyclopentadiene. </w:t>
      </w:r>
      <w:r w:rsidRPr="00B95D16">
        <w:rPr>
          <w:rFonts w:ascii="Times New Roman" w:hAnsi="Times New Roman" w:cs="Times New Roman"/>
          <w:i/>
          <w:iCs/>
          <w:noProof/>
          <w:sz w:val="24"/>
          <w:szCs w:val="24"/>
        </w:rPr>
        <w:t>J. Polym. Sci. Part A Polym. Chem.</w:t>
      </w:r>
      <w:r w:rsidRPr="00B95D16">
        <w:rPr>
          <w:rFonts w:ascii="Times New Roman" w:hAnsi="Times New Roman" w:cs="Times New Roman"/>
          <w:noProof/>
          <w:sz w:val="24"/>
          <w:szCs w:val="24"/>
        </w:rPr>
        <w:t xml:space="preserve"> </w:t>
      </w:r>
      <w:r w:rsidRPr="00B95D16">
        <w:rPr>
          <w:rFonts w:ascii="Times New Roman" w:hAnsi="Times New Roman" w:cs="Times New Roman"/>
          <w:b/>
          <w:bCs/>
          <w:noProof/>
          <w:sz w:val="24"/>
          <w:szCs w:val="24"/>
        </w:rPr>
        <w:t>2002</w:t>
      </w:r>
      <w:r w:rsidRPr="00B95D16">
        <w:rPr>
          <w:rFonts w:ascii="Times New Roman" w:hAnsi="Times New Roman" w:cs="Times New Roman"/>
          <w:noProof/>
          <w:sz w:val="24"/>
          <w:szCs w:val="24"/>
        </w:rPr>
        <w:t>. https://doi.org/10.1002/pola.10317.</w:t>
      </w:r>
    </w:p>
    <w:p w14:paraId="1CAAFEE7" w14:textId="77777777" w:rsidR="007A0785" w:rsidRPr="00B95D16" w:rsidRDefault="007A0785" w:rsidP="007A0785">
      <w:pPr>
        <w:pStyle w:val="ListParagraph"/>
        <w:widowControl w:val="0"/>
        <w:autoSpaceDE w:val="0"/>
        <w:autoSpaceDN w:val="0"/>
        <w:adjustRightInd w:val="0"/>
        <w:spacing w:line="240" w:lineRule="auto"/>
        <w:rPr>
          <w:rFonts w:ascii="Times New Roman" w:hAnsi="Times New Roman" w:cs="Times New Roman"/>
          <w:noProof/>
          <w:sz w:val="24"/>
          <w:szCs w:val="24"/>
        </w:rPr>
      </w:pPr>
    </w:p>
    <w:p w14:paraId="6701A63A" w14:textId="77777777" w:rsidR="007A0785" w:rsidRDefault="007A0785" w:rsidP="007A0785">
      <w:pPr>
        <w:pStyle w:val="ListParagraph"/>
        <w:widowControl w:val="0"/>
        <w:numPr>
          <w:ilvl w:val="0"/>
          <w:numId w:val="1"/>
        </w:numPr>
        <w:autoSpaceDE w:val="0"/>
        <w:autoSpaceDN w:val="0"/>
        <w:adjustRightInd w:val="0"/>
        <w:spacing w:line="240" w:lineRule="auto"/>
        <w:rPr>
          <w:rFonts w:ascii="Times New Roman" w:hAnsi="Times New Roman" w:cs="Times New Roman"/>
          <w:noProof/>
          <w:sz w:val="24"/>
          <w:szCs w:val="24"/>
        </w:rPr>
      </w:pPr>
      <w:r w:rsidRPr="00B95D16">
        <w:rPr>
          <w:rFonts w:ascii="Times New Roman" w:hAnsi="Times New Roman" w:cs="Times New Roman"/>
          <w:noProof/>
          <w:sz w:val="24"/>
          <w:szCs w:val="24"/>
        </w:rPr>
        <w:t xml:space="preserve">Cornell, S. W.; Koenig, J. L. The Raman Spectra of Polybutadiene Rubbers. </w:t>
      </w:r>
      <w:r w:rsidRPr="00B95D16">
        <w:rPr>
          <w:rFonts w:ascii="Times New Roman" w:hAnsi="Times New Roman" w:cs="Times New Roman"/>
          <w:i/>
          <w:iCs/>
          <w:noProof/>
          <w:sz w:val="24"/>
          <w:szCs w:val="24"/>
        </w:rPr>
        <w:t>Macromolecules</w:t>
      </w:r>
      <w:r w:rsidRPr="00B95D16">
        <w:rPr>
          <w:rFonts w:ascii="Times New Roman" w:hAnsi="Times New Roman" w:cs="Times New Roman"/>
          <w:noProof/>
          <w:sz w:val="24"/>
          <w:szCs w:val="24"/>
        </w:rPr>
        <w:t xml:space="preserve"> </w:t>
      </w:r>
      <w:r w:rsidRPr="00B95D16">
        <w:rPr>
          <w:rFonts w:ascii="Times New Roman" w:hAnsi="Times New Roman" w:cs="Times New Roman"/>
          <w:b/>
          <w:bCs/>
          <w:noProof/>
          <w:sz w:val="24"/>
          <w:szCs w:val="24"/>
        </w:rPr>
        <w:t>1969</w:t>
      </w:r>
      <w:r w:rsidRPr="00B95D16">
        <w:rPr>
          <w:rFonts w:ascii="Times New Roman" w:hAnsi="Times New Roman" w:cs="Times New Roman"/>
          <w:noProof/>
          <w:sz w:val="24"/>
          <w:szCs w:val="24"/>
        </w:rPr>
        <w:t xml:space="preserve">, </w:t>
      </w:r>
      <w:r w:rsidRPr="00B95D16">
        <w:rPr>
          <w:rFonts w:ascii="Times New Roman" w:hAnsi="Times New Roman" w:cs="Times New Roman"/>
          <w:i/>
          <w:iCs/>
          <w:noProof/>
          <w:sz w:val="24"/>
          <w:szCs w:val="24"/>
        </w:rPr>
        <w:t>2</w:t>
      </w:r>
      <w:r w:rsidRPr="00B95D16">
        <w:rPr>
          <w:rFonts w:ascii="Times New Roman" w:hAnsi="Times New Roman" w:cs="Times New Roman"/>
          <w:noProof/>
          <w:sz w:val="24"/>
          <w:szCs w:val="24"/>
        </w:rPr>
        <w:t xml:space="preserve"> (5). https://doi.org/10.1021/ma60011a018.</w:t>
      </w:r>
    </w:p>
    <w:p w14:paraId="4552F5C2" w14:textId="77777777" w:rsidR="007A0785" w:rsidRPr="00C83F31" w:rsidRDefault="007A0785" w:rsidP="007A0785">
      <w:pPr>
        <w:pStyle w:val="ListParagraph"/>
        <w:widowControl w:val="0"/>
        <w:autoSpaceDE w:val="0"/>
        <w:autoSpaceDN w:val="0"/>
        <w:adjustRightInd w:val="0"/>
        <w:spacing w:line="240" w:lineRule="auto"/>
        <w:rPr>
          <w:rFonts w:ascii="Times New Roman" w:hAnsi="Times New Roman" w:cs="Times New Roman"/>
          <w:noProof/>
          <w:sz w:val="24"/>
          <w:szCs w:val="24"/>
        </w:rPr>
      </w:pPr>
    </w:p>
    <w:p w14:paraId="1AAAE287" w14:textId="77777777" w:rsidR="007A0785" w:rsidRPr="00C83F31" w:rsidRDefault="007A0785" w:rsidP="007A0785">
      <w:pPr>
        <w:pStyle w:val="ListParagraph"/>
        <w:widowControl w:val="0"/>
        <w:numPr>
          <w:ilvl w:val="0"/>
          <w:numId w:val="1"/>
        </w:numPr>
        <w:autoSpaceDE w:val="0"/>
        <w:autoSpaceDN w:val="0"/>
        <w:adjustRightInd w:val="0"/>
        <w:spacing w:line="240" w:lineRule="auto"/>
        <w:rPr>
          <w:rFonts w:ascii="Times New Roman" w:hAnsi="Times New Roman" w:cs="Times New Roman"/>
          <w:noProof/>
          <w:sz w:val="24"/>
          <w:szCs w:val="24"/>
        </w:rPr>
      </w:pPr>
      <w:r w:rsidRPr="00B95D16">
        <w:rPr>
          <w:rFonts w:ascii="Times New Roman" w:hAnsi="Times New Roman" w:cs="Times New Roman"/>
          <w:noProof/>
          <w:sz w:val="24"/>
          <w:szCs w:val="24"/>
        </w:rPr>
        <w:t xml:space="preserve">Hardis, R.; Jessop, J. L. P.; Peters, F. E.; Kessler, M. R. Cure Kinetics Characterization and Monitoring of an Epoxy Resin Using DSC, Raman Spectroscopy, and DEA. </w:t>
      </w:r>
      <w:r w:rsidRPr="00B95D16">
        <w:rPr>
          <w:rFonts w:ascii="Times New Roman" w:hAnsi="Times New Roman" w:cs="Times New Roman"/>
          <w:i/>
          <w:iCs/>
          <w:noProof/>
          <w:sz w:val="24"/>
          <w:szCs w:val="24"/>
        </w:rPr>
        <w:t>Compos. Part A Appl. Sci. Manuf.</w:t>
      </w:r>
      <w:r w:rsidRPr="00B95D16">
        <w:rPr>
          <w:rFonts w:ascii="Times New Roman" w:hAnsi="Times New Roman" w:cs="Times New Roman"/>
          <w:noProof/>
          <w:sz w:val="24"/>
          <w:szCs w:val="24"/>
        </w:rPr>
        <w:t xml:space="preserve"> </w:t>
      </w:r>
      <w:r w:rsidRPr="00B95D16">
        <w:rPr>
          <w:rFonts w:ascii="Times New Roman" w:hAnsi="Times New Roman" w:cs="Times New Roman"/>
          <w:b/>
          <w:bCs/>
          <w:noProof/>
          <w:sz w:val="24"/>
          <w:szCs w:val="24"/>
        </w:rPr>
        <w:t>2013</w:t>
      </w:r>
      <w:r w:rsidRPr="00B95D16">
        <w:rPr>
          <w:rFonts w:ascii="Times New Roman" w:hAnsi="Times New Roman" w:cs="Times New Roman"/>
          <w:noProof/>
          <w:sz w:val="24"/>
          <w:szCs w:val="24"/>
        </w:rPr>
        <w:t xml:space="preserve">, </w:t>
      </w:r>
      <w:r w:rsidRPr="00B95D16">
        <w:rPr>
          <w:rFonts w:ascii="Times New Roman" w:hAnsi="Times New Roman" w:cs="Times New Roman"/>
          <w:i/>
          <w:iCs/>
          <w:noProof/>
          <w:sz w:val="24"/>
          <w:szCs w:val="24"/>
        </w:rPr>
        <w:t>49</w:t>
      </w:r>
      <w:r w:rsidRPr="00B95D16">
        <w:rPr>
          <w:rFonts w:ascii="Times New Roman" w:hAnsi="Times New Roman" w:cs="Times New Roman"/>
          <w:noProof/>
          <w:sz w:val="24"/>
          <w:szCs w:val="24"/>
        </w:rPr>
        <w:t xml:space="preserve">. </w:t>
      </w:r>
      <w:hyperlink r:id="rId5" w:history="1">
        <w:r w:rsidRPr="00C83F31">
          <w:rPr>
            <w:rStyle w:val="Hyperlink"/>
            <w:rFonts w:ascii="Times New Roman" w:hAnsi="Times New Roman" w:cs="Times New Roman"/>
            <w:noProof/>
            <w:color w:val="auto"/>
            <w:sz w:val="24"/>
            <w:szCs w:val="24"/>
            <w:u w:val="none"/>
          </w:rPr>
          <w:t>https://doi.org/10.1016/j.compositesa.2013.01.021</w:t>
        </w:r>
      </w:hyperlink>
      <w:r w:rsidRPr="00C83F31">
        <w:rPr>
          <w:rFonts w:ascii="Times New Roman" w:hAnsi="Times New Roman" w:cs="Times New Roman"/>
          <w:noProof/>
          <w:sz w:val="24"/>
          <w:szCs w:val="24"/>
        </w:rPr>
        <w:t>.</w:t>
      </w:r>
    </w:p>
    <w:p w14:paraId="28C120B9" w14:textId="77777777" w:rsidR="007A0785" w:rsidRPr="00C83F31" w:rsidRDefault="007A0785" w:rsidP="007A0785">
      <w:pPr>
        <w:pStyle w:val="ListParagraph"/>
        <w:rPr>
          <w:rFonts w:ascii="Times New Roman" w:hAnsi="Times New Roman" w:cs="Times New Roman"/>
          <w:noProof/>
          <w:sz w:val="24"/>
          <w:szCs w:val="24"/>
        </w:rPr>
      </w:pPr>
    </w:p>
    <w:p w14:paraId="14111E38" w14:textId="77777777" w:rsidR="007A0785" w:rsidRPr="00C83F31" w:rsidRDefault="007A0785" w:rsidP="007A0785">
      <w:pPr>
        <w:pStyle w:val="ListParagraph"/>
        <w:widowControl w:val="0"/>
        <w:numPr>
          <w:ilvl w:val="0"/>
          <w:numId w:val="1"/>
        </w:numPr>
        <w:autoSpaceDE w:val="0"/>
        <w:autoSpaceDN w:val="0"/>
        <w:adjustRightInd w:val="0"/>
        <w:spacing w:line="240" w:lineRule="auto"/>
        <w:rPr>
          <w:rFonts w:ascii="Times New Roman" w:hAnsi="Times New Roman" w:cs="Times New Roman"/>
          <w:noProof/>
          <w:sz w:val="24"/>
          <w:szCs w:val="24"/>
        </w:rPr>
      </w:pPr>
      <w:r w:rsidRPr="00B95D16">
        <w:rPr>
          <w:rFonts w:ascii="Times New Roman" w:hAnsi="Times New Roman" w:cs="Times New Roman"/>
          <w:noProof/>
          <w:sz w:val="24"/>
          <w:szCs w:val="24"/>
        </w:rPr>
        <w:t xml:space="preserve">Lloyd, E. M.; Feinberg, E. C.; Gao, Y.; Peterson, S. R.; Soman, B.; Hemmer, J.; Dean, L. M.; Wu, Q.; Geubelle, P. H.; Sottos, N. R.; Moore, J. S. Spontaneous Patterning during Frontal Polymerization. </w:t>
      </w:r>
      <w:r w:rsidRPr="00B95D16">
        <w:rPr>
          <w:rFonts w:ascii="Times New Roman" w:hAnsi="Times New Roman" w:cs="Times New Roman"/>
          <w:i/>
          <w:iCs/>
          <w:noProof/>
          <w:sz w:val="24"/>
          <w:szCs w:val="24"/>
        </w:rPr>
        <w:t>ACS Cent. Sci.</w:t>
      </w:r>
      <w:r w:rsidRPr="00B95D16">
        <w:rPr>
          <w:rFonts w:ascii="Times New Roman" w:hAnsi="Times New Roman" w:cs="Times New Roman"/>
          <w:noProof/>
          <w:sz w:val="24"/>
          <w:szCs w:val="24"/>
        </w:rPr>
        <w:t xml:space="preserve"> </w:t>
      </w:r>
      <w:r w:rsidRPr="00B95D16">
        <w:rPr>
          <w:rFonts w:ascii="Times New Roman" w:hAnsi="Times New Roman" w:cs="Times New Roman"/>
          <w:b/>
          <w:bCs/>
          <w:noProof/>
          <w:sz w:val="24"/>
          <w:szCs w:val="24"/>
        </w:rPr>
        <w:t>2021</w:t>
      </w:r>
      <w:r w:rsidRPr="00B95D16">
        <w:rPr>
          <w:rFonts w:ascii="Times New Roman" w:hAnsi="Times New Roman" w:cs="Times New Roman"/>
          <w:noProof/>
          <w:sz w:val="24"/>
          <w:szCs w:val="24"/>
        </w:rPr>
        <w:t xml:space="preserve">, </w:t>
      </w:r>
      <w:r w:rsidRPr="00B95D16">
        <w:rPr>
          <w:rFonts w:ascii="Times New Roman" w:hAnsi="Times New Roman" w:cs="Times New Roman"/>
          <w:i/>
          <w:iCs/>
          <w:noProof/>
          <w:sz w:val="24"/>
          <w:szCs w:val="24"/>
        </w:rPr>
        <w:t>7</w:t>
      </w:r>
      <w:r w:rsidRPr="00B95D16">
        <w:rPr>
          <w:rFonts w:ascii="Times New Roman" w:hAnsi="Times New Roman" w:cs="Times New Roman"/>
          <w:noProof/>
          <w:sz w:val="24"/>
          <w:szCs w:val="24"/>
        </w:rPr>
        <w:t xml:space="preserve"> (4). https://doi.org/10.1021/acscentsci.1c00110.</w:t>
      </w:r>
    </w:p>
    <w:p w14:paraId="6FC108FB" w14:textId="77777777" w:rsidR="007A0785" w:rsidRPr="007A0785" w:rsidRDefault="007A0785" w:rsidP="007A0785">
      <w:pPr>
        <w:pStyle w:val="EndNoteBibliography"/>
        <w:numPr>
          <w:ilvl w:val="0"/>
          <w:numId w:val="1"/>
        </w:numPr>
        <w:rPr>
          <w:rFonts w:ascii="Times New Roman" w:hAnsi="Times New Roman" w:cs="Times New Roman"/>
          <w:sz w:val="24"/>
          <w:szCs w:val="24"/>
          <w:lang w:val="it-IT"/>
        </w:rPr>
      </w:pPr>
      <w:r w:rsidRPr="007A0785">
        <w:rPr>
          <w:rFonts w:ascii="Times New Roman" w:hAnsi="Times New Roman" w:cs="Times New Roman"/>
          <w:i/>
          <w:sz w:val="24"/>
          <w:szCs w:val="24"/>
          <w:lang w:val="it-IT"/>
        </w:rPr>
        <w:t>Silicone Rubber</w:t>
      </w:r>
      <w:r w:rsidRPr="007A0785">
        <w:rPr>
          <w:rFonts w:ascii="Times New Roman" w:hAnsi="Times New Roman" w:cs="Times New Roman"/>
          <w:sz w:val="24"/>
          <w:szCs w:val="24"/>
          <w:lang w:val="it-IT"/>
        </w:rPr>
        <w:t>, &lt;</w:t>
      </w:r>
      <w:hyperlink r:id="rId6" w:history="1">
        <w:r w:rsidRPr="007A0785">
          <w:rPr>
            <w:rStyle w:val="Hyperlink"/>
            <w:rFonts w:ascii="Times New Roman" w:hAnsi="Times New Roman" w:cs="Times New Roman"/>
            <w:color w:val="auto"/>
            <w:sz w:val="24"/>
            <w:szCs w:val="24"/>
            <w:u w:val="none"/>
            <w:lang w:val="it-IT"/>
          </w:rPr>
          <w:t>https://www.azom.com/properties.aspx?ArticleID=920</w:t>
        </w:r>
      </w:hyperlink>
      <w:r w:rsidRPr="007A0785">
        <w:rPr>
          <w:rFonts w:ascii="Times New Roman" w:hAnsi="Times New Roman" w:cs="Times New Roman"/>
          <w:sz w:val="24"/>
          <w:szCs w:val="24"/>
          <w:lang w:val="it-IT"/>
        </w:rPr>
        <w:t xml:space="preserve">&gt; </w:t>
      </w:r>
    </w:p>
    <w:p w14:paraId="5B827FB1" w14:textId="77777777" w:rsidR="007A0785" w:rsidRPr="007A0785" w:rsidRDefault="007A0785" w:rsidP="007A0785">
      <w:pPr>
        <w:pStyle w:val="EndNoteBibliography"/>
        <w:rPr>
          <w:rFonts w:ascii="Times New Roman" w:hAnsi="Times New Roman" w:cs="Times New Roman"/>
          <w:sz w:val="24"/>
          <w:szCs w:val="24"/>
          <w:lang w:val="it-IT"/>
        </w:rPr>
      </w:pPr>
    </w:p>
    <w:p w14:paraId="3869828B" w14:textId="77777777" w:rsidR="007A0785" w:rsidRPr="00C83F31" w:rsidRDefault="007A0785" w:rsidP="007A0785">
      <w:pPr>
        <w:pStyle w:val="EndNoteBibliography"/>
        <w:numPr>
          <w:ilvl w:val="0"/>
          <w:numId w:val="1"/>
        </w:numPr>
        <w:rPr>
          <w:rFonts w:ascii="Times New Roman" w:hAnsi="Times New Roman" w:cs="Times New Roman"/>
          <w:sz w:val="24"/>
          <w:szCs w:val="24"/>
        </w:rPr>
      </w:pPr>
      <w:r w:rsidRPr="00B95D16">
        <w:rPr>
          <w:rFonts w:ascii="Times New Roman" w:hAnsi="Times New Roman" w:cs="Times New Roman"/>
          <w:sz w:val="24"/>
          <w:szCs w:val="24"/>
        </w:rPr>
        <w:t xml:space="preserve">Gaston, D., Newman, C., Hansen, G. &amp; Lebrun-Grandie, D. MOOSE: A Parallel Computational Framework for Coupled Systems of Nonlinear Equations. </w:t>
      </w:r>
      <w:r w:rsidRPr="00B95D16">
        <w:rPr>
          <w:rFonts w:ascii="Times New Roman" w:hAnsi="Times New Roman" w:cs="Times New Roman"/>
          <w:i/>
          <w:sz w:val="24"/>
          <w:szCs w:val="24"/>
        </w:rPr>
        <w:t>Nucl. Eng. Des.</w:t>
      </w:r>
      <w:r w:rsidRPr="00B95D16">
        <w:rPr>
          <w:rFonts w:ascii="Times New Roman" w:hAnsi="Times New Roman" w:cs="Times New Roman"/>
          <w:sz w:val="24"/>
          <w:szCs w:val="24"/>
        </w:rPr>
        <w:t xml:space="preserve"> </w:t>
      </w:r>
      <w:r w:rsidRPr="00B95D16">
        <w:rPr>
          <w:rFonts w:ascii="Times New Roman" w:hAnsi="Times New Roman" w:cs="Times New Roman"/>
          <w:b/>
          <w:bCs/>
          <w:sz w:val="24"/>
          <w:szCs w:val="24"/>
        </w:rPr>
        <w:t xml:space="preserve">2009, </w:t>
      </w:r>
      <w:r w:rsidRPr="00B95D16">
        <w:rPr>
          <w:rFonts w:ascii="Times New Roman" w:hAnsi="Times New Roman" w:cs="Times New Roman"/>
          <w:bCs/>
          <w:i/>
          <w:iCs/>
          <w:sz w:val="24"/>
          <w:szCs w:val="24"/>
        </w:rPr>
        <w:t>239,</w:t>
      </w:r>
      <w:r w:rsidRPr="00B95D16">
        <w:rPr>
          <w:rFonts w:ascii="Times New Roman" w:hAnsi="Times New Roman" w:cs="Times New Roman"/>
          <w:sz w:val="24"/>
          <w:szCs w:val="24"/>
        </w:rPr>
        <w:t xml:space="preserve"> 1768-1778. </w:t>
      </w:r>
      <w:hyperlink r:id="rId7" w:history="1">
        <w:r w:rsidRPr="00C83F31">
          <w:rPr>
            <w:rStyle w:val="Hyperlink"/>
            <w:rFonts w:ascii="Times New Roman" w:hAnsi="Times New Roman" w:cs="Times New Roman"/>
            <w:color w:val="auto"/>
            <w:sz w:val="24"/>
            <w:szCs w:val="24"/>
            <w:u w:val="none"/>
          </w:rPr>
          <w:t>https://doi.org/10.1016/j.nucengdes.2009.05.021</w:t>
        </w:r>
      </w:hyperlink>
    </w:p>
    <w:p w14:paraId="42C1CEC9" w14:textId="77777777" w:rsidR="007A0785" w:rsidRDefault="007A0785" w:rsidP="007A0785">
      <w:pPr>
        <w:pStyle w:val="ListParagraph"/>
        <w:rPr>
          <w:rFonts w:ascii="Times New Roman" w:hAnsi="Times New Roman" w:cs="Times New Roman"/>
          <w:sz w:val="24"/>
          <w:szCs w:val="24"/>
        </w:rPr>
      </w:pPr>
    </w:p>
    <w:p w14:paraId="2026C904" w14:textId="77777777" w:rsidR="007A0785" w:rsidRPr="007A0785" w:rsidRDefault="007A0785" w:rsidP="007A0785">
      <w:pPr>
        <w:pStyle w:val="ListParagraph"/>
        <w:widowControl w:val="0"/>
        <w:numPr>
          <w:ilvl w:val="0"/>
          <w:numId w:val="1"/>
        </w:numPr>
        <w:autoSpaceDE w:val="0"/>
        <w:autoSpaceDN w:val="0"/>
        <w:adjustRightInd w:val="0"/>
        <w:spacing w:line="240" w:lineRule="auto"/>
        <w:rPr>
          <w:rFonts w:ascii="Times New Roman" w:hAnsi="Times New Roman" w:cs="Times New Roman"/>
          <w:noProof/>
          <w:sz w:val="24"/>
          <w:szCs w:val="24"/>
          <w:lang w:val="it-IT"/>
        </w:rPr>
      </w:pPr>
      <w:r w:rsidRPr="00B95D16">
        <w:rPr>
          <w:rFonts w:ascii="Times New Roman" w:hAnsi="Times New Roman" w:cs="Times New Roman"/>
          <w:noProof/>
          <w:sz w:val="24"/>
          <w:szCs w:val="24"/>
        </w:rPr>
        <w:t xml:space="preserve">Ilavsky, J. Nika: Software for Two-Dimensional Data Reduction. </w:t>
      </w:r>
      <w:r w:rsidRPr="007A0785">
        <w:rPr>
          <w:rFonts w:ascii="Times New Roman" w:hAnsi="Times New Roman" w:cs="Times New Roman"/>
          <w:i/>
          <w:iCs/>
          <w:noProof/>
          <w:sz w:val="24"/>
          <w:szCs w:val="24"/>
          <w:lang w:val="it-IT"/>
        </w:rPr>
        <w:t>J. Appl. Crystallogr.</w:t>
      </w:r>
      <w:r w:rsidRPr="007A0785">
        <w:rPr>
          <w:rFonts w:ascii="Times New Roman" w:hAnsi="Times New Roman" w:cs="Times New Roman"/>
          <w:noProof/>
          <w:sz w:val="24"/>
          <w:szCs w:val="24"/>
          <w:lang w:val="it-IT"/>
        </w:rPr>
        <w:t xml:space="preserve"> </w:t>
      </w:r>
      <w:r w:rsidRPr="007A0785">
        <w:rPr>
          <w:rFonts w:ascii="Times New Roman" w:hAnsi="Times New Roman" w:cs="Times New Roman"/>
          <w:b/>
          <w:bCs/>
          <w:noProof/>
          <w:sz w:val="24"/>
          <w:szCs w:val="24"/>
          <w:lang w:val="it-IT"/>
        </w:rPr>
        <w:t>2012</w:t>
      </w:r>
      <w:r w:rsidRPr="007A0785">
        <w:rPr>
          <w:rFonts w:ascii="Times New Roman" w:hAnsi="Times New Roman" w:cs="Times New Roman"/>
          <w:noProof/>
          <w:sz w:val="24"/>
          <w:szCs w:val="24"/>
          <w:lang w:val="it-IT"/>
        </w:rPr>
        <w:t xml:space="preserve">, </w:t>
      </w:r>
      <w:r w:rsidRPr="007A0785">
        <w:rPr>
          <w:rFonts w:ascii="Times New Roman" w:hAnsi="Times New Roman" w:cs="Times New Roman"/>
          <w:i/>
          <w:iCs/>
          <w:noProof/>
          <w:sz w:val="24"/>
          <w:szCs w:val="24"/>
          <w:lang w:val="it-IT"/>
        </w:rPr>
        <w:t>45</w:t>
      </w:r>
      <w:r w:rsidRPr="007A0785">
        <w:rPr>
          <w:rFonts w:ascii="Times New Roman" w:hAnsi="Times New Roman" w:cs="Times New Roman"/>
          <w:noProof/>
          <w:sz w:val="24"/>
          <w:szCs w:val="24"/>
          <w:lang w:val="it-IT"/>
        </w:rPr>
        <w:t xml:space="preserve"> (2). https://doi.org/10.1107/S0021889812004037.</w:t>
      </w:r>
    </w:p>
    <w:p w14:paraId="36DE432B" w14:textId="77777777" w:rsidR="00BF22EE" w:rsidRPr="007A0785" w:rsidRDefault="00BF22EE">
      <w:pPr>
        <w:rPr>
          <w:lang w:val="it-IT"/>
        </w:rPr>
      </w:pPr>
      <w:bookmarkStart w:id="7" w:name="_GoBack"/>
      <w:bookmarkEnd w:id="7"/>
    </w:p>
    <w:sectPr w:rsidR="00BF22EE" w:rsidRPr="007A0785" w:rsidSect="00904E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6E669B"/>
    <w:multiLevelType w:val="hybridMultilevel"/>
    <w:tmpl w:val="1802837E"/>
    <w:lvl w:ilvl="0" w:tplc="3A24CD18">
      <w:start w:val="1"/>
      <w:numFmt w:val="decimal"/>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785"/>
    <w:rsid w:val="007A0785"/>
    <w:rsid w:val="00904EEA"/>
    <w:rsid w:val="00BF2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26B25"/>
  <w15:chartTrackingRefBased/>
  <w15:docId w15:val="{5AA3648F-05C3-FF46-951C-247F25BFF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0785"/>
    <w:pPr>
      <w:spacing w:after="160" w:line="259" w:lineRule="auto"/>
    </w:pPr>
    <w:rPr>
      <w:rFonts w:eastAsia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0785"/>
    <w:rPr>
      <w:color w:val="0563C1" w:themeColor="hyperlink"/>
      <w:u w:val="single"/>
    </w:rPr>
  </w:style>
  <w:style w:type="paragraph" w:styleId="ListParagraph">
    <w:name w:val="List Paragraph"/>
    <w:basedOn w:val="Normal"/>
    <w:uiPriority w:val="34"/>
    <w:qFormat/>
    <w:rsid w:val="007A0785"/>
    <w:pPr>
      <w:ind w:left="720"/>
      <w:contextualSpacing/>
    </w:pPr>
  </w:style>
  <w:style w:type="paragraph" w:customStyle="1" w:styleId="EndNoteBibliography">
    <w:name w:val="EndNote Bibliography"/>
    <w:basedOn w:val="Normal"/>
    <w:link w:val="EndNoteBibliography0"/>
    <w:rsid w:val="007A0785"/>
    <w:pPr>
      <w:widowControl w:val="0"/>
      <w:spacing w:after="0" w:line="240" w:lineRule="auto"/>
      <w:jc w:val="both"/>
    </w:pPr>
    <w:rPr>
      <w:rFonts w:ascii="DengXian" w:eastAsia="DengXian" w:hAnsi="DengXian"/>
      <w:noProof/>
      <w:kern w:val="2"/>
      <w:sz w:val="20"/>
      <w:lang w:eastAsia="zh-CN"/>
      <w14:ligatures w14:val="standardContextual"/>
    </w:rPr>
  </w:style>
  <w:style w:type="character" w:customStyle="1" w:styleId="EndNoteBibliography0">
    <w:name w:val="EndNote Bibliography 字符"/>
    <w:basedOn w:val="DefaultParagraphFont"/>
    <w:link w:val="EndNoteBibliography"/>
    <w:rsid w:val="007A0785"/>
    <w:rPr>
      <w:rFonts w:ascii="DengXian" w:eastAsia="DengXian" w:hAnsi="DengXian"/>
      <w:noProof/>
      <w:kern w:val="2"/>
      <w:sz w:val="20"/>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16/j.nucengdes.2009.05.0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zom.com/properties.aspx?ArticleID=920" TargetMode="External"/><Relationship Id="rId5" Type="http://schemas.openxmlformats.org/officeDocument/2006/relationships/hyperlink" Target="https://doi.org/10.1016/j.compositesa.2013.01.02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2802</Words>
  <Characters>15977</Characters>
  <Application>Microsoft Office Word</Application>
  <DocSecurity>0</DocSecurity>
  <Lines>133</Lines>
  <Paragraphs>37</Paragraphs>
  <ScaleCrop>false</ScaleCrop>
  <Company/>
  <LinksUpToDate>false</LinksUpToDate>
  <CharactersWithSpaces>18742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2024-01-26T19:04:00Z</dcterms:created>
  <dcterms:modified xsi:type="dcterms:W3CDTF">2024-01-26T19:05:00Z</dcterms:modified>
</cp:coreProperties>
</file>