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3A0" w:rsidRPr="002C17B8" w:rsidRDefault="000823A0" w:rsidP="000823A0">
      <w:pPr>
        <w:autoSpaceDE w:val="0"/>
        <w:autoSpaceDN w:val="0"/>
        <w:snapToGrid w:val="0"/>
        <w:spacing w:line="600" w:lineRule="exact"/>
        <w:rPr>
          <w:rFonts w:ascii="Times New Roman" w:hAnsi="Times New Roman"/>
          <w:b/>
          <w:sz w:val="22"/>
          <w:szCs w:val="22"/>
        </w:rPr>
      </w:pPr>
      <w:r w:rsidRPr="002C17B8">
        <w:rPr>
          <w:rFonts w:ascii="Times New Roman" w:hAnsi="Times New Roman" w:hint="eastAsia"/>
          <w:b/>
          <w:sz w:val="22"/>
          <w:szCs w:val="22"/>
        </w:rPr>
        <w:t>Supplementar</w:t>
      </w:r>
      <w:r w:rsidRPr="002C17B8">
        <w:rPr>
          <w:rFonts w:ascii="Times New Roman" w:hAnsi="Times New Roman"/>
          <w:b/>
          <w:sz w:val="22"/>
          <w:szCs w:val="22"/>
        </w:rPr>
        <w:t>y information</w:t>
      </w:r>
    </w:p>
    <w:p w:rsidR="002C17B8" w:rsidRDefault="002C17B8" w:rsidP="000823A0">
      <w:pPr>
        <w:autoSpaceDE w:val="0"/>
        <w:autoSpaceDN w:val="0"/>
        <w:snapToGrid w:val="0"/>
        <w:spacing w:line="600" w:lineRule="exact"/>
        <w:rPr>
          <w:rFonts w:ascii="Times New Roman" w:hAnsi="Times New Roman"/>
          <w:b/>
          <w:i/>
          <w:sz w:val="22"/>
          <w:szCs w:val="22"/>
        </w:rPr>
      </w:pPr>
    </w:p>
    <w:p w:rsidR="000823A0" w:rsidRPr="007406FE" w:rsidRDefault="000823A0" w:rsidP="000823A0">
      <w:pPr>
        <w:autoSpaceDE w:val="0"/>
        <w:autoSpaceDN w:val="0"/>
        <w:snapToGrid w:val="0"/>
        <w:spacing w:line="600" w:lineRule="exact"/>
        <w:rPr>
          <w:rFonts w:ascii="Times New Roman" w:hAnsi="Times New Roman"/>
          <w:b/>
          <w:i/>
          <w:sz w:val="22"/>
          <w:szCs w:val="22"/>
        </w:rPr>
      </w:pPr>
      <w:r w:rsidRPr="007406FE">
        <w:rPr>
          <w:rFonts w:ascii="Times New Roman" w:hAnsi="Times New Roman"/>
          <w:b/>
          <w:i/>
          <w:sz w:val="22"/>
          <w:szCs w:val="22"/>
        </w:rPr>
        <w:t>Mineralogical properties of soils</w:t>
      </w:r>
    </w:p>
    <w:p w:rsidR="000823A0" w:rsidRPr="005A0DD3" w:rsidRDefault="000823A0" w:rsidP="000823A0">
      <w:pPr>
        <w:autoSpaceDE w:val="0"/>
        <w:autoSpaceDN w:val="0"/>
        <w:snapToGrid w:val="0"/>
        <w:spacing w:line="600" w:lineRule="exact"/>
        <w:rPr>
          <w:rFonts w:ascii="Times New Roman" w:hAnsi="Times New Roman"/>
          <w:sz w:val="22"/>
          <w:szCs w:val="22"/>
        </w:rPr>
      </w:pPr>
      <w:bookmarkStart w:id="0" w:name="_GoBack"/>
      <w:bookmarkEnd w:id="0"/>
      <w:r w:rsidRPr="005A0DD3">
        <w:rPr>
          <w:rFonts w:ascii="Times New Roman" w:hAnsi="Times New Roman"/>
          <w:sz w:val="22"/>
          <w:szCs w:val="22"/>
        </w:rPr>
        <w:t xml:space="preserve">The mineral composition of clay fractions (&lt; 2 </w:t>
      </w:r>
      <w:r w:rsidRPr="005A0DD3">
        <w:rPr>
          <w:rFonts w:ascii="Symbol" w:hAnsi="Symbol"/>
          <w:sz w:val="22"/>
          <w:szCs w:val="22"/>
        </w:rPr>
        <w:t></w:t>
      </w:r>
      <w:r w:rsidRPr="005A0DD3">
        <w:rPr>
          <w:rFonts w:ascii="Times New Roman" w:hAnsi="Times New Roman"/>
          <w:sz w:val="22"/>
          <w:szCs w:val="22"/>
        </w:rPr>
        <w:t>m) was examined using the X-ray diffraction (XRD) method on oriented clay specimens subjected to Mg saturation, K saturation, and glycerol solvation. Heat treatments (3</w:t>
      </w:r>
      <w:r w:rsidRPr="005A0DD3">
        <w:rPr>
          <w:rFonts w:ascii="Times New Roman" w:hAnsi="Times New Roman" w:hint="eastAsia"/>
          <w:sz w:val="22"/>
          <w:szCs w:val="22"/>
        </w:rPr>
        <w:t>5</w:t>
      </w:r>
      <w:r w:rsidRPr="005A0DD3">
        <w:rPr>
          <w:rFonts w:ascii="Times New Roman" w:hAnsi="Times New Roman"/>
          <w:sz w:val="22"/>
          <w:szCs w:val="22"/>
        </w:rPr>
        <w:t xml:space="preserve">0°C, 550°C) were also applied to K-saturated specimens. XRD patterns were obtained using an X-ray diffractometer (RINT 2000; Rigaku, Tokyo, Japan) with </w:t>
      </w:r>
      <w:proofErr w:type="spellStart"/>
      <w:r w:rsidRPr="005A0DD3">
        <w:rPr>
          <w:rFonts w:ascii="Times New Roman" w:hAnsi="Times New Roman"/>
          <w:sz w:val="22"/>
          <w:szCs w:val="22"/>
        </w:rPr>
        <w:t>CuK</w:t>
      </w:r>
      <w:proofErr w:type="spellEnd"/>
      <w:r w:rsidRPr="005A0DD3">
        <w:rPr>
          <w:rFonts w:ascii="Symbol" w:hAnsi="Symbol"/>
          <w:sz w:val="22"/>
          <w:szCs w:val="22"/>
        </w:rPr>
        <w:t></w:t>
      </w:r>
      <w:r w:rsidRPr="005A0DD3">
        <w:rPr>
          <w:rFonts w:ascii="Times New Roman" w:hAnsi="Times New Roman"/>
          <w:sz w:val="22"/>
          <w:szCs w:val="22"/>
        </w:rPr>
        <w:t xml:space="preserve"> radiation. Relative contents of mica (Mc), vermiculite (Vt), and quartz (</w:t>
      </w:r>
      <w:proofErr w:type="spellStart"/>
      <w:r w:rsidRPr="005A0DD3">
        <w:rPr>
          <w:rFonts w:ascii="Times New Roman" w:hAnsi="Times New Roman"/>
          <w:sz w:val="22"/>
          <w:szCs w:val="22"/>
        </w:rPr>
        <w:t>Qz</w:t>
      </w:r>
      <w:proofErr w:type="spellEnd"/>
      <w:r w:rsidRPr="005A0DD3">
        <w:rPr>
          <w:rFonts w:ascii="Times New Roman" w:hAnsi="Times New Roman"/>
          <w:sz w:val="22"/>
          <w:szCs w:val="22"/>
        </w:rPr>
        <w:t>) were estimated using the following equations (Matsue and Wada</w:t>
      </w:r>
      <w:r w:rsidR="002C17B8" w:rsidRPr="005A0DD3">
        <w:rPr>
          <w:rFonts w:ascii="Times New Roman" w:hAnsi="Times New Roman"/>
          <w:sz w:val="22"/>
          <w:szCs w:val="22"/>
        </w:rPr>
        <w:t>,</w:t>
      </w:r>
      <w:r w:rsidRPr="005A0DD3">
        <w:rPr>
          <w:rFonts w:ascii="Times New Roman" w:hAnsi="Times New Roman"/>
          <w:sz w:val="22"/>
          <w:szCs w:val="22"/>
        </w:rPr>
        <w:t xml:space="preserve"> 1988, 1989):</w:t>
      </w:r>
    </w:p>
    <w:p w:rsidR="000823A0" w:rsidRPr="005A0DD3" w:rsidRDefault="000823A0" w:rsidP="000823A0">
      <w:pPr>
        <w:tabs>
          <w:tab w:val="left" w:pos="7526"/>
        </w:tabs>
        <w:autoSpaceDE w:val="0"/>
        <w:autoSpaceDN w:val="0"/>
        <w:snapToGrid w:val="0"/>
        <w:spacing w:line="600" w:lineRule="exact"/>
        <w:ind w:firstLineChars="386" w:firstLine="849"/>
        <w:rPr>
          <w:rFonts w:ascii="Times New Roman" w:hAnsi="Times New Roman"/>
          <w:sz w:val="22"/>
        </w:rPr>
      </w:pPr>
      <w:r w:rsidRPr="005A0DD3">
        <w:rPr>
          <w:rFonts w:ascii="Times New Roman" w:hAnsi="Times New Roman"/>
          <w:sz w:val="22"/>
        </w:rPr>
        <w:t xml:space="preserve">Mc: </w:t>
      </w:r>
      <m:oMath>
        <m:sSub>
          <m:sSubPr>
            <m:ctrlPr>
              <w:rPr>
                <w:rFonts w:ascii="Cambria Math" w:hAnsi="Cambria Math"/>
              </w:rPr>
            </m:ctrlPr>
          </m:sSubPr>
          <m:e>
            <m:d>
              <m:dPr>
                <m:begChr m:val="{"/>
                <m:endChr m:val="}"/>
                <m:ctrlPr>
                  <w:rPr>
                    <w:rFonts w:ascii="Cambria Math" w:hAnsi="Cambria Math"/>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1.0</m:t>
                        </m:r>
                      </m:sub>
                    </m:sSub>
                  </m:num>
                  <m:den>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1.0</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1.4</m:t>
                            </m:r>
                          </m:sub>
                        </m:sSub>
                      </m:e>
                    </m:d>
                  </m:den>
                </m:f>
              </m:e>
            </m:d>
          </m:e>
          <m:sub>
            <m:r>
              <w:rPr>
                <w:rFonts w:ascii="Cambria Math" w:hAnsi="Cambria Math"/>
              </w:rPr>
              <m:t>Mg</m:t>
            </m:r>
          </m:sub>
        </m:sSub>
      </m:oMath>
      <w:r w:rsidRPr="005A0DD3">
        <w:rPr>
          <w:rFonts w:ascii="Times New Roman" w:hAnsi="Times New Roman"/>
          <w:sz w:val="22"/>
        </w:rPr>
        <w:t xml:space="preserve"> , </w:t>
      </w:r>
      <w:r w:rsidRPr="005A0DD3">
        <w:rPr>
          <w:rFonts w:ascii="Times New Roman" w:hAnsi="Times New Roman"/>
          <w:sz w:val="22"/>
        </w:rPr>
        <w:tab/>
        <w:t xml:space="preserve">(Eq. </w:t>
      </w:r>
      <w:r w:rsidRPr="005A0DD3">
        <w:rPr>
          <w:rFonts w:ascii="Times New Roman" w:hAnsi="Times New Roman" w:hint="eastAsia"/>
          <w:sz w:val="22"/>
        </w:rPr>
        <w:t>1</w:t>
      </w:r>
      <w:r w:rsidRPr="005A0DD3">
        <w:rPr>
          <w:rFonts w:ascii="Times New Roman" w:hAnsi="Times New Roman"/>
          <w:sz w:val="22"/>
        </w:rPr>
        <w:t>)</w:t>
      </w:r>
    </w:p>
    <w:p w:rsidR="000823A0" w:rsidRPr="005A0DD3" w:rsidRDefault="000823A0" w:rsidP="000823A0">
      <w:pPr>
        <w:tabs>
          <w:tab w:val="left" w:pos="7526"/>
        </w:tabs>
        <w:autoSpaceDE w:val="0"/>
        <w:autoSpaceDN w:val="0"/>
        <w:snapToGrid w:val="0"/>
        <w:spacing w:line="600" w:lineRule="exact"/>
        <w:ind w:firstLineChars="386" w:firstLine="849"/>
        <w:rPr>
          <w:rFonts w:ascii="Times New Roman" w:hAnsi="Times New Roman"/>
          <w:sz w:val="22"/>
        </w:rPr>
      </w:pPr>
      <w:r w:rsidRPr="005A0DD3">
        <w:rPr>
          <w:rFonts w:ascii="Times New Roman" w:hAnsi="Times New Roman"/>
          <w:sz w:val="22"/>
        </w:rPr>
        <w:t xml:space="preserve">Vt: </w:t>
      </w:r>
      <m:oMath>
        <m:sSub>
          <m:sSubPr>
            <m:ctrlPr>
              <w:rPr>
                <w:rFonts w:ascii="Cambria Math" w:hAnsi="Cambria Math"/>
              </w:rPr>
            </m:ctrlPr>
          </m:sSubPr>
          <m:e>
            <m:d>
              <m:dPr>
                <m:begChr m:val="{"/>
                <m:endChr m:val="}"/>
                <m:ctrlPr>
                  <w:rPr>
                    <w:rFonts w:ascii="Cambria Math" w:hAnsi="Cambria Math"/>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1.4</m:t>
                        </m:r>
                      </m:sub>
                    </m:sSub>
                  </m:num>
                  <m:den>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1.0</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1.4</m:t>
                            </m:r>
                          </m:sub>
                        </m:sSub>
                      </m:e>
                    </m:d>
                  </m:den>
                </m:f>
              </m:e>
            </m:d>
          </m:e>
          <m:sub>
            <m:r>
              <w:rPr>
                <w:rFonts w:ascii="Cambria Math" w:hAnsi="Cambria Math"/>
              </w:rPr>
              <m:t>Mg</m:t>
            </m:r>
          </m:sub>
        </m:sSub>
        <m:r>
          <w:rPr>
            <w:rFonts w:ascii="Cambria Math" w:hAnsi="Cambria Math"/>
          </w:rPr>
          <m:t>-</m:t>
        </m:r>
        <m:sSub>
          <m:sSubPr>
            <m:ctrlPr>
              <w:rPr>
                <w:rFonts w:ascii="Cambria Math" w:hAnsi="Cambria Math"/>
              </w:rPr>
            </m:ctrlPr>
          </m:sSubPr>
          <m:e>
            <m:d>
              <m:dPr>
                <m:begChr m:val="{"/>
                <m:endChr m:val="}"/>
                <m:ctrlPr>
                  <w:rPr>
                    <w:rFonts w:ascii="Cambria Math" w:hAnsi="Cambria Math"/>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1.4</m:t>
                        </m:r>
                      </m:sub>
                    </m:sSub>
                  </m:num>
                  <m:den>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1.0</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1.4</m:t>
                            </m:r>
                          </m:sub>
                        </m:sSub>
                      </m:e>
                    </m:d>
                  </m:den>
                </m:f>
              </m:e>
            </m:d>
          </m:e>
          <m:sub>
            <m:r>
              <w:rPr>
                <w:rFonts w:ascii="Cambria Math" w:hAnsi="Cambria Math"/>
              </w:rPr>
              <m:t>K</m:t>
            </m:r>
          </m:sub>
        </m:sSub>
      </m:oMath>
      <w:r w:rsidRPr="005A0DD3">
        <w:rPr>
          <w:rFonts w:ascii="Times New Roman" w:hAnsi="Times New Roman"/>
          <w:sz w:val="22"/>
        </w:rPr>
        <w:t xml:space="preserve"> , </w:t>
      </w:r>
      <w:r w:rsidRPr="005A0DD3">
        <w:rPr>
          <w:rFonts w:ascii="Times New Roman" w:hAnsi="Times New Roman"/>
          <w:sz w:val="22"/>
        </w:rPr>
        <w:tab/>
        <w:t xml:space="preserve">(Eq. </w:t>
      </w:r>
      <w:r w:rsidRPr="005A0DD3">
        <w:rPr>
          <w:rFonts w:ascii="Times New Roman" w:hAnsi="Times New Roman" w:hint="eastAsia"/>
          <w:sz w:val="22"/>
        </w:rPr>
        <w:t>2</w:t>
      </w:r>
      <w:r w:rsidRPr="005A0DD3">
        <w:rPr>
          <w:rFonts w:ascii="Times New Roman" w:hAnsi="Times New Roman"/>
          <w:sz w:val="22"/>
        </w:rPr>
        <w:t>)</w:t>
      </w:r>
    </w:p>
    <w:p w:rsidR="000823A0" w:rsidRPr="005A0DD3" w:rsidRDefault="000823A0" w:rsidP="000823A0">
      <w:pPr>
        <w:tabs>
          <w:tab w:val="left" w:pos="7526"/>
        </w:tabs>
        <w:autoSpaceDE w:val="0"/>
        <w:autoSpaceDN w:val="0"/>
        <w:snapToGrid w:val="0"/>
        <w:spacing w:line="600" w:lineRule="exact"/>
        <w:ind w:firstLineChars="386" w:firstLine="849"/>
        <w:rPr>
          <w:rFonts w:ascii="Times New Roman" w:hAnsi="Times New Roman"/>
          <w:sz w:val="22"/>
        </w:rPr>
      </w:pPr>
      <w:proofErr w:type="spellStart"/>
      <w:r w:rsidRPr="005A0DD3">
        <w:rPr>
          <w:rFonts w:ascii="Times New Roman" w:hAnsi="Times New Roman"/>
          <w:sz w:val="22"/>
        </w:rPr>
        <w:t>Qz</w:t>
      </w:r>
      <w:proofErr w:type="spellEnd"/>
      <w:r w:rsidRPr="005A0DD3">
        <w:rPr>
          <w:rFonts w:ascii="Times New Roman" w:hAnsi="Times New Roman"/>
          <w:sz w:val="22"/>
        </w:rPr>
        <w:t xml:space="preserve">: </w:t>
      </w:r>
      <m:oMath>
        <m:sSub>
          <m:sSubPr>
            <m:ctrlPr>
              <w:rPr>
                <w:rFonts w:ascii="Cambria Math" w:hAnsi="Cambria Math"/>
              </w:rPr>
            </m:ctrlPr>
          </m:sSubPr>
          <m:e>
            <m:d>
              <m:dPr>
                <m:begChr m:val="{"/>
                <m:endChr m:val="}"/>
                <m:ctrlPr>
                  <w:rPr>
                    <w:rFonts w:ascii="Cambria Math" w:hAnsi="Cambria Math"/>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0.423</m:t>
                        </m:r>
                      </m:sub>
                    </m:sSub>
                  </m:num>
                  <m:den>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1.0</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1.4</m:t>
                            </m:r>
                          </m:sub>
                        </m:sSub>
                      </m:e>
                    </m:d>
                  </m:den>
                </m:f>
              </m:e>
            </m:d>
          </m:e>
          <m:sub>
            <m:r>
              <w:rPr>
                <w:rFonts w:ascii="Cambria Math" w:hAnsi="Cambria Math"/>
              </w:rPr>
              <m:t>Mg</m:t>
            </m:r>
          </m:sub>
        </m:sSub>
      </m:oMath>
      <w:r w:rsidRPr="005A0DD3">
        <w:rPr>
          <w:rFonts w:ascii="Times New Roman" w:hAnsi="Times New Roman"/>
          <w:sz w:val="22"/>
        </w:rPr>
        <w:t xml:space="preserve"> , </w:t>
      </w:r>
      <w:r w:rsidRPr="005A0DD3">
        <w:rPr>
          <w:rFonts w:ascii="Times New Roman" w:hAnsi="Times New Roman"/>
          <w:sz w:val="22"/>
        </w:rPr>
        <w:tab/>
        <w:t xml:space="preserve">(Eq. </w:t>
      </w:r>
      <w:r w:rsidRPr="005A0DD3">
        <w:rPr>
          <w:rFonts w:ascii="Times New Roman" w:hAnsi="Times New Roman" w:hint="eastAsia"/>
          <w:sz w:val="22"/>
        </w:rPr>
        <w:t>3</w:t>
      </w:r>
      <w:r w:rsidRPr="005A0DD3">
        <w:rPr>
          <w:rFonts w:ascii="Times New Roman" w:hAnsi="Times New Roman"/>
          <w:sz w:val="22"/>
        </w:rPr>
        <w:t>)</w:t>
      </w:r>
    </w:p>
    <w:p w:rsidR="000823A0" w:rsidRPr="005A0DD3" w:rsidRDefault="000823A0" w:rsidP="000823A0">
      <w:pPr>
        <w:autoSpaceDE w:val="0"/>
        <w:autoSpaceDN w:val="0"/>
        <w:snapToGrid w:val="0"/>
        <w:spacing w:line="600" w:lineRule="exact"/>
        <w:rPr>
          <w:rFonts w:ascii="Times New Roman" w:hAnsi="Times New Roman"/>
          <w:sz w:val="22"/>
          <w:szCs w:val="22"/>
        </w:rPr>
      </w:pPr>
      <w:r w:rsidRPr="005A0DD3">
        <w:rPr>
          <w:rFonts w:ascii="Times New Roman" w:hAnsi="Times New Roman"/>
          <w:sz w:val="22"/>
          <w:szCs w:val="22"/>
        </w:rPr>
        <w:t xml:space="preserve">where </w:t>
      </w:r>
      <w:r w:rsidRPr="005A0DD3">
        <w:rPr>
          <w:rFonts w:ascii="Times New Roman" w:hAnsi="Times New Roman"/>
          <w:i/>
          <w:sz w:val="22"/>
          <w:szCs w:val="22"/>
        </w:rPr>
        <w:t>I</w:t>
      </w:r>
      <w:r w:rsidRPr="005A0DD3">
        <w:rPr>
          <w:rFonts w:ascii="Times New Roman" w:hAnsi="Times New Roman"/>
          <w:sz w:val="22"/>
          <w:szCs w:val="22"/>
          <w:vertAlign w:val="subscript"/>
        </w:rPr>
        <w:t>1.0</w:t>
      </w:r>
      <w:r w:rsidRPr="005A0DD3">
        <w:rPr>
          <w:rFonts w:ascii="Times New Roman" w:hAnsi="Times New Roman"/>
          <w:i/>
          <w:sz w:val="22"/>
          <w:szCs w:val="22"/>
        </w:rPr>
        <w:t xml:space="preserve"> </w:t>
      </w:r>
      <w:r w:rsidRPr="005A0DD3">
        <w:rPr>
          <w:rFonts w:ascii="Times New Roman" w:hAnsi="Times New Roman"/>
          <w:sz w:val="22"/>
          <w:szCs w:val="22"/>
        </w:rPr>
        <w:t xml:space="preserve">and </w:t>
      </w:r>
      <w:r w:rsidRPr="005A0DD3">
        <w:rPr>
          <w:rFonts w:ascii="Times New Roman" w:hAnsi="Times New Roman"/>
          <w:i/>
          <w:sz w:val="22"/>
          <w:szCs w:val="22"/>
        </w:rPr>
        <w:t>I</w:t>
      </w:r>
      <w:r w:rsidRPr="005A0DD3">
        <w:rPr>
          <w:rFonts w:ascii="Times New Roman" w:hAnsi="Times New Roman"/>
          <w:sz w:val="22"/>
          <w:szCs w:val="22"/>
          <w:vertAlign w:val="subscript"/>
        </w:rPr>
        <w:t>1.4</w:t>
      </w:r>
      <w:r w:rsidRPr="005A0DD3">
        <w:rPr>
          <w:rFonts w:ascii="Times New Roman" w:hAnsi="Times New Roman"/>
          <w:sz w:val="22"/>
          <w:szCs w:val="22"/>
        </w:rPr>
        <w:t xml:space="preserve"> are the XRD intensities (peak heights) of K- and Mg-saturated, air-dried clay samples at 1.0 and 1.4 nm, respectively. The other 1.4 nm clay mineral, </w:t>
      </w:r>
      <w:r w:rsidRPr="005A0DD3">
        <w:rPr>
          <w:rFonts w:ascii="Times New Roman" w:hAnsi="Times New Roman"/>
          <w:bCs/>
          <w:sz w:val="22"/>
          <w:szCs w:val="22"/>
        </w:rPr>
        <w:t>hydroxy-interlayered vermiculite (</w:t>
      </w:r>
      <w:r w:rsidRPr="005A0DD3">
        <w:rPr>
          <w:rFonts w:ascii="Times New Roman" w:hAnsi="Times New Roman"/>
          <w:sz w:val="22"/>
          <w:szCs w:val="22"/>
        </w:rPr>
        <w:t>HIV), was estimated from the 1.4 nm peak height of K-saturated clay samples when chlorite was negligible (Matsue and Wada, 1989). Because small amounts of chlorite (Ch) were detected in our study, relative contents of HIV and chlorite were estimated from the 1.4 nm peak height of K-saturated clay samples. The intensity ratio of HIV and chlorite to 1.4 nm clay minerals were calculated as follows (Matsue and Wada, 1988):</w:t>
      </w:r>
    </w:p>
    <w:p w:rsidR="000823A0" w:rsidRPr="005A0DD3" w:rsidRDefault="000823A0" w:rsidP="000823A0">
      <w:pPr>
        <w:tabs>
          <w:tab w:val="left" w:pos="7526"/>
        </w:tabs>
        <w:autoSpaceDE w:val="0"/>
        <w:autoSpaceDN w:val="0"/>
        <w:snapToGrid w:val="0"/>
        <w:spacing w:line="600" w:lineRule="exact"/>
        <w:ind w:firstLineChars="257" w:firstLine="565"/>
        <w:rPr>
          <w:rFonts w:ascii="Times New Roman" w:hAnsi="Times New Roman"/>
          <w:sz w:val="22"/>
        </w:rPr>
      </w:pPr>
      <w:r w:rsidRPr="005A0DD3">
        <w:rPr>
          <w:rFonts w:ascii="Times New Roman" w:hAnsi="Times New Roman"/>
          <w:sz w:val="22"/>
        </w:rPr>
        <w:t xml:space="preserve">HIV + Ch: </w:t>
      </w:r>
      <m:oMath>
        <m:sSub>
          <m:sSubPr>
            <m:ctrlPr>
              <w:rPr>
                <w:rFonts w:ascii="Cambria Math" w:hAnsi="Cambria Math"/>
              </w:rPr>
            </m:ctrlPr>
          </m:sSubPr>
          <m:e>
            <m:d>
              <m:dPr>
                <m:begChr m:val="{"/>
                <m:endChr m:val="}"/>
                <m:ctrlPr>
                  <w:rPr>
                    <w:rFonts w:ascii="Cambria Math" w:hAnsi="Cambria Math"/>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1.4</m:t>
                        </m:r>
                      </m:sub>
                    </m:sSub>
                  </m:num>
                  <m:den>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1.0</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1.4</m:t>
                            </m:r>
                          </m:sub>
                        </m:sSub>
                      </m:e>
                    </m:d>
                  </m:den>
                </m:f>
              </m:e>
            </m:d>
          </m:e>
          <m:sub>
            <m:r>
              <w:rPr>
                <w:rFonts w:ascii="Cambria Math" w:hAnsi="Cambria Math"/>
              </w:rPr>
              <m:t>K</m:t>
            </m:r>
          </m:sub>
        </m:sSub>
      </m:oMath>
      <w:r w:rsidRPr="005A0DD3">
        <w:rPr>
          <w:rFonts w:ascii="Times New Roman" w:hAnsi="Times New Roman"/>
          <w:sz w:val="22"/>
        </w:rPr>
        <w:t>,</w:t>
      </w:r>
      <w:r w:rsidRPr="005A0DD3">
        <w:rPr>
          <w:rFonts w:ascii="Times New Roman" w:hAnsi="Times New Roman"/>
          <w:sz w:val="22"/>
        </w:rPr>
        <w:tab/>
        <w:t xml:space="preserve"> (Eq. </w:t>
      </w:r>
      <w:r w:rsidRPr="005A0DD3">
        <w:rPr>
          <w:rFonts w:ascii="Times New Roman" w:hAnsi="Times New Roman" w:hint="eastAsia"/>
          <w:sz w:val="22"/>
        </w:rPr>
        <w:t>4</w:t>
      </w:r>
      <w:r w:rsidRPr="005A0DD3">
        <w:rPr>
          <w:rFonts w:ascii="Times New Roman" w:hAnsi="Times New Roman"/>
          <w:sz w:val="22"/>
        </w:rPr>
        <w:t>)</w:t>
      </w:r>
    </w:p>
    <w:p w:rsidR="000823A0" w:rsidRPr="005A0DD3" w:rsidRDefault="000823A0" w:rsidP="000823A0">
      <w:pPr>
        <w:tabs>
          <w:tab w:val="left" w:pos="7200"/>
        </w:tabs>
        <w:autoSpaceDE w:val="0"/>
        <w:autoSpaceDN w:val="0"/>
        <w:snapToGrid w:val="0"/>
        <w:spacing w:line="600" w:lineRule="exact"/>
        <w:ind w:firstLineChars="257" w:firstLine="565"/>
        <w:rPr>
          <w:rFonts w:ascii="Times New Roman" w:hAnsi="Times New Roman"/>
          <w:sz w:val="22"/>
        </w:rPr>
      </w:pPr>
      <w:r w:rsidRPr="005A0DD3">
        <w:rPr>
          <w:rFonts w:ascii="Times New Roman" w:hAnsi="Times New Roman" w:hint="eastAsia"/>
          <w:sz w:val="22"/>
        </w:rPr>
        <w:t>{</w:t>
      </w:r>
      <w:r w:rsidRPr="005A0DD3">
        <w:rPr>
          <w:rFonts w:ascii="Times New Roman" w:hAnsi="Times New Roman"/>
          <w:sz w:val="22"/>
        </w:rPr>
        <w:t>HIV</w:t>
      </w:r>
      <w:r w:rsidRPr="005A0DD3">
        <w:rPr>
          <w:rFonts w:ascii="Times New Roman" w:hAnsi="Times New Roman" w:hint="eastAsia"/>
          <w:sz w:val="22"/>
        </w:rPr>
        <w:t xml:space="preserve"> + Ch}</w:t>
      </w:r>
      <w:r w:rsidRPr="005A0DD3">
        <w:rPr>
          <w:rFonts w:ascii="Times New Roman" w:hAnsi="Times New Roman"/>
          <w:sz w:val="22"/>
        </w:rPr>
        <w:t xml:space="preserve"> </w:t>
      </w:r>
      <w:r w:rsidRPr="005A0DD3">
        <w:rPr>
          <w:rFonts w:ascii="Times New Roman" w:hAnsi="Times New Roman" w:hint="eastAsia"/>
          <w:sz w:val="22"/>
        </w:rPr>
        <w:t xml:space="preserve">/ </w:t>
      </w:r>
      <w:r w:rsidRPr="005A0DD3">
        <w:rPr>
          <w:rFonts w:ascii="Times New Roman" w:hAnsi="Times New Roman"/>
          <w:sz w:val="22"/>
        </w:rPr>
        <w:t xml:space="preserve">1.4-nm clay minerals: </w:t>
      </w:r>
      <m:oMath>
        <m:f>
          <m:fPr>
            <m:type m:val="lin"/>
            <m:ctrlPr>
              <w:rPr>
                <w:rFonts w:ascii="Cambria Math" w:hAnsi="Cambria Math"/>
              </w:rPr>
            </m:ctrlPr>
          </m:fPr>
          <m:num>
            <m:sSub>
              <m:sSubPr>
                <m:ctrlPr>
                  <w:rPr>
                    <w:rFonts w:ascii="Cambria Math" w:hAnsi="Cambria Math"/>
                  </w:rPr>
                </m:ctrlPr>
              </m:sSubPr>
              <m:e>
                <m:d>
                  <m:dPr>
                    <m:begChr m:val="{"/>
                    <m:endChr m:val="}"/>
                    <m:ctrlPr>
                      <w:rPr>
                        <w:rFonts w:ascii="Cambria Math" w:hAnsi="Cambria Math"/>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1.4</m:t>
                            </m:r>
                          </m:sub>
                        </m:sSub>
                      </m:num>
                      <m:den>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1.0</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1.4</m:t>
                                </m:r>
                              </m:sub>
                            </m:sSub>
                          </m:e>
                        </m:d>
                      </m:den>
                    </m:f>
                  </m:e>
                </m:d>
              </m:e>
              <m:sub>
                <m:r>
                  <w:rPr>
                    <w:rFonts w:ascii="Cambria Math" w:hAnsi="Cambria Math"/>
                  </w:rPr>
                  <m:t>K</m:t>
                </m:r>
              </m:sub>
            </m:sSub>
          </m:num>
          <m:den>
            <m:sSub>
              <m:sSubPr>
                <m:ctrlPr>
                  <w:rPr>
                    <w:rFonts w:ascii="Cambria Math" w:hAnsi="Cambria Math"/>
                  </w:rPr>
                </m:ctrlPr>
              </m:sSubPr>
              <m:e>
                <m:d>
                  <m:dPr>
                    <m:begChr m:val="{"/>
                    <m:endChr m:val="}"/>
                    <m:ctrlPr>
                      <w:rPr>
                        <w:rFonts w:ascii="Cambria Math" w:hAnsi="Cambria Math"/>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1.4</m:t>
                            </m:r>
                          </m:sub>
                        </m:sSub>
                      </m:num>
                      <m:den>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1.0</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1.4</m:t>
                                </m:r>
                              </m:sub>
                            </m:sSub>
                          </m:e>
                        </m:d>
                      </m:den>
                    </m:f>
                  </m:e>
                </m:d>
              </m:e>
              <m:sub>
                <m:r>
                  <w:rPr>
                    <w:rFonts w:ascii="Cambria Math" w:hAnsi="Cambria Math"/>
                  </w:rPr>
                  <m:t>Mg</m:t>
                </m:r>
              </m:sub>
            </m:sSub>
          </m:den>
        </m:f>
      </m:oMath>
      <w:r w:rsidRPr="005A0DD3">
        <w:rPr>
          <w:rFonts w:ascii="Times New Roman" w:hAnsi="Times New Roman"/>
          <w:sz w:val="22"/>
        </w:rPr>
        <w:t xml:space="preserve"> </w:t>
      </w:r>
      <w:r w:rsidRPr="005A0DD3">
        <w:rPr>
          <w:rFonts w:ascii="Times New Roman" w:hAnsi="Times New Roman" w:hint="eastAsia"/>
          <w:sz w:val="22"/>
        </w:rPr>
        <w:t xml:space="preserve"> </w:t>
      </w:r>
      <w:r w:rsidRPr="005A0DD3">
        <w:rPr>
          <w:rFonts w:ascii="Times New Roman" w:hAnsi="Times New Roman"/>
          <w:sz w:val="22"/>
        </w:rPr>
        <w:t xml:space="preserve">(Eq. </w:t>
      </w:r>
      <w:r w:rsidRPr="005A0DD3">
        <w:rPr>
          <w:rFonts w:ascii="Times New Roman" w:hAnsi="Times New Roman" w:hint="eastAsia"/>
          <w:sz w:val="22"/>
        </w:rPr>
        <w:t>5</w:t>
      </w:r>
      <w:r w:rsidRPr="005A0DD3">
        <w:rPr>
          <w:rFonts w:ascii="Times New Roman" w:hAnsi="Times New Roman"/>
          <w:sz w:val="22"/>
        </w:rPr>
        <w:t>)</w:t>
      </w:r>
    </w:p>
    <w:p w:rsidR="000823A0" w:rsidRPr="005A0DD3" w:rsidRDefault="000823A0" w:rsidP="000823A0">
      <w:pPr>
        <w:autoSpaceDE w:val="0"/>
        <w:autoSpaceDN w:val="0"/>
        <w:snapToGrid w:val="0"/>
        <w:spacing w:line="600" w:lineRule="exact"/>
        <w:rPr>
          <w:rFonts w:ascii="Times New Roman" w:hAnsi="Times New Roman"/>
          <w:sz w:val="22"/>
        </w:rPr>
      </w:pPr>
      <w:r w:rsidRPr="005A0DD3">
        <w:rPr>
          <w:rFonts w:ascii="Times New Roman" w:hAnsi="Times New Roman"/>
          <w:sz w:val="22"/>
        </w:rPr>
        <w:lastRenderedPageBreak/>
        <w:t xml:space="preserve">The sum of the relative contents of Mc, Vt, HIV, and Ch equals 1. </w:t>
      </w:r>
    </w:p>
    <w:p w:rsidR="00453061" w:rsidRPr="005A0DD3" w:rsidRDefault="00453061" w:rsidP="000823A0">
      <w:pPr>
        <w:autoSpaceDE w:val="0"/>
        <w:autoSpaceDN w:val="0"/>
        <w:snapToGrid w:val="0"/>
        <w:spacing w:line="600" w:lineRule="exact"/>
        <w:rPr>
          <w:rFonts w:ascii="Times New Roman" w:hAnsi="Times New Roman"/>
          <w:sz w:val="22"/>
        </w:rPr>
      </w:pPr>
    </w:p>
    <w:p w:rsidR="00453061" w:rsidRPr="005A0DD3" w:rsidRDefault="00453061" w:rsidP="00453061">
      <w:pPr>
        <w:snapToGrid w:val="0"/>
        <w:spacing w:line="480" w:lineRule="auto"/>
        <w:rPr>
          <w:rStyle w:val="a7"/>
          <w:rFonts w:ascii="Times New Roman" w:hAnsi="Times New Roman"/>
          <w:i/>
          <w:color w:val="000000"/>
          <w:sz w:val="22"/>
          <w:szCs w:val="20"/>
        </w:rPr>
      </w:pPr>
      <w:r w:rsidRPr="005A0DD3">
        <w:rPr>
          <w:rFonts w:ascii="Times New Roman" w:hAnsi="Times New Roman"/>
          <w:b/>
          <w:i/>
          <w:sz w:val="22"/>
        </w:rPr>
        <w:t>Clay mineralogical properties</w:t>
      </w:r>
    </w:p>
    <w:p w:rsidR="007E7768" w:rsidRDefault="00453061" w:rsidP="005A0DD3">
      <w:pPr>
        <w:snapToGrid w:val="0"/>
        <w:spacing w:line="480" w:lineRule="auto"/>
        <w:rPr>
          <w:rStyle w:val="a7"/>
          <w:rFonts w:ascii="Times New Roman" w:hAnsi="Times New Roman"/>
          <w:sz w:val="22"/>
        </w:rPr>
      </w:pPr>
      <w:r w:rsidRPr="005A0DD3">
        <w:rPr>
          <w:rFonts w:ascii="Times New Roman" w:hAnsi="Times New Roman"/>
          <w:sz w:val="22"/>
        </w:rPr>
        <w:t xml:space="preserve">Mica </w:t>
      </w:r>
      <w:r w:rsidR="005A0DD3" w:rsidRPr="005A0DD3">
        <w:rPr>
          <w:rFonts w:ascii="Times New Roman" w:hAnsi="Times New Roman"/>
          <w:sz w:val="22"/>
        </w:rPr>
        <w:t xml:space="preserve">and vermiculite </w:t>
      </w:r>
      <w:r w:rsidRPr="005A0DD3">
        <w:rPr>
          <w:rFonts w:ascii="Times New Roman" w:hAnsi="Times New Roman"/>
          <w:sz w:val="22"/>
        </w:rPr>
        <w:t>w</w:t>
      </w:r>
      <w:r w:rsidR="005A0DD3" w:rsidRPr="005A0DD3">
        <w:rPr>
          <w:rFonts w:ascii="Times New Roman" w:hAnsi="Times New Roman"/>
          <w:sz w:val="22"/>
        </w:rPr>
        <w:t>ere</w:t>
      </w:r>
      <w:r w:rsidRPr="005A0DD3">
        <w:rPr>
          <w:rFonts w:ascii="Times New Roman" w:hAnsi="Times New Roman"/>
          <w:sz w:val="22"/>
        </w:rPr>
        <w:t xml:space="preserve"> present in </w:t>
      </w:r>
      <w:r w:rsidR="005A0DD3" w:rsidRPr="005A0DD3">
        <w:rPr>
          <w:rFonts w:ascii="Times New Roman" w:hAnsi="Times New Roman"/>
          <w:sz w:val="22"/>
        </w:rPr>
        <w:t>all the</w:t>
      </w:r>
      <w:r w:rsidRPr="005A0DD3">
        <w:rPr>
          <w:rFonts w:ascii="Times New Roman" w:hAnsi="Times New Roman"/>
          <w:sz w:val="22"/>
        </w:rPr>
        <w:t xml:space="preserve"> clay samples (Table </w:t>
      </w:r>
      <w:r w:rsidR="005A0DD3" w:rsidRPr="005A0DD3">
        <w:rPr>
          <w:rFonts w:ascii="Times New Roman" w:hAnsi="Times New Roman"/>
          <w:sz w:val="22"/>
        </w:rPr>
        <w:t>S1</w:t>
      </w:r>
      <w:r w:rsidRPr="005A0DD3">
        <w:rPr>
          <w:rFonts w:ascii="Times New Roman" w:hAnsi="Times New Roman"/>
          <w:sz w:val="22"/>
        </w:rPr>
        <w:t>)</w:t>
      </w:r>
      <w:r w:rsidR="005A0DD3" w:rsidRPr="005A0DD3">
        <w:rPr>
          <w:rFonts w:ascii="Times New Roman" w:hAnsi="Times New Roman"/>
          <w:sz w:val="22"/>
        </w:rPr>
        <w:t>, while smectite was present only in the less acidic SNY soils.</w:t>
      </w:r>
      <w:r w:rsidRPr="005A0DD3">
        <w:rPr>
          <w:rFonts w:ascii="Times New Roman" w:hAnsi="Times New Roman"/>
          <w:sz w:val="22"/>
        </w:rPr>
        <w:t xml:space="preserve"> </w:t>
      </w:r>
      <w:r w:rsidR="005A0DD3" w:rsidRPr="005A0DD3">
        <w:rPr>
          <w:rFonts w:ascii="Times New Roman" w:hAnsi="Times New Roman"/>
          <w:sz w:val="22"/>
        </w:rPr>
        <w:t xml:space="preserve">The dominance of kaolinite suggests the intensive weathering and acidification in the other soils. An increase in HIV and chlorite in the deeper soil of DHS suggests Al leaching and its precipitation to form </w:t>
      </w:r>
      <w:r w:rsidR="005A0DD3" w:rsidRPr="005A0DD3">
        <w:rPr>
          <w:rFonts w:ascii="Times New Roman" w:hAnsi="Times New Roman"/>
          <w:bCs/>
          <w:sz w:val="22"/>
          <w:szCs w:val="22"/>
        </w:rPr>
        <w:t>hydroxy-interlayered vermiculite</w:t>
      </w:r>
      <w:r w:rsidRPr="005A0DD3">
        <w:rPr>
          <w:rStyle w:val="a7"/>
          <w:rFonts w:ascii="Times New Roman" w:hAnsi="Times New Roman"/>
          <w:sz w:val="22"/>
        </w:rPr>
        <w:t xml:space="preserve">. </w:t>
      </w:r>
    </w:p>
    <w:p w:rsidR="007E7768" w:rsidRDefault="007E7768" w:rsidP="007E7768">
      <w:pPr>
        <w:snapToGrid w:val="0"/>
        <w:spacing w:line="480" w:lineRule="auto"/>
        <w:rPr>
          <w:rFonts w:ascii="Times New Roman" w:hAnsi="Times New Roman"/>
          <w:b/>
          <w:sz w:val="22"/>
        </w:rPr>
      </w:pPr>
      <w:r w:rsidRPr="007E7768">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157480</wp:posOffset>
            </wp:positionV>
            <wp:extent cx="5815981" cy="356616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r="4593"/>
                    <a:stretch/>
                  </pic:blipFill>
                  <pic:spPr bwMode="auto">
                    <a:xfrm>
                      <a:off x="0" y="0"/>
                      <a:ext cx="5815981" cy="3566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E7768" w:rsidRDefault="007E7768" w:rsidP="007E7768">
      <w:pPr>
        <w:snapToGrid w:val="0"/>
        <w:spacing w:line="480" w:lineRule="auto"/>
        <w:rPr>
          <w:rFonts w:ascii="Times New Roman" w:hAnsi="Times New Roman"/>
          <w:b/>
          <w:sz w:val="22"/>
        </w:rPr>
      </w:pPr>
    </w:p>
    <w:p w:rsidR="007E7768" w:rsidRDefault="007E7768" w:rsidP="007E7768">
      <w:pPr>
        <w:snapToGrid w:val="0"/>
        <w:spacing w:line="480" w:lineRule="auto"/>
        <w:rPr>
          <w:rFonts w:ascii="Times New Roman" w:hAnsi="Times New Roman"/>
          <w:b/>
          <w:sz w:val="22"/>
        </w:rPr>
      </w:pPr>
    </w:p>
    <w:p w:rsidR="007E7768" w:rsidRDefault="007E7768" w:rsidP="007E7768">
      <w:pPr>
        <w:snapToGrid w:val="0"/>
        <w:spacing w:line="480" w:lineRule="auto"/>
        <w:rPr>
          <w:rFonts w:ascii="Times New Roman" w:hAnsi="Times New Roman"/>
          <w:b/>
          <w:sz w:val="22"/>
        </w:rPr>
      </w:pPr>
    </w:p>
    <w:p w:rsidR="007E7768" w:rsidRDefault="007E7768" w:rsidP="007E7768">
      <w:pPr>
        <w:snapToGrid w:val="0"/>
        <w:spacing w:line="480" w:lineRule="auto"/>
        <w:rPr>
          <w:rFonts w:ascii="Times New Roman" w:hAnsi="Times New Roman"/>
          <w:b/>
          <w:sz w:val="22"/>
        </w:rPr>
      </w:pPr>
    </w:p>
    <w:p w:rsidR="007E7768" w:rsidRDefault="007E7768" w:rsidP="007E7768">
      <w:pPr>
        <w:snapToGrid w:val="0"/>
        <w:spacing w:line="480" w:lineRule="auto"/>
        <w:rPr>
          <w:rFonts w:ascii="Times New Roman" w:hAnsi="Times New Roman"/>
          <w:b/>
          <w:sz w:val="22"/>
        </w:rPr>
      </w:pPr>
    </w:p>
    <w:p w:rsidR="007E7768" w:rsidRDefault="007E7768" w:rsidP="007E7768">
      <w:pPr>
        <w:snapToGrid w:val="0"/>
        <w:spacing w:line="480" w:lineRule="auto"/>
        <w:rPr>
          <w:rFonts w:ascii="Times New Roman" w:hAnsi="Times New Roman"/>
          <w:b/>
          <w:sz w:val="22"/>
        </w:rPr>
      </w:pPr>
    </w:p>
    <w:p w:rsidR="007E7768" w:rsidRDefault="007E7768" w:rsidP="007E7768">
      <w:pPr>
        <w:snapToGrid w:val="0"/>
        <w:spacing w:line="480" w:lineRule="auto"/>
        <w:rPr>
          <w:rFonts w:ascii="Times New Roman" w:hAnsi="Times New Roman"/>
          <w:b/>
          <w:sz w:val="22"/>
        </w:rPr>
      </w:pPr>
    </w:p>
    <w:p w:rsidR="007E7768" w:rsidRDefault="007E7768" w:rsidP="007E7768">
      <w:pPr>
        <w:snapToGrid w:val="0"/>
        <w:spacing w:line="480" w:lineRule="auto"/>
        <w:rPr>
          <w:rFonts w:ascii="Times New Roman" w:hAnsi="Times New Roman"/>
          <w:b/>
          <w:sz w:val="22"/>
        </w:rPr>
      </w:pPr>
    </w:p>
    <w:p w:rsidR="007E7768" w:rsidRDefault="007E7768" w:rsidP="007E7768">
      <w:pPr>
        <w:snapToGrid w:val="0"/>
        <w:spacing w:line="480" w:lineRule="auto"/>
        <w:rPr>
          <w:rFonts w:ascii="Times New Roman" w:hAnsi="Times New Roman"/>
          <w:b/>
          <w:sz w:val="22"/>
        </w:rPr>
      </w:pPr>
    </w:p>
    <w:p w:rsidR="007E7768" w:rsidRDefault="007E7768" w:rsidP="007E7768">
      <w:pPr>
        <w:snapToGrid w:val="0"/>
        <w:spacing w:line="480" w:lineRule="auto"/>
        <w:rPr>
          <w:rFonts w:ascii="Times New Roman" w:hAnsi="Times New Roman"/>
          <w:b/>
          <w:sz w:val="22"/>
        </w:rPr>
      </w:pPr>
    </w:p>
    <w:p w:rsidR="007E7768" w:rsidRDefault="007E7768" w:rsidP="007E7768">
      <w:pPr>
        <w:snapToGrid w:val="0"/>
        <w:spacing w:line="480" w:lineRule="auto"/>
        <w:rPr>
          <w:rFonts w:ascii="Times New Roman" w:hAnsi="Times New Roman"/>
          <w:b/>
          <w:sz w:val="22"/>
        </w:rPr>
      </w:pPr>
    </w:p>
    <w:p w:rsidR="000823A0" w:rsidRPr="007E7768" w:rsidRDefault="007E7768" w:rsidP="007E7768">
      <w:pPr>
        <w:snapToGrid w:val="0"/>
        <w:spacing w:line="480" w:lineRule="auto"/>
        <w:rPr>
          <w:rFonts w:ascii="Times New Roman" w:hAnsi="Times New Roman"/>
          <w:sz w:val="22"/>
        </w:rPr>
      </w:pPr>
      <w:r w:rsidRPr="007E7768">
        <w:rPr>
          <w:rFonts w:ascii="Times New Roman" w:hAnsi="Times New Roman" w:hint="eastAsia"/>
          <w:b/>
          <w:sz w:val="22"/>
        </w:rPr>
        <w:t>R</w:t>
      </w:r>
      <w:r w:rsidRPr="007E7768">
        <w:rPr>
          <w:rFonts w:ascii="Times New Roman" w:hAnsi="Times New Roman"/>
          <w:b/>
          <w:sz w:val="22"/>
        </w:rPr>
        <w:t>eference</w:t>
      </w:r>
    </w:p>
    <w:p w:rsidR="002C17B8" w:rsidRPr="002C17B8" w:rsidRDefault="002C17B8" w:rsidP="002C17B8">
      <w:pPr>
        <w:snapToGrid w:val="0"/>
        <w:spacing w:line="480" w:lineRule="auto"/>
        <w:ind w:leftChars="1" w:left="361" w:hangingChars="163" w:hanging="359"/>
        <w:rPr>
          <w:rFonts w:ascii="Times New Roman" w:hAnsi="Times New Roman"/>
          <w:kern w:val="0"/>
          <w:sz w:val="22"/>
          <w:szCs w:val="22"/>
        </w:rPr>
      </w:pPr>
      <w:r w:rsidRPr="002C17B8">
        <w:rPr>
          <w:rFonts w:ascii="Times New Roman" w:hAnsi="Times New Roman"/>
          <w:sz w:val="22"/>
          <w:szCs w:val="22"/>
        </w:rPr>
        <w:t>Matsue</w:t>
      </w:r>
      <w:r>
        <w:rPr>
          <w:rFonts w:ascii="Times New Roman" w:hAnsi="Times New Roman"/>
          <w:sz w:val="22"/>
          <w:szCs w:val="22"/>
        </w:rPr>
        <w:t>,</w:t>
      </w:r>
      <w:r w:rsidRPr="002C17B8">
        <w:rPr>
          <w:rFonts w:ascii="Times New Roman" w:hAnsi="Times New Roman"/>
          <w:sz w:val="22"/>
          <w:szCs w:val="22"/>
        </w:rPr>
        <w:t xml:space="preserve"> N</w:t>
      </w:r>
      <w:r>
        <w:rPr>
          <w:rFonts w:ascii="Times New Roman" w:hAnsi="Times New Roman"/>
          <w:sz w:val="22"/>
          <w:szCs w:val="22"/>
        </w:rPr>
        <w:t>.</w:t>
      </w:r>
      <w:r w:rsidRPr="002C17B8">
        <w:rPr>
          <w:rFonts w:ascii="Times New Roman" w:hAnsi="Times New Roman"/>
          <w:sz w:val="22"/>
          <w:szCs w:val="22"/>
        </w:rPr>
        <w:t>, Wada</w:t>
      </w:r>
      <w:r>
        <w:rPr>
          <w:rFonts w:ascii="Times New Roman" w:hAnsi="Times New Roman"/>
          <w:sz w:val="22"/>
          <w:szCs w:val="22"/>
        </w:rPr>
        <w:t>,</w:t>
      </w:r>
      <w:r w:rsidRPr="002C17B8">
        <w:rPr>
          <w:rFonts w:ascii="Times New Roman" w:hAnsi="Times New Roman"/>
          <w:sz w:val="22"/>
          <w:szCs w:val="22"/>
        </w:rPr>
        <w:t xml:space="preserve"> K</w:t>
      </w:r>
      <w:r>
        <w:rPr>
          <w:rFonts w:ascii="Times New Roman" w:hAnsi="Times New Roman"/>
          <w:sz w:val="22"/>
          <w:szCs w:val="22"/>
        </w:rPr>
        <w:t>.</w:t>
      </w:r>
      <w:r w:rsidRPr="002C17B8">
        <w:rPr>
          <w:rFonts w:ascii="Times New Roman" w:hAnsi="Times New Roman"/>
          <w:sz w:val="22"/>
          <w:szCs w:val="22"/>
        </w:rPr>
        <w:t xml:space="preserve"> </w:t>
      </w:r>
      <w:r w:rsidRPr="002C17B8">
        <w:rPr>
          <w:rFonts w:ascii="Times New Roman" w:hAnsi="Times New Roman" w:hint="eastAsia"/>
          <w:sz w:val="22"/>
          <w:szCs w:val="22"/>
        </w:rPr>
        <w:t>(</w:t>
      </w:r>
      <w:r w:rsidRPr="002C17B8">
        <w:rPr>
          <w:rFonts w:ascii="Times New Roman" w:hAnsi="Times New Roman"/>
          <w:sz w:val="22"/>
          <w:szCs w:val="22"/>
        </w:rPr>
        <w:t>1988</w:t>
      </w:r>
      <w:r w:rsidRPr="002C17B8">
        <w:rPr>
          <w:rFonts w:ascii="Times New Roman" w:hAnsi="Times New Roman" w:hint="eastAsia"/>
          <w:sz w:val="22"/>
          <w:szCs w:val="22"/>
        </w:rPr>
        <w:t>)</w:t>
      </w:r>
      <w:r w:rsidRPr="002C17B8">
        <w:rPr>
          <w:rFonts w:ascii="Times New Roman" w:hAnsi="Times New Roman"/>
          <w:sz w:val="22"/>
          <w:szCs w:val="22"/>
        </w:rPr>
        <w:t xml:space="preserve"> Interlayer materials of partially interlayered vermiculites in dystrochrepts derived from Tertiary sediments. J</w:t>
      </w:r>
      <w:r>
        <w:rPr>
          <w:rFonts w:ascii="Times New Roman" w:hAnsi="Times New Roman"/>
          <w:sz w:val="22"/>
          <w:szCs w:val="22"/>
        </w:rPr>
        <w:t xml:space="preserve">ournal of </w:t>
      </w:r>
      <w:r w:rsidRPr="002C17B8">
        <w:rPr>
          <w:rFonts w:ascii="Times New Roman" w:hAnsi="Times New Roman"/>
          <w:sz w:val="22"/>
          <w:szCs w:val="22"/>
        </w:rPr>
        <w:t>Soil Sci</w:t>
      </w:r>
      <w:r>
        <w:rPr>
          <w:rFonts w:ascii="Times New Roman" w:hAnsi="Times New Roman"/>
          <w:sz w:val="22"/>
          <w:szCs w:val="22"/>
        </w:rPr>
        <w:t>ence,</w:t>
      </w:r>
      <w:r w:rsidRPr="002C17B8">
        <w:rPr>
          <w:rFonts w:ascii="Times New Roman" w:hAnsi="Times New Roman"/>
          <w:sz w:val="22"/>
          <w:szCs w:val="22"/>
        </w:rPr>
        <w:t xml:space="preserve"> 39</w:t>
      </w:r>
      <w:r>
        <w:rPr>
          <w:rFonts w:ascii="Times New Roman" w:hAnsi="Times New Roman"/>
          <w:sz w:val="22"/>
          <w:szCs w:val="22"/>
        </w:rPr>
        <w:t xml:space="preserve">, </w:t>
      </w:r>
      <w:r w:rsidRPr="002C17B8">
        <w:rPr>
          <w:rFonts w:ascii="Times New Roman" w:hAnsi="Times New Roman"/>
          <w:sz w:val="22"/>
          <w:szCs w:val="22"/>
        </w:rPr>
        <w:t>155</w:t>
      </w:r>
      <w:r>
        <w:rPr>
          <w:rFonts w:ascii="Times New Roman" w:hAnsi="Times New Roman"/>
          <w:sz w:val="22"/>
          <w:szCs w:val="22"/>
        </w:rPr>
        <w:t>-</w:t>
      </w:r>
      <w:r w:rsidRPr="002C17B8">
        <w:rPr>
          <w:rFonts w:ascii="Times New Roman" w:hAnsi="Times New Roman"/>
          <w:sz w:val="22"/>
          <w:szCs w:val="22"/>
        </w:rPr>
        <w:t>162</w:t>
      </w:r>
      <w:r>
        <w:rPr>
          <w:rFonts w:ascii="Times New Roman" w:hAnsi="Times New Roman"/>
          <w:sz w:val="22"/>
          <w:szCs w:val="22"/>
        </w:rPr>
        <w:t>.</w:t>
      </w:r>
    </w:p>
    <w:p w:rsidR="00B86AAD" w:rsidRPr="007E7768" w:rsidRDefault="002C17B8" w:rsidP="007E7768">
      <w:pPr>
        <w:snapToGrid w:val="0"/>
        <w:spacing w:line="480" w:lineRule="auto"/>
        <w:ind w:leftChars="1" w:left="361" w:hangingChars="163" w:hanging="359"/>
        <w:rPr>
          <w:rFonts w:ascii="Times New Roman" w:hAnsi="Times New Roman"/>
          <w:kern w:val="0"/>
          <w:sz w:val="22"/>
          <w:szCs w:val="22"/>
        </w:rPr>
      </w:pPr>
      <w:r w:rsidRPr="002C17B8">
        <w:rPr>
          <w:rFonts w:ascii="Times New Roman" w:hAnsi="Times New Roman"/>
          <w:sz w:val="22"/>
          <w:szCs w:val="22"/>
        </w:rPr>
        <w:t>Matsue</w:t>
      </w:r>
      <w:r>
        <w:rPr>
          <w:rFonts w:ascii="Times New Roman" w:hAnsi="Times New Roman"/>
          <w:sz w:val="22"/>
          <w:szCs w:val="22"/>
        </w:rPr>
        <w:t>,</w:t>
      </w:r>
      <w:r w:rsidRPr="002C17B8">
        <w:rPr>
          <w:rFonts w:ascii="Times New Roman" w:hAnsi="Times New Roman"/>
          <w:sz w:val="22"/>
          <w:szCs w:val="22"/>
        </w:rPr>
        <w:t xml:space="preserve"> N</w:t>
      </w:r>
      <w:r>
        <w:rPr>
          <w:rFonts w:ascii="Times New Roman" w:hAnsi="Times New Roman"/>
          <w:sz w:val="22"/>
          <w:szCs w:val="22"/>
        </w:rPr>
        <w:t>.</w:t>
      </w:r>
      <w:r w:rsidRPr="002C17B8">
        <w:rPr>
          <w:rFonts w:ascii="Times New Roman" w:hAnsi="Times New Roman"/>
          <w:sz w:val="22"/>
          <w:szCs w:val="22"/>
        </w:rPr>
        <w:t>, Wada</w:t>
      </w:r>
      <w:r>
        <w:rPr>
          <w:rFonts w:ascii="Times New Roman" w:hAnsi="Times New Roman"/>
          <w:sz w:val="22"/>
          <w:szCs w:val="22"/>
        </w:rPr>
        <w:t>,</w:t>
      </w:r>
      <w:r w:rsidRPr="002C17B8">
        <w:rPr>
          <w:rFonts w:ascii="Times New Roman" w:hAnsi="Times New Roman"/>
          <w:sz w:val="22"/>
          <w:szCs w:val="22"/>
        </w:rPr>
        <w:t xml:space="preserve"> K</w:t>
      </w:r>
      <w:r>
        <w:rPr>
          <w:rFonts w:ascii="Times New Roman" w:hAnsi="Times New Roman"/>
          <w:sz w:val="22"/>
          <w:szCs w:val="22"/>
        </w:rPr>
        <w:t>.</w:t>
      </w:r>
      <w:r w:rsidRPr="002C17B8">
        <w:rPr>
          <w:rFonts w:ascii="Times New Roman" w:hAnsi="Times New Roman"/>
          <w:sz w:val="22"/>
          <w:szCs w:val="22"/>
        </w:rPr>
        <w:t xml:space="preserve"> </w:t>
      </w:r>
      <w:r w:rsidRPr="002C17B8">
        <w:rPr>
          <w:rFonts w:ascii="Times New Roman" w:hAnsi="Times New Roman" w:hint="eastAsia"/>
          <w:sz w:val="22"/>
          <w:szCs w:val="22"/>
        </w:rPr>
        <w:t>(</w:t>
      </w:r>
      <w:r w:rsidRPr="002C17B8">
        <w:rPr>
          <w:rFonts w:ascii="Times New Roman" w:hAnsi="Times New Roman"/>
          <w:sz w:val="22"/>
          <w:szCs w:val="22"/>
        </w:rPr>
        <w:t>1989</w:t>
      </w:r>
      <w:r w:rsidRPr="002C17B8">
        <w:rPr>
          <w:rFonts w:ascii="Times New Roman" w:hAnsi="Times New Roman" w:hint="eastAsia"/>
          <w:sz w:val="22"/>
          <w:szCs w:val="22"/>
        </w:rPr>
        <w:t>)</w:t>
      </w:r>
      <w:r w:rsidRPr="002C17B8">
        <w:rPr>
          <w:rFonts w:ascii="Times New Roman" w:hAnsi="Times New Roman"/>
          <w:sz w:val="22"/>
          <w:szCs w:val="22"/>
        </w:rPr>
        <w:t xml:space="preserve"> Source minerals and formation of partially interlayered vermiculites in Dystrochrepts derived from Tertiary sediments. J</w:t>
      </w:r>
      <w:r>
        <w:rPr>
          <w:rFonts w:ascii="Times New Roman" w:hAnsi="Times New Roman"/>
          <w:sz w:val="22"/>
          <w:szCs w:val="22"/>
        </w:rPr>
        <w:t xml:space="preserve">ournal of </w:t>
      </w:r>
      <w:r w:rsidRPr="002C17B8">
        <w:rPr>
          <w:rFonts w:ascii="Times New Roman" w:hAnsi="Times New Roman"/>
          <w:sz w:val="22"/>
          <w:szCs w:val="22"/>
        </w:rPr>
        <w:t>Soil Sci</w:t>
      </w:r>
      <w:r>
        <w:rPr>
          <w:rFonts w:ascii="Times New Roman" w:hAnsi="Times New Roman"/>
          <w:sz w:val="22"/>
          <w:szCs w:val="22"/>
        </w:rPr>
        <w:t>ence,</w:t>
      </w:r>
      <w:r w:rsidRPr="002C17B8">
        <w:rPr>
          <w:rFonts w:ascii="Times New Roman" w:hAnsi="Times New Roman"/>
          <w:sz w:val="22"/>
          <w:szCs w:val="22"/>
        </w:rPr>
        <w:t xml:space="preserve"> 40</w:t>
      </w:r>
      <w:r>
        <w:rPr>
          <w:rFonts w:ascii="Times New Roman" w:hAnsi="Times New Roman"/>
          <w:sz w:val="22"/>
          <w:szCs w:val="22"/>
        </w:rPr>
        <w:t>,</w:t>
      </w:r>
      <w:r w:rsidRPr="002C17B8">
        <w:rPr>
          <w:rFonts w:ascii="Times New Roman" w:hAnsi="Times New Roman"/>
          <w:sz w:val="22"/>
          <w:szCs w:val="22"/>
        </w:rPr>
        <w:t xml:space="preserve"> 1</w:t>
      </w:r>
      <w:r>
        <w:rPr>
          <w:rFonts w:ascii="Times New Roman" w:hAnsi="Times New Roman"/>
          <w:sz w:val="22"/>
          <w:szCs w:val="22"/>
        </w:rPr>
        <w:t>-</w:t>
      </w:r>
      <w:r w:rsidRPr="002C17B8">
        <w:rPr>
          <w:rFonts w:ascii="Times New Roman" w:hAnsi="Times New Roman"/>
          <w:sz w:val="22"/>
          <w:szCs w:val="22"/>
        </w:rPr>
        <w:t>7</w:t>
      </w:r>
      <w:r>
        <w:rPr>
          <w:rFonts w:ascii="Times New Roman" w:hAnsi="Times New Roman"/>
          <w:sz w:val="22"/>
          <w:szCs w:val="22"/>
        </w:rPr>
        <w:t>.</w:t>
      </w:r>
    </w:p>
    <w:sectPr w:rsidR="00B86AAD" w:rsidRPr="007E77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4F9" w:rsidRDefault="008324F9" w:rsidP="00453061">
      <w:r>
        <w:separator/>
      </w:r>
    </w:p>
  </w:endnote>
  <w:endnote w:type="continuationSeparator" w:id="0">
    <w:p w:rsidR="008324F9" w:rsidRDefault="008324F9" w:rsidP="0045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4F9" w:rsidRDefault="008324F9" w:rsidP="00453061">
      <w:r>
        <w:separator/>
      </w:r>
    </w:p>
  </w:footnote>
  <w:footnote w:type="continuationSeparator" w:id="0">
    <w:p w:rsidR="008324F9" w:rsidRDefault="008324F9" w:rsidP="00453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A0"/>
    <w:rsid w:val="000823A0"/>
    <w:rsid w:val="002C17B8"/>
    <w:rsid w:val="00453061"/>
    <w:rsid w:val="005A0DD3"/>
    <w:rsid w:val="00660E11"/>
    <w:rsid w:val="007123DB"/>
    <w:rsid w:val="007E7768"/>
    <w:rsid w:val="008324F9"/>
    <w:rsid w:val="009663C3"/>
    <w:rsid w:val="00B86AAD"/>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FB963"/>
  <w15:chartTrackingRefBased/>
  <w15:docId w15:val="{F6D50299-6550-4D68-8B4F-2C2A9C28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23A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061"/>
    <w:pPr>
      <w:tabs>
        <w:tab w:val="center" w:pos="4252"/>
        <w:tab w:val="right" w:pos="8504"/>
      </w:tabs>
      <w:snapToGrid w:val="0"/>
    </w:pPr>
  </w:style>
  <w:style w:type="character" w:customStyle="1" w:styleId="a4">
    <w:name w:val="ヘッダー (文字)"/>
    <w:basedOn w:val="a0"/>
    <w:link w:val="a3"/>
    <w:uiPriority w:val="99"/>
    <w:rsid w:val="00453061"/>
    <w:rPr>
      <w:rFonts w:ascii="Century" w:eastAsia="ＭＳ 明朝" w:hAnsi="Century" w:cs="Times New Roman"/>
      <w:szCs w:val="24"/>
    </w:rPr>
  </w:style>
  <w:style w:type="paragraph" w:styleId="a5">
    <w:name w:val="footer"/>
    <w:basedOn w:val="a"/>
    <w:link w:val="a6"/>
    <w:uiPriority w:val="99"/>
    <w:unhideWhenUsed/>
    <w:rsid w:val="00453061"/>
    <w:pPr>
      <w:tabs>
        <w:tab w:val="center" w:pos="4252"/>
        <w:tab w:val="right" w:pos="8504"/>
      </w:tabs>
      <w:snapToGrid w:val="0"/>
    </w:pPr>
  </w:style>
  <w:style w:type="character" w:customStyle="1" w:styleId="a6">
    <w:name w:val="フッター (文字)"/>
    <w:basedOn w:val="a0"/>
    <w:link w:val="a5"/>
    <w:uiPriority w:val="99"/>
    <w:rsid w:val="00453061"/>
    <w:rPr>
      <w:rFonts w:ascii="Century" w:eastAsia="ＭＳ 明朝" w:hAnsi="Century" w:cs="Times New Roman"/>
      <w:szCs w:val="24"/>
    </w:rPr>
  </w:style>
  <w:style w:type="character" w:customStyle="1" w:styleId="a7">
    <w:name w:val="a"/>
    <w:basedOn w:val="a0"/>
    <w:rsid w:val="00453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366</Words>
  <Characters>2089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Kazumichi Fujii</dc:creator>
  <cp:keywords/>
  <dc:description/>
  <cp:lastModifiedBy>Kazumichi Fujii</cp:lastModifiedBy>
  <cp:revision>6</cp:revision>
  <dcterms:created xsi:type="dcterms:W3CDTF">2023-10-20T22:29:00Z</dcterms:created>
  <dcterms:modified xsi:type="dcterms:W3CDTF">2023-12-17T23:58:00Z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da7b6b38d349a4ffd7d979ea63b413232704a73dd2b51784db6a328828819178</vt:lpwstr>
  </property>
</Properties>
</file>