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Times New Roman"/>
          <w:b/>
          <w:sz w:val="20"/>
          <w:szCs w:val="20"/>
          <w:lang w:eastAsia="en-GB"/>
        </w:rPr>
      </w:pPr>
      <w:r>
        <w:rPr>
          <w:rFonts w:eastAsia="Times New Roman"/>
          <w:b/>
          <w:sz w:val="20"/>
          <w:szCs w:val="20"/>
          <w:lang w:eastAsia="en-GB"/>
        </w:rPr>
        <w:t>STROBE-MR checklist of recommended items to address in reports of Mendelian randomization studies</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1</w:t>
      </w:r>
      <w:r>
        <w:rPr>
          <w:rFonts w:eastAsia="Times New Roman"/>
          <w:b/>
          <w:sz w:val="20"/>
          <w:szCs w:val="20"/>
          <w:lang w:eastAsia="en-GB"/>
        </w:rPr>
        <w:fldChar w:fldCharType="end"/>
      </w:r>
      <w:r>
        <w:rPr>
          <w:rFonts w:eastAsia="Times New Roman"/>
          <w:b/>
          <w:sz w:val="20"/>
          <w:szCs w:val="20"/>
          <w:lang w:eastAsia="en-GB"/>
        </w:rPr>
        <w:t xml:space="preserve"> </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2</w:t>
      </w:r>
      <w:r>
        <w:rPr>
          <w:rFonts w:eastAsia="Times New Roman"/>
          <w:b/>
          <w:sz w:val="20"/>
          <w:szCs w:val="20"/>
          <w:lang w:eastAsia="en-GB"/>
        </w:rPr>
        <w:fldChar w:fldCharType="end"/>
      </w:r>
      <w:r>
        <w:rPr>
          <w:rFonts w:eastAsia="Times New Roman"/>
          <w:b/>
          <w:sz w:val="20"/>
          <w:szCs w:val="20"/>
          <w:lang w:eastAsia="en-GB"/>
        </w:rPr>
        <w:t> </w:t>
      </w:r>
    </w:p>
    <w:p>
      <w:pPr>
        <w:rPr>
          <w:rFonts w:eastAsia="Times New Roman"/>
          <w:b/>
          <w:sz w:val="20"/>
          <w:szCs w:val="20"/>
          <w:lang w:eastAsia="en-GB"/>
        </w:rPr>
      </w:pPr>
    </w:p>
    <w:tbl>
      <w:tblPr>
        <w:tblStyle w:val="3"/>
        <w:tblW w:w="14490" w:type="dxa"/>
        <w:tblInd w:w="0" w:type="dxa"/>
        <w:tblLayout w:type="autofit"/>
        <w:tblCellMar>
          <w:top w:w="0" w:type="dxa"/>
          <w:left w:w="108" w:type="dxa"/>
          <w:bottom w:w="0" w:type="dxa"/>
          <w:right w:w="108" w:type="dxa"/>
        </w:tblCellMar>
      </w:tblPr>
      <w:tblGrid>
        <w:gridCol w:w="587"/>
        <w:gridCol w:w="1822"/>
        <w:gridCol w:w="7041"/>
        <w:gridCol w:w="720"/>
        <w:gridCol w:w="4320"/>
      </w:tblGrid>
      <w:tr>
        <w:tblPrEx>
          <w:tblCellMar>
            <w:top w:w="0" w:type="dxa"/>
            <w:left w:w="108" w:type="dxa"/>
            <w:bottom w:w="0" w:type="dxa"/>
            <w:right w:w="108" w:type="dxa"/>
          </w:tblCellMar>
        </w:tblPrEx>
        <w:tc>
          <w:tcPr>
            <w:tcW w:w="587"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Item No.</w:t>
            </w:r>
          </w:p>
        </w:tc>
        <w:tc>
          <w:tcPr>
            <w:tcW w:w="1822"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Section</w:t>
            </w:r>
          </w:p>
        </w:tc>
        <w:tc>
          <w:tcPr>
            <w:tcW w:w="7041"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 xml:space="preserve">Checklist item </w:t>
            </w:r>
          </w:p>
        </w:tc>
        <w:tc>
          <w:tcPr>
            <w:tcW w:w="720" w:type="dxa"/>
            <w:tcBorders>
              <w:top w:val="single" w:color="auto" w:sz="4" w:space="0"/>
              <w:bottom w:val="single" w:color="7F7F7F" w:sz="6" w:space="0"/>
            </w:tcBorders>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color="auto" w:sz="4" w:space="0"/>
              <w:bottom w:val="single" w:color="7F7F7F" w:sz="6" w:space="0"/>
            </w:tcBorders>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Relevant text from manuscript</w:t>
            </w:r>
          </w:p>
        </w:tc>
      </w:tr>
      <w:tr>
        <w:tblPrEx>
          <w:tblCellMar>
            <w:top w:w="0" w:type="dxa"/>
            <w:left w:w="108" w:type="dxa"/>
            <w:bottom w:w="0" w:type="dxa"/>
            <w:right w:w="108" w:type="dxa"/>
          </w:tblCellMar>
        </w:tblPrEx>
        <w:tc>
          <w:tcPr>
            <w:tcW w:w="587" w:type="dxa"/>
            <w:tcBorders>
              <w:top w:val="single" w:color="7F7F7F" w:sz="6" w:space="0"/>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w:t>
            </w:r>
          </w:p>
        </w:tc>
        <w:tc>
          <w:tcPr>
            <w:tcW w:w="1822" w:type="dxa"/>
            <w:tcBorders>
              <w:top w:val="single" w:color="7F7F7F" w:sz="6" w:space="0"/>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TITLE and ABSTRACT</w:t>
            </w:r>
          </w:p>
        </w:tc>
        <w:tc>
          <w:tcPr>
            <w:tcW w:w="7041" w:type="dxa"/>
            <w:tcBorders>
              <w:top w:val="single" w:color="7F7F7F" w:sz="6" w:space="0"/>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Indicate Mendelian randomization (MR) as the study’s design in the title and/or the abstract if that is a main purpose of the study</w:t>
            </w:r>
          </w:p>
        </w:tc>
        <w:tc>
          <w:tcPr>
            <w:tcW w:w="720" w:type="dxa"/>
            <w:tcBorders>
              <w:top w:val="single" w:color="7F7F7F" w:sz="6" w:space="0"/>
              <w:bottom w:val="single" w:color="7F7F7F" w:sz="6" w:space="0"/>
            </w:tcBorders>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1-2</w:t>
            </w:r>
          </w:p>
        </w:tc>
        <w:tc>
          <w:tcPr>
            <w:tcW w:w="4320" w:type="dxa"/>
            <w:tcBorders>
              <w:top w:val="single" w:color="7F7F7F" w:sz="6" w:space="0"/>
              <w:bottom w:val="single" w:color="7F7F7F" w:sz="6" w:space="0"/>
            </w:tcBorders>
            <w:shd w:val="clear" w:color="auto" w:fill="EEEEEE"/>
          </w:tcPr>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Title</w:t>
            </w:r>
          </w:p>
          <w:p>
            <w:pPr>
              <w:spacing w:before="96" w:beforeLines="40" w:after="96" w:afterLines="40" w:line="24" w:lineRule="atLeast"/>
              <w:rPr>
                <w:rFonts w:hint="default" w:eastAsia="宋体"/>
                <w:sz w:val="18"/>
                <w:szCs w:val="18"/>
                <w:lang w:val="en-US" w:eastAsia="zh-CN"/>
              </w:rPr>
            </w:pPr>
            <w:r>
              <w:rPr>
                <w:rFonts w:hint="default" w:eastAsia="宋体"/>
                <w:sz w:val="18"/>
                <w:szCs w:val="18"/>
                <w:lang w:val="en-US" w:eastAsia="zh-CN"/>
              </w:rPr>
              <w:t>“</w:t>
            </w:r>
            <w:r>
              <w:rPr>
                <w:rFonts w:hint="eastAsia" w:eastAsia="Times New Roman"/>
                <w:sz w:val="18"/>
                <w:szCs w:val="18"/>
                <w:lang w:val="en-GB" w:eastAsia="en-GB"/>
              </w:rPr>
              <w:t>Genetically predicted causal associations between 152 blood-related exposures and pan-cancer in the framework of prediction, prevention and personalized medicine: a study integrating Mendelian randomization and bioinformatics</w:t>
            </w:r>
            <w:r>
              <w:rPr>
                <w:rFonts w:hint="eastAsia" w:eastAsia="宋体"/>
                <w:sz w:val="18"/>
                <w:szCs w:val="18"/>
                <w:lang w:val="en-US" w:eastAsia="zh-CN"/>
              </w:rPr>
              <w:t>.</w:t>
            </w:r>
            <w:r>
              <w:rPr>
                <w:rFonts w:hint="default" w:eastAsia="宋体"/>
                <w:sz w:val="18"/>
                <w:szCs w:val="18"/>
                <w:lang w:val="en-US" w:eastAsia="zh-CN"/>
              </w:rPr>
              <w:t>”</w:t>
            </w:r>
          </w:p>
          <w:p>
            <w:pPr>
              <w:spacing w:before="96" w:beforeLines="40" w:after="96" w:afterLines="40" w:line="24" w:lineRule="atLeast"/>
              <w:rPr>
                <w:rFonts w:hint="eastAsia" w:eastAsia="Times New Roman"/>
                <w:sz w:val="18"/>
                <w:szCs w:val="18"/>
                <w:lang w:val="en-GB" w:eastAsia="en-GB"/>
              </w:rPr>
            </w:pPr>
            <w:r>
              <w:rPr>
                <w:rFonts w:hint="default" w:eastAsia="宋体"/>
                <w:sz w:val="18"/>
                <w:szCs w:val="18"/>
                <w:lang w:val="en-US" w:eastAsia="zh-CN"/>
              </w:rPr>
              <w:t>“</w:t>
            </w:r>
            <w:r>
              <w:rPr>
                <w:rFonts w:hint="eastAsia" w:eastAsia="Times New Roman"/>
                <w:sz w:val="18"/>
                <w:szCs w:val="18"/>
                <w:lang w:val="en-GB" w:eastAsia="en-GB"/>
              </w:rPr>
              <w:t>Abstract</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Objective: Blood serves as a powerful tool for monitoring the intricate landscape of cancer development. Previous studies have emerged, suggesting that hematologic indicators hold promise in predicting the onset of malignancy. This present investigation aims to delve into the underlying causal connections between blood-related indicators and pan-cancer, further elucidating the potential impact of diseases and medication utilization reflected in these indicators on cancer, within the realm of predictive, preventive and personalised medicine(PPPM).</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Methods: To embark on this scientific endeavor, we procured summary-level data from a genome-wide association studies (GWAS) encompassing blood-related indicators and cis-eQTLs of drug target genes, from the esteemed IEU OpenGWAS. Additionally, we obtained GWAS summary-level data encapsulating pan-cancer (consisting of an impressive cohort of 659,582 cases and 12,186,911 controls), along with diseases annotated by their correlation to blood-related indicators, from esteemed sources such as IEU OpenGWAS, UK Biobank, FinnGen, and Biobank Japan. In order to unravel the direct causal associations between blood-related indicators and pan-cancer, as well as the causal implications between the diseases manifested by these indicators and cancer, we initiated a robust analysis employing the two-sample Mendelian randomization(MR) method. Furthermore, utilizing bioinformatics methodologies, we went on to explore the potential effects of drug target genes on pan-cancer.</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Results: Preliminary findings from our MR analysis provided compelling evidence of a significant link between blood-related exposures and pan-cancer. Drawing upon the intriguing interplay observed between blood pressure and tumors, it was postulated that monitoring hypertension (HTN) may offer notable advantages in the prevention of colorectal adenocarcinoma (COAD), breast carcinoma (BRCA), and esophageal carcinoma (ESCA). Similarly, considering the captivating relationship between blood glucose, insulin levels, and tumors, it was hypothesized that closely monitoring diabetes mellitus (DM) could prove beneficial in the prevention of stomach adenocarcinoma (STAD) and COAD. In consonance with the intriguing connection discovered between red blood cell counts, distribution width, and tumors, our findings supported the notion that monitoring anemia could impart advantageous effects in the prevention of lung adenocarcinoma (LUAD). Remarkably, drawing upon the intriguing relationship observed between deep vein thrombosis (DVT) and tumors, it was hypothesized that surveillance of DVT might prove valuable in the prevention of COAD. Additionally, we noted a disparity in risk for various cancers, including lung, breast, colorectal, ovarian, prostate, and pancreatic, consequent to the utilization of drugs for these aforementioned diseases. Among our identified drug targets, we carefully sifted through and diligently analyzed three pivotal genes, namely HMGCR, INSR, and NR3C1, fostering the prospect of formulating novel, tumor-targeted therapeutics. However, our investigation yielded insufficient evidence to confirm any mediating effects of glycated hemoglobin (HbA1c), hemoglobin-gastric, D-dimer, and renin on the associations between HTN, anemia, DVT, DM, and pan-cancer.</w:t>
            </w:r>
          </w:p>
          <w:p>
            <w:pPr>
              <w:spacing w:before="96" w:beforeLines="40" w:after="96" w:afterLines="40" w:line="24" w:lineRule="atLeast"/>
              <w:rPr>
                <w:rFonts w:hint="eastAsia" w:eastAsia="宋体"/>
                <w:sz w:val="18"/>
                <w:szCs w:val="18"/>
                <w:lang w:val="en-US" w:eastAsia="zh-CN"/>
              </w:rPr>
            </w:pPr>
            <w:r>
              <w:rPr>
                <w:rFonts w:hint="eastAsia" w:eastAsia="Times New Roman"/>
                <w:sz w:val="18"/>
                <w:szCs w:val="18"/>
                <w:lang w:val="en-GB" w:eastAsia="en-GB"/>
              </w:rPr>
              <w:t>Conclusions: The present study unveils the intricate web of causal associations between blood-related indicators, the diseases they manifest, and medication utilization, all of which significantly impact the development of cancer. Notably, the potential for utilizing blood-related indicators as pioneering biomarkers for cancer prediction and prevention is underscored, showcasing a remarkable avenue for advancing PPPM strategies in the field of oncology. This seminal investigation serves as a beacon of novel insight, engendering the construction of refined and tailored approaches to combat the formidable challenge of cancer.</w:t>
            </w:r>
            <w:r>
              <w:rPr>
                <w:rFonts w:hint="default" w:eastAsia="宋体"/>
                <w:sz w:val="18"/>
                <w:szCs w:val="18"/>
                <w:lang w:val="en-US" w:eastAsia="zh-CN"/>
              </w:rPr>
              <w:t>”</w:t>
            </w: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INTRODUCTION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Background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the scientific background and rationale for the reported study. What is the exposure? Is a potential causal relationship between exposure and outcome plausible? Justify why MR is a helpful method to address the study question</w:t>
            </w:r>
          </w:p>
        </w:tc>
        <w:tc>
          <w:tcPr>
            <w:tcW w:w="72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2-3</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hint="default" w:eastAsia="宋体"/>
                <w:sz w:val="18"/>
                <w:szCs w:val="18"/>
                <w:lang w:val="en-US" w:eastAsia="zh-CN"/>
              </w:rPr>
              <w:t>“</w:t>
            </w:r>
            <w:r>
              <w:rPr>
                <w:rFonts w:hint="eastAsia" w:eastAsia="Times New Roman"/>
                <w:sz w:val="18"/>
                <w:szCs w:val="18"/>
                <w:lang w:val="en-GB" w:eastAsia="en-GB"/>
              </w:rPr>
              <w:t>Cancer, a major global health concern, continues to impose escalating incidence and mortality rates worldwide. With an estimated 1,958,310 new cases and 609,820 deaths projected in the United States alone for 2023[1], the urgency to identify individuals at high risk of developing tumors and implement effective preventive measures becomes increasingly paramount. Recognizing blood as a valuable domain for disease surveillance, the utilization of blood-specific biomarkers holds significant potential in monitoring cancer progression[2]Notably, prior studies have unraveled associations between these indicators, diseases, and medications with tumor formation. For instance, patients with hypertension (HTN) display an elevated risk of developing breast carcinoma (BRCA)[3], while the renin-angiotensin system(RAS) axes intricately contribute to the pathogenesis of pediatric malignancies[4]…”</w:t>
            </w:r>
          </w:p>
        </w:tc>
      </w:tr>
      <w:tr>
        <w:tblPrEx>
          <w:tblCellMar>
            <w:top w:w="0" w:type="dxa"/>
            <w:left w:w="108" w:type="dxa"/>
            <w:bottom w:w="0" w:type="dxa"/>
            <w:right w:w="108" w:type="dxa"/>
          </w:tblCellMar>
        </w:tblPrEx>
        <w:tc>
          <w:tcPr>
            <w:tcW w:w="587" w:type="dxa"/>
            <w:tcBorders>
              <w:bottom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3</w:t>
            </w:r>
          </w:p>
        </w:tc>
        <w:tc>
          <w:tcPr>
            <w:tcW w:w="1822" w:type="dxa"/>
            <w:tcBorders>
              <w:bottom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Objectives</w:t>
            </w:r>
          </w:p>
        </w:tc>
        <w:tc>
          <w:tcPr>
            <w:tcW w:w="7041" w:type="dxa"/>
            <w:tcBorders>
              <w:bottom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color="7F7F7F" w:sz="6" w:space="0"/>
            </w:tcBorders>
          </w:tcPr>
          <w:p>
            <w:pPr>
              <w:spacing w:before="96" w:beforeLines="40" w:after="96" w:afterLines="40" w:line="24" w:lineRule="atLeast"/>
              <w:rPr>
                <w:rFonts w:eastAsia="Times New Roman"/>
                <w:sz w:val="18"/>
                <w:szCs w:val="18"/>
                <w:lang w:val="en-GB" w:eastAsia="en-GB"/>
              </w:rPr>
            </w:pPr>
          </w:p>
        </w:tc>
        <w:tc>
          <w:tcPr>
            <w:tcW w:w="4320" w:type="dxa"/>
            <w:tcBorders>
              <w:bottom w:val="single" w:color="7F7F7F" w:sz="6" w:space="0"/>
            </w:tcBorders>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tcBorders>
              <w:top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METHODS</w:t>
            </w:r>
          </w:p>
        </w:tc>
        <w:tc>
          <w:tcPr>
            <w:tcW w:w="7041"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4</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Study design and data sources</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pPr>
              <w:spacing w:before="96" w:beforeLines="40" w:after="96" w:afterLines="40" w:line="24" w:lineRule="atLeast"/>
              <w:rPr>
                <w:rFonts w:hint="eastAsia" w:eastAsia="宋体"/>
                <w:sz w:val="18"/>
                <w:szCs w:val="18"/>
                <w:lang w:val="en-US" w:eastAsia="zh-CN"/>
              </w:rPr>
            </w:pPr>
          </w:p>
        </w:tc>
        <w:tc>
          <w:tcPr>
            <w:tcW w:w="4320" w:type="dxa"/>
          </w:tcPr>
          <w:p>
            <w:pPr>
              <w:spacing w:before="96" w:beforeLines="40" w:after="96" w:afterLines="40" w:line="24" w:lineRule="atLeast"/>
              <w:rPr>
                <w:rFonts w:hint="default" w:eastAsia="宋体"/>
                <w:sz w:val="18"/>
                <w:szCs w:val="18"/>
                <w:lang w:val="en-US" w:eastAsia="zh-CN"/>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shd w:val="clear" w:color="auto" w:fill="FFFFFF"/>
                <w:lang w:val="en-GB" w:eastAsia="en-GB"/>
              </w:rPr>
              <w:t xml:space="preserve">Setting: </w:t>
            </w:r>
            <w:r>
              <w:rPr>
                <w:rFonts w:eastAsia="Times New Roman"/>
                <w:sz w:val="18"/>
                <w:szCs w:val="18"/>
                <w:lang w:val="en-GB" w:eastAsia="en-GB"/>
              </w:rPr>
              <w:t xml:space="preserve">Describe the study design and the underlying population, if possible. </w:t>
            </w:r>
            <w:r>
              <w:rPr>
                <w:rFonts w:eastAsia="Times New Roman"/>
                <w:sz w:val="18"/>
                <w:szCs w:val="18"/>
                <w:shd w:val="clear" w:color="auto" w:fill="FFFFFF"/>
                <w:lang w:val="en-GB" w:eastAsia="en-GB"/>
              </w:rPr>
              <w:t xml:space="preserve">Describe the setting, locations, and relevant dates, including periods </w:t>
            </w:r>
            <w:r>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pPr>
              <w:spacing w:before="96" w:beforeLines="40" w:after="96" w:afterLines="40" w:line="24" w:lineRule="atLeast"/>
              <w:rPr>
                <w:rFonts w:hint="default" w:eastAsia="宋体"/>
                <w:sz w:val="18"/>
                <w:szCs w:val="18"/>
                <w:shd w:val="clear" w:color="auto" w:fill="FFFFFF"/>
                <w:lang w:val="en-US" w:eastAsia="zh-CN"/>
              </w:rPr>
            </w:pPr>
            <w:r>
              <w:rPr>
                <w:rFonts w:hint="eastAsia" w:eastAsia="宋体"/>
                <w:sz w:val="18"/>
                <w:szCs w:val="18"/>
                <w:lang w:val="en-US" w:eastAsia="zh-CN"/>
              </w:rPr>
              <w:t>4</w:t>
            </w:r>
          </w:p>
        </w:tc>
        <w:tc>
          <w:tcPr>
            <w:tcW w:w="4320" w:type="dxa"/>
            <w:shd w:val="clear" w:color="auto" w:fill="EEEEEE"/>
          </w:tcPr>
          <w:p>
            <w:pPr>
              <w:spacing w:before="96" w:beforeLines="40" w:after="96" w:afterLines="40" w:line="24" w:lineRule="atLeast"/>
              <w:rPr>
                <w:rFonts w:hint="default" w:eastAsia="宋体"/>
                <w:sz w:val="18"/>
                <w:szCs w:val="18"/>
                <w:shd w:val="clear" w:color="auto" w:fill="FFFFFF"/>
                <w:lang w:val="en-US" w:eastAsia="zh-CN"/>
              </w:rPr>
            </w:pPr>
            <w:r>
              <w:rPr>
                <w:rFonts w:hint="default" w:eastAsia="宋体"/>
                <w:sz w:val="18"/>
                <w:szCs w:val="18"/>
                <w:lang w:val="en-US" w:eastAsia="zh-CN"/>
              </w:rPr>
              <w:t>“</w:t>
            </w:r>
            <w:r>
              <w:rPr>
                <w:rFonts w:hint="eastAsia" w:eastAsia="Times New Roman"/>
                <w:sz w:val="18"/>
                <w:szCs w:val="18"/>
                <w:lang w:val="en-GB" w:eastAsia="en-GB"/>
              </w:rPr>
              <w:t xml:space="preserve">In order to enhance the scientific and writing standardization of the analysis of the MR study, we employed the STROBE-MR guidelines to design our study [18]. Firstly, we implemented a two-sample MR method to investigate the association between 152 blood-related exposures and pan-cancer. Subsequently, we employed the mediating MR method to explore potential associations between the disease indicated by the significant outcome and tumors. For medications that potentially impact tumors as indicated by the significant outcome, we conducted a two-sample MR analysis to examine the causal associations between cis-eQTLs of drug target genes and pan-cancer. Finally, we employed bioinformatic tools to explore the potential impact of drug target genes on tumorigenesis. </w:t>
            </w:r>
            <w:r>
              <w:rPr>
                <w:rFonts w:hint="default" w:eastAsia="宋体"/>
                <w:sz w:val="18"/>
                <w:szCs w:val="18"/>
                <w:lang w:val="en-US" w:eastAsia="zh-CN"/>
              </w:rPr>
              <w:t>”</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 xml:space="preserve">Participants: Give the eligibility criteria, and the sources and methods of selection of participants. </w:t>
            </w:r>
            <w:r>
              <w:rPr>
                <w:rFonts w:eastAsia="Times New Roman"/>
                <w:color w:val="000000"/>
                <w:sz w:val="18"/>
                <w:szCs w:val="18"/>
              </w:rPr>
              <w:t>Report the sample size, and whether any power or sample size calculations were carried out prior to the main analysis</w:t>
            </w:r>
            <w:r>
              <w:rPr>
                <w:rFonts w:eastAsia="Times New Roman"/>
                <w:sz w:val="18"/>
                <w:szCs w:val="18"/>
                <w:lang w:val="en-GB" w:eastAsia="en-GB"/>
              </w:rPr>
              <w:t> </w:t>
            </w:r>
          </w:p>
        </w:tc>
        <w:tc>
          <w:tcPr>
            <w:tcW w:w="720" w:type="dxa"/>
          </w:tcPr>
          <w:p>
            <w:pPr>
              <w:spacing w:before="96" w:beforeLines="40" w:after="96" w:afterLines="40" w:line="24" w:lineRule="atLeast"/>
              <w:textAlignment w:val="baseline"/>
              <w:rPr>
                <w:rFonts w:hint="eastAsia" w:eastAsia="宋体"/>
                <w:sz w:val="18"/>
                <w:szCs w:val="18"/>
                <w:shd w:val="clear" w:color="auto" w:fill="FFFFFF"/>
                <w:lang w:val="en-US" w:eastAsia="zh-CN"/>
              </w:rPr>
            </w:pPr>
            <w:r>
              <w:rPr>
                <w:rFonts w:hint="eastAsia" w:eastAsia="宋体"/>
                <w:sz w:val="18"/>
                <w:szCs w:val="18"/>
                <w:shd w:val="clear" w:color="auto" w:fill="FFFFFF"/>
                <w:lang w:val="en-US" w:eastAsia="zh-CN"/>
              </w:rPr>
              <w:t>5</w:t>
            </w:r>
          </w:p>
        </w:tc>
        <w:tc>
          <w:tcPr>
            <w:tcW w:w="4320" w:type="dxa"/>
          </w:tcPr>
          <w:p>
            <w:pPr>
              <w:spacing w:before="96" w:beforeLines="40" w:after="96" w:afterLines="40" w:line="24" w:lineRule="atLeast"/>
              <w:textAlignment w:val="baseline"/>
              <w:rPr>
                <w:rFonts w:eastAsia="Times New Roman"/>
                <w:sz w:val="18"/>
                <w:szCs w:val="18"/>
                <w:shd w:val="clear" w:color="auto" w:fill="FFFFFF"/>
                <w:lang w:val="en-GB" w:eastAsia="en-GB"/>
              </w:rPr>
            </w:pPr>
            <w:r>
              <w:rPr>
                <w:rFonts w:hint="default" w:eastAsia="宋体"/>
                <w:sz w:val="18"/>
                <w:szCs w:val="18"/>
                <w:shd w:val="clear" w:color="auto" w:fill="FFFFFF"/>
                <w:lang w:val="en-US" w:eastAsia="zh-CN"/>
              </w:rPr>
              <w:t>“We conducted a comprehensive search on the IEU OpenGWAS (https://gwas.mrcieu.ac.uk/) platform, utilizing the keyword "blood," to acquire the genome-wide association studies (GWAS) summary-level data pertaining to blood-related exposures. Additionally, we acquired the GWAS summary-level data focusing on pan-cancer (26 different types of cancer) from esteemed sources including IEU OpenGWAS, UK Biobank (https://www.ukbiobank.ac.uk/), FinnGen (https://www.finngen.fi/en), and Biobank Japan (https://biobankjp.org/en/). A comprehensive overview of the GWAS cohorts involved in our study is presented in Table S1 of the Supplementary Material.”</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measurement, quality control and selection of genetic variants</w:t>
            </w:r>
          </w:p>
        </w:tc>
        <w:tc>
          <w:tcPr>
            <w:tcW w:w="7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宋体"/>
                <w:sz w:val="18"/>
                <w:szCs w:val="18"/>
                <w:shd w:val="clear" w:color="auto" w:fill="FFFFFF"/>
                <w:lang w:val="en-US" w:eastAsia="zh-CN"/>
              </w:rPr>
              <w:t>5</w:t>
            </w:r>
          </w:p>
        </w:tc>
        <w:tc>
          <w:tcPr>
            <w:tcW w:w="4320" w:type="dxa"/>
            <w:shd w:val="clear" w:color="auto" w:fill="EEEEEE"/>
          </w:tcPr>
          <w:p>
            <w:pPr>
              <w:spacing w:before="96" w:beforeLines="40" w:after="96" w:afterLines="40" w:line="24" w:lineRule="atLeast"/>
              <w:rPr>
                <w:rFonts w:hint="eastAsia" w:eastAsia="宋体"/>
                <w:sz w:val="18"/>
                <w:szCs w:val="18"/>
                <w:lang w:val="en-US" w:eastAsia="zh-CN"/>
              </w:rPr>
            </w:pPr>
            <w:r>
              <w:rPr>
                <w:rFonts w:hint="default" w:eastAsia="宋体"/>
                <w:sz w:val="18"/>
                <w:szCs w:val="18"/>
                <w:lang w:val="en-US" w:eastAsia="zh-CN"/>
              </w:rPr>
              <w:t>“</w:t>
            </w:r>
            <w:r>
              <w:rPr>
                <w:rFonts w:hint="eastAsia" w:eastAsia="Times New Roman"/>
                <w:sz w:val="18"/>
                <w:szCs w:val="18"/>
                <w:lang w:val="en-GB" w:eastAsia="en-GB"/>
              </w:rPr>
              <w:t>To ensure the robustness and reliability of our study, we incorporated 152 data points from blood-related GWAS as exposures. However, we excluded GWAS data points with an insufficient number of single nucleotide polymorphisms (SNPs), utilizing a locus-wide significance threshold of P&lt;5e-6, thus retaining only SNPs that exhibit a significant association with the blood-related exposures. To ensure the inclusion of independent SNPs while excluding those in strong linkage disequilibrium (LD), we conducted a careful LD clumping procedure for all instrumental variables (IVs), employing an LD threshold of r2=0.001 and a clumping window of 10,000 kb. Similar LD clumping strategies were employed for the drug target gene cis-eQTL, maintaining consistency with the aforementioned parameters (r2=0.001, clumping window: 10,000 kb).</w:t>
            </w:r>
            <w:r>
              <w:rPr>
                <w:rFonts w:hint="default" w:eastAsia="宋体"/>
                <w:sz w:val="18"/>
                <w:szCs w:val="18"/>
                <w:lang w:val="en-US" w:eastAsia="zh-CN"/>
              </w:rPr>
              <w:t>”</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pPr>
              <w:spacing w:before="96" w:beforeLines="40" w:after="96" w:afterLines="40" w:line="24" w:lineRule="atLeast"/>
              <w:textAlignment w:val="baseline"/>
              <w:rPr>
                <w:rFonts w:hint="eastAsia" w:eastAsia="宋体"/>
                <w:sz w:val="18"/>
                <w:szCs w:val="18"/>
                <w:shd w:val="clear" w:color="auto" w:fill="FFFFFF"/>
                <w:lang w:val="en-US" w:eastAsia="zh-CN"/>
              </w:rPr>
            </w:pPr>
            <w:r>
              <w:rPr>
                <w:rFonts w:hint="eastAsia" w:eastAsia="宋体"/>
                <w:sz w:val="18"/>
                <w:szCs w:val="18"/>
                <w:shd w:val="clear" w:color="auto" w:fill="FFFFFF"/>
                <w:lang w:val="en-US" w:eastAsia="zh-CN"/>
              </w:rPr>
              <w:t>5</w:t>
            </w:r>
          </w:p>
        </w:tc>
        <w:tc>
          <w:tcPr>
            <w:tcW w:w="4320" w:type="dxa"/>
          </w:tcPr>
          <w:p>
            <w:pPr>
              <w:spacing w:before="96" w:beforeLines="40" w:after="96" w:afterLines="40" w:line="24" w:lineRule="atLeast"/>
              <w:textAlignment w:val="baseline"/>
              <w:rPr>
                <w:rFonts w:eastAsia="Times New Roman"/>
                <w:sz w:val="18"/>
                <w:szCs w:val="18"/>
                <w:shd w:val="clear" w:color="auto" w:fill="FFFFFF"/>
                <w:lang w:val="en-GB" w:eastAsia="en-GB"/>
              </w:rPr>
            </w:pPr>
            <w:r>
              <w:rPr>
                <w:rFonts w:hint="default" w:eastAsia="宋体"/>
                <w:sz w:val="18"/>
                <w:szCs w:val="18"/>
                <w:shd w:val="clear" w:color="auto" w:fill="FFFFFF"/>
                <w:lang w:val="en-US" w:eastAsia="zh-CN"/>
              </w:rPr>
              <w:t>Additionally, we acquired the GWAS summary-level data focusing on pan-cancer (26 different types of cancer) from esteemed sources including IEU OpenGWAS, UK Biobank (https://www.ukbiobank.ac.uk/), FinnGen (https://www.finngen.fi/en), and Biobank Japan (https://biobankjp.org/en/). A comprehensive overview of the GWAS cohorts involved in our study is presented in Table S1 of the Supplementary Material.”</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EEEEEE"/>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pPr>
              <w:spacing w:before="96" w:beforeLines="40" w:after="96" w:afterLines="40" w:line="24" w:lineRule="atLeast"/>
              <w:textAlignment w:val="baseline"/>
              <w:rPr>
                <w:rFonts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NA</w:t>
            </w:r>
          </w:p>
        </w:tc>
        <w:tc>
          <w:tcPr>
            <w:tcW w:w="4320" w:type="dxa"/>
            <w:shd w:val="clear" w:color="auto" w:fill="EEEEEE"/>
          </w:tcPr>
          <w:p>
            <w:pPr>
              <w:spacing w:before="96" w:beforeLines="40" w:after="96" w:afterLines="40" w:line="24" w:lineRule="atLeast"/>
              <w:ind w:firstLine="385" w:firstLineChars="0"/>
              <w:textAlignment w:val="baseline"/>
              <w:rPr>
                <w:rFonts w:eastAsia="Times New Roman"/>
                <w:sz w:val="18"/>
                <w:szCs w:val="18"/>
                <w:shd w:val="clear" w:color="auto" w:fill="FFFFFF"/>
                <w:lang w:val="en-GB" w:eastAsia="en-GB"/>
              </w:rPr>
            </w:pPr>
            <w:r>
              <w:rPr>
                <w:rFonts w:eastAsia="Times New Roman"/>
                <w:sz w:val="18"/>
                <w:szCs w:val="18"/>
                <w:lang w:val="en-GB" w:eastAsia="en-GB"/>
              </w:rPr>
              <w:t>NA</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5</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Assumptions</w:t>
            </w:r>
          </w:p>
          <w:p>
            <w:pPr>
              <w:spacing w:before="96" w:beforeLines="40" w:after="96" w:afterLines="40" w:line="24" w:lineRule="atLeast"/>
              <w:jc w:val="center"/>
              <w:rPr>
                <w:rFonts w:eastAsia="Cambria"/>
                <w:sz w:val="18"/>
                <w:szCs w:val="18"/>
                <w:lang w:val="en-GB" w:eastAsia="en-US"/>
              </w:rPr>
            </w:pP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I</w:t>
            </w:r>
            <w:bookmarkStart w:id="0" w:name="_GoBack"/>
            <w:bookmarkEnd w:id="0"/>
            <w:r>
              <w:rPr>
                <w:rFonts w:hint="eastAsia" w:eastAsia="Times New Roman"/>
                <w:sz w:val="18"/>
                <w:szCs w:val="18"/>
                <w:lang w:val="en-GB" w:eastAsia="en-GB"/>
              </w:rPr>
              <w:t>nitially, we investigated the causal relationship between blood-related exposures and pan-cancer using two distinct MR approaches: inverse variance weighted (IVW), MR Egger, and weighted mode. The MR Egger method was employed to assess horizontal pleiotropy and evaluate the robustness of our findings. Robustness was deemed satisfactory when the p-value derived from IVW or weighted mode was less than 0.05, and the p-value obtained from MR Egger was greater than 0.05. In order to provide preliminary assessment of causal associations, results derived from the IVW method were utilized due to its superior estimation precision and test efficacy in the absence of horizontal pleiotropy among instrumental variables (IVs)[19].</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6</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Statistical methods: main analysis</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statistical methods and statistics used</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quantitative variables were handled in the analyses (i.e., scale, units, model)</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how missing data were addressed</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applicable, indicate how multiple testing was addressed</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7</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pPr>
              <w:tabs>
                <w:tab w:val="left" w:pos="162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methods or prior knowledge used to assess the assumptions or justify their validity</w:t>
            </w:r>
            <w:r>
              <w:rPr>
                <w:rFonts w:eastAsia="Cambria"/>
                <w:sz w:val="18"/>
                <w:szCs w:val="18"/>
                <w:lang w:val="en-GB" w:eastAsia="en-US"/>
              </w:rPr>
              <w:tab/>
            </w:r>
          </w:p>
        </w:tc>
        <w:tc>
          <w:tcPr>
            <w:tcW w:w="720" w:type="dxa"/>
            <w:shd w:val="clear" w:color="auto" w:fill="EEEEEE"/>
          </w:tcPr>
          <w:p>
            <w:pPr>
              <w:tabs>
                <w:tab w:val="left" w:pos="1620"/>
              </w:tabs>
              <w:spacing w:before="96" w:beforeLines="40" w:after="96" w:afterLines="40" w:line="24" w:lineRule="atLeast"/>
              <w:rPr>
                <w:rFonts w:eastAsia="Times New Roman"/>
                <w:sz w:val="18"/>
                <w:szCs w:val="18"/>
                <w:lang w:val="en-GB" w:eastAsia="en-GB"/>
              </w:rPr>
            </w:pPr>
          </w:p>
        </w:tc>
        <w:tc>
          <w:tcPr>
            <w:tcW w:w="4320" w:type="dxa"/>
            <w:shd w:val="clear" w:color="auto" w:fill="EEEEEE"/>
          </w:tcPr>
          <w:p>
            <w:pPr>
              <w:tabs>
                <w:tab w:val="left" w:pos="1620"/>
              </w:tabs>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8</w:t>
            </w:r>
          </w:p>
        </w:tc>
        <w:tc>
          <w:tcPr>
            <w:tcW w:w="1822" w:type="dxa"/>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Sensitivity analyses and additional analyses</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9</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Software and pre-registration</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sz w:val="18"/>
                <w:szCs w:val="18"/>
                <w:lang w:val="en-GB" w:eastAsia="en-US"/>
              </w:rPr>
            </w:pPr>
          </w:p>
        </w:tc>
        <w:tc>
          <w:tcPr>
            <w:tcW w:w="4320"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Name statistical software and package(s), including version and settings used </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tcBorders>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whether the study protocol and details were pre-registered (as well as when and where)</w:t>
            </w:r>
          </w:p>
        </w:tc>
        <w:tc>
          <w:tcPr>
            <w:tcW w:w="7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p>
        </w:tc>
        <w:tc>
          <w:tcPr>
            <w:tcW w:w="43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RESULTS</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10</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Descriptive data</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sz w:val="18"/>
                <w:szCs w:val="18"/>
                <w:lang w:val="en-GB" w:eastAsia="en-US"/>
              </w:rPr>
            </w:pPr>
          </w:p>
        </w:tc>
        <w:tc>
          <w:tcPr>
            <w:tcW w:w="4320"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numbers of individuals at each stage of included studies and reasons for exclusion. Consider use of a flow diagram</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summary statistics for phenotypic exposure(s), outcome(s), and other relevant variables (e.g. means, SDs, proportions)</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the data sources include meta-analyses of previous studies, provide the assessments of heterogeneity across these studies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For </w:t>
            </w:r>
            <w:r>
              <w:rPr>
                <w:rFonts w:eastAsia="Times New Roman"/>
                <w:iCs/>
                <w:sz w:val="18"/>
                <w:szCs w:val="18"/>
                <w:lang w:val="en-GB" w:eastAsia="en-GB"/>
              </w:rPr>
              <w:t>two-sample</w:t>
            </w:r>
            <w:r>
              <w:rPr>
                <w:rFonts w:eastAsia="Times New Roman"/>
                <w:sz w:val="18"/>
                <w:szCs w:val="18"/>
                <w:lang w:val="en-GB" w:eastAsia="en-GB"/>
              </w:rPr>
              <w:t xml:space="preserve"> MR:</w:t>
            </w:r>
          </w:p>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   i.  Provide justification of the similarity of the genetic variant-exposure associations between the exposure and outcome samples</w:t>
            </w:r>
          </w:p>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11</w:t>
            </w:r>
          </w:p>
        </w:tc>
        <w:tc>
          <w:tcPr>
            <w:tcW w:w="1822" w:type="dxa"/>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Main results</w:t>
            </w:r>
          </w:p>
        </w:tc>
        <w:tc>
          <w:tcPr>
            <w:tcW w:w="7041" w:type="dxa"/>
            <w:shd w:val="clear" w:color="auto" w:fill="auto"/>
          </w:tcPr>
          <w:p>
            <w:pPr>
              <w:spacing w:before="96" w:beforeLines="40" w:after="96" w:afterLines="40" w:line="24" w:lineRule="atLeast"/>
              <w:rPr>
                <w:rFonts w:eastAsia="Cambria"/>
                <w:sz w:val="18"/>
                <w:szCs w:val="18"/>
                <w:lang w:val="en-GB" w:eastAsia="en-US"/>
              </w:rPr>
            </w:pPr>
          </w:p>
        </w:tc>
        <w:tc>
          <w:tcPr>
            <w:tcW w:w="720" w:type="dxa"/>
          </w:tcPr>
          <w:p>
            <w:pPr>
              <w:spacing w:before="96" w:beforeLines="40" w:after="96" w:afterLines="40" w:line="24" w:lineRule="atLeast"/>
              <w:rPr>
                <w:rFonts w:eastAsia="Cambria"/>
                <w:sz w:val="18"/>
                <w:szCs w:val="18"/>
                <w:lang w:val="en-GB" w:eastAsia="en-US"/>
              </w:rPr>
            </w:pPr>
          </w:p>
        </w:tc>
        <w:tc>
          <w:tcPr>
            <w:tcW w:w="4320" w:type="dxa"/>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MR estimates of the relationship between exposure and outcome, and the measures of uncertainty from the MR analysis, on an interpretable scale, such as odds ratio or relative risk per SD difference</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12</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sz w:val="18"/>
                <w:szCs w:val="18"/>
                <w:lang w:val="en-GB" w:eastAsia="en-US"/>
              </w:rPr>
            </w:pPr>
          </w:p>
        </w:tc>
        <w:tc>
          <w:tcPr>
            <w:tcW w:w="4320"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assessment of the validity of the assumptions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Report any additional statistics (e.g., assessments of heterogeneity </w:t>
            </w:r>
            <w:r>
              <w:rPr>
                <w:rFonts w:eastAsia="Times New Roman"/>
                <w:sz w:val="18"/>
                <w:szCs w:val="18"/>
                <w:lang w:eastAsia="en-GB"/>
              </w:rPr>
              <w:t>across genetic variants</w:t>
            </w:r>
            <w:r>
              <w:rPr>
                <w:rFonts w:eastAsia="Times New Roman"/>
                <w:sz w:val="18"/>
                <w:szCs w:val="18"/>
                <w:lang w:val="en-GB" w:eastAsia="en-GB"/>
              </w:rPr>
              <w:t xml:space="preserve">, such as </w:t>
            </w:r>
            <w:r>
              <w:rPr>
                <w:rFonts w:eastAsia="Times New Roman"/>
                <w:i/>
                <w:sz w:val="18"/>
                <w:szCs w:val="18"/>
                <w:lang w:val="en-GB" w:eastAsia="en-GB"/>
              </w:rPr>
              <w:t>I</w:t>
            </w:r>
            <w:r>
              <w:rPr>
                <w:rFonts w:eastAsia="Times New Roman"/>
                <w:i/>
                <w:sz w:val="18"/>
                <w:szCs w:val="18"/>
                <w:vertAlign w:val="superscript"/>
                <w:lang w:val="en-GB" w:eastAsia="en-GB"/>
              </w:rPr>
              <w:t>2</w:t>
            </w:r>
            <w:r>
              <w:rPr>
                <w:rFonts w:eastAsia="Times New Roman"/>
                <w:sz w:val="18"/>
                <w:szCs w:val="18"/>
                <w:lang w:val="en-GB" w:eastAsia="en-GB"/>
              </w:rPr>
              <w:t>, Q statistic or E-value)</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13</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Sensitivity analyses and additional analyses</w:t>
            </w:r>
          </w:p>
        </w:tc>
        <w:tc>
          <w:tcPr>
            <w:tcW w:w="7041" w:type="dxa"/>
            <w:shd w:val="clear" w:color="auto" w:fill="auto"/>
          </w:tcPr>
          <w:p>
            <w:pPr>
              <w:spacing w:before="96" w:beforeLines="40" w:after="96" w:afterLines="40" w:line="24" w:lineRule="atLeast"/>
              <w:rPr>
                <w:rFonts w:eastAsia="Cambria"/>
                <w:sz w:val="18"/>
                <w:szCs w:val="18"/>
                <w:lang w:val="en-GB" w:eastAsia="en-US"/>
              </w:rPr>
            </w:pPr>
          </w:p>
        </w:tc>
        <w:tc>
          <w:tcPr>
            <w:tcW w:w="720" w:type="dxa"/>
          </w:tcPr>
          <w:p>
            <w:pPr>
              <w:spacing w:before="96" w:beforeLines="40" w:after="96" w:afterLines="40" w:line="24" w:lineRule="atLeast"/>
              <w:rPr>
                <w:rFonts w:eastAsia="Cambria"/>
                <w:sz w:val="18"/>
                <w:szCs w:val="18"/>
                <w:lang w:val="en-GB" w:eastAsia="en-US"/>
              </w:rPr>
            </w:pPr>
          </w:p>
        </w:tc>
        <w:tc>
          <w:tcPr>
            <w:tcW w:w="4320" w:type="dxa"/>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results from other sensitivity analyses or additional analyses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any assessment of direction of causal relationship (e.g., bidirectional MR)</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When relevant, report and compare with estimates from non-MR analyses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Consider additional plots to visualize results (e.g., leave-one-out analyses)</w:t>
            </w:r>
          </w:p>
        </w:tc>
        <w:tc>
          <w:tcPr>
            <w:tcW w:w="7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p>
        </w:tc>
        <w:tc>
          <w:tcPr>
            <w:tcW w:w="43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DISCUSSION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14</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Key results </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Summarize key results with reference to study objectives</w:t>
            </w:r>
          </w:p>
        </w:tc>
        <w:tc>
          <w:tcPr>
            <w:tcW w:w="72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20-21</w:t>
            </w:r>
          </w:p>
        </w:tc>
        <w:tc>
          <w:tcPr>
            <w:tcW w:w="4320" w:type="dxa"/>
            <w:shd w:val="clear" w:color="auto" w:fill="EEEEEE"/>
          </w:tcPr>
          <w:p>
            <w:pPr>
              <w:spacing w:before="96" w:beforeLines="40" w:after="96" w:afterLines="40" w:line="24" w:lineRule="atLeast"/>
              <w:rPr>
                <w:rFonts w:hint="eastAsia" w:ascii="Arial" w:hAnsi="Arial" w:eastAsia="Times New Roman" w:cs="Arial"/>
                <w:sz w:val="18"/>
                <w:szCs w:val="18"/>
                <w:lang w:val="en-US" w:eastAsia="zh-CN"/>
              </w:rPr>
            </w:pPr>
            <w:r>
              <w:rPr>
                <w:rFonts w:hint="default" w:ascii="Arial" w:hAnsi="Arial" w:eastAsia="Times New Roman" w:cs="Arial"/>
                <w:sz w:val="18"/>
                <w:szCs w:val="18"/>
                <w:lang w:val="en-US" w:eastAsia="zh-CN"/>
              </w:rPr>
              <w:t>“</w:t>
            </w:r>
            <w:r>
              <w:rPr>
                <w:rFonts w:hint="eastAsia" w:ascii="Arial" w:hAnsi="Arial" w:eastAsia="Times New Roman" w:cs="Arial"/>
                <w:sz w:val="18"/>
                <w:szCs w:val="18"/>
                <w:lang w:val="en-GB" w:eastAsia="en-GB"/>
              </w:rPr>
              <w:t xml:space="preserve">Our study represents a prospective investigation into pan-cancer development, utilizing </w:t>
            </w:r>
            <w:r>
              <w:rPr>
                <w:rFonts w:hint="eastAsia" w:ascii="Arial" w:hAnsi="Arial" w:eastAsia="Times New Roman" w:cs="Arial"/>
                <w:sz w:val="18"/>
                <w:szCs w:val="18"/>
                <w:lang w:val="en-GB" w:eastAsia="zh-CN"/>
              </w:rPr>
              <w:t>blood</w:t>
            </w:r>
            <w:r>
              <w:rPr>
                <w:rFonts w:hint="eastAsia" w:ascii="Arial" w:hAnsi="Arial" w:eastAsia="Times New Roman" w:cs="Arial"/>
                <w:sz w:val="18"/>
                <w:szCs w:val="18"/>
                <w:lang w:val="en-GB" w:eastAsia="en-GB"/>
              </w:rPr>
              <w:t xml:space="preserve"> indicators. It stands as the most extensive study to date within this field. Not only do our findings validate the outcomes of preceding studies, but they also go beyond them, owing to our comprehensive population sample and unparalleled systematic approach. By employing MR and bioinformatics, we have discovered that </w:t>
            </w:r>
            <w:r>
              <w:rPr>
                <w:rFonts w:hint="eastAsia" w:ascii="Arial" w:hAnsi="Arial" w:eastAsia="Times New Roman" w:cs="Arial"/>
                <w:sz w:val="18"/>
                <w:szCs w:val="18"/>
                <w:lang w:val="en-GB" w:eastAsia="zh-CN"/>
              </w:rPr>
              <w:t>blood</w:t>
            </w:r>
            <w:r>
              <w:rPr>
                <w:rFonts w:hint="eastAsia" w:ascii="Arial" w:hAnsi="Arial" w:eastAsia="Times New Roman" w:cs="Arial"/>
                <w:sz w:val="18"/>
                <w:szCs w:val="18"/>
                <w:lang w:val="en-GB" w:eastAsia="en-GB"/>
              </w:rPr>
              <w:t xml:space="preserve"> monitoring of patients with HTN, anemia, DVT, and DM aids in unraveling cancer PPPM in this specific population. Moreover, our research unveils the consequences of long-term medication, encompassing lipid-lowering drugs,</w:t>
            </w:r>
            <w:r>
              <w:rPr>
                <w:rFonts w:hint="eastAsia" w:ascii="Arial" w:hAnsi="Arial" w:eastAsia="Times New Roman" w:cs="Arial"/>
                <w:sz w:val="18"/>
                <w:szCs w:val="18"/>
                <w:lang w:val="en-US" w:eastAsia="zh-CN"/>
              </w:rPr>
              <w:t xml:space="preserve"> </w:t>
            </w:r>
            <w:r>
              <w:rPr>
                <w:rFonts w:hint="eastAsia" w:ascii="Arial" w:hAnsi="Arial" w:eastAsia="Times New Roman" w:cs="Arial"/>
                <w:sz w:val="18"/>
                <w:szCs w:val="18"/>
                <w:lang w:val="en-GB" w:eastAsia="en-GB"/>
              </w:rPr>
              <w:t>oral contraceptive drugs, insulin, and hormones, regarding pan-cancer progression. Thus, it offers novel perspectives pan-cancer prognostication and fosters innovative approaches in pan-cancer therapeutics. This seminal contribution has granted substantial dividends in terms of predicting and preventing pertinent malignancies, as well as providing new strategies for pan-cancer treatment. Notably, we have successfully identified 3 crucial targets within the aforementioned medications, thereby establishing a theoretical groundwork for the advancement of targeted pan-cancer therapy.</w:t>
            </w:r>
            <w:r>
              <w:rPr>
                <w:rFonts w:hint="default" w:ascii="Arial" w:hAnsi="Arial" w:eastAsia="Times New Roman" w:cs="Arial"/>
                <w:sz w:val="18"/>
                <w:szCs w:val="18"/>
                <w:lang w:val="en-US" w:eastAsia="zh-CN"/>
              </w:rPr>
              <w:t>”</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15</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Limitations</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Pr>
                <w:rFonts w:eastAsia="Times New Roman"/>
                <w:sz w:val="18"/>
                <w:szCs w:val="18"/>
                <w:shd w:val="clear" w:color="auto" w:fill="FFFFFF"/>
                <w:lang w:val="en-GB" w:eastAsia="en-GB"/>
              </w:rPr>
              <w:t> </w:t>
            </w:r>
          </w:p>
        </w:tc>
        <w:tc>
          <w:tcPr>
            <w:tcW w:w="720"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26</w:t>
            </w:r>
          </w:p>
        </w:tc>
        <w:tc>
          <w:tcPr>
            <w:tcW w:w="4320" w:type="dxa"/>
          </w:tcPr>
          <w:p>
            <w:pPr>
              <w:spacing w:before="96" w:beforeLines="40" w:after="96" w:afterLines="40" w:line="24" w:lineRule="atLeast"/>
              <w:rPr>
                <w:rFonts w:eastAsia="Times New Roman"/>
                <w:sz w:val="18"/>
                <w:szCs w:val="18"/>
                <w:lang w:val="en-GB" w:eastAsia="en-GB"/>
              </w:rPr>
            </w:pPr>
            <w:r>
              <w:rPr>
                <w:rFonts w:hint="default" w:eastAsia="宋体"/>
                <w:sz w:val="18"/>
                <w:szCs w:val="18"/>
                <w:lang w:val="en-US" w:eastAsia="zh-CN"/>
              </w:rPr>
              <w:t>“</w:t>
            </w:r>
            <w:r>
              <w:rPr>
                <w:rFonts w:hint="eastAsia" w:eastAsia="Times New Roman"/>
                <w:sz w:val="18"/>
                <w:szCs w:val="18"/>
                <w:lang w:val="en-GB" w:eastAsia="en-GB"/>
              </w:rPr>
              <w:t>Owing to the limited accessibility of disease sample repositories, we encountered a lack of data on diseases where blood-related indicators, namely leukopenia, hypotension, and hypoglycemia, have a strong correlation with pan-cancer. Consequently, our effort to establish a comprehensive PPPM network for monitoring pan-cance through blood indicators remains incomplete. Furthermore, the age distribution of the included samples was not clearly defined, imposing limitations on conducting subgroup-specific analyses. The prolonged incidence of chronic conditions such as hypertension and diabetes heightens patient visits, potentially leading to an artificial elevation in cancer detection rates because of detection bias, thereby overestimating the risk of pan-cancer."</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16</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Interpretation</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sz w:val="18"/>
                <w:szCs w:val="18"/>
                <w:lang w:val="en-GB" w:eastAsia="en-US"/>
              </w:rPr>
            </w:pPr>
          </w:p>
        </w:tc>
        <w:tc>
          <w:tcPr>
            <w:tcW w:w="4320"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Meaning: Give a cautious overall interpretation of results in the context of their limitations and in comparison with other studies</w:t>
            </w:r>
          </w:p>
        </w:tc>
        <w:tc>
          <w:tcPr>
            <w:tcW w:w="720"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27</w:t>
            </w:r>
          </w:p>
        </w:tc>
        <w:tc>
          <w:tcPr>
            <w:tcW w:w="4320"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“Our study has revealed associations between blood-related markers and various types of cancer, including esophageal, breast, lung adenocarcinoma, ovarian, and several gastrointestinal cancers. This valuable information can contribute to personalized cancer surveillance and prevention strategies for these specific populations.”</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2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21-26</w:t>
            </w:r>
          </w:p>
        </w:tc>
        <w:tc>
          <w:tcPr>
            <w:tcW w:w="4320" w:type="dxa"/>
            <w:shd w:val="clear" w:color="auto" w:fill="EEEEEE"/>
          </w:tcPr>
          <w:p>
            <w:pPr>
              <w:spacing w:before="96" w:beforeLines="40" w:after="96" w:afterLines="40" w:line="24" w:lineRule="atLeast"/>
              <w:rPr>
                <w:rFonts w:hint="eastAsia" w:eastAsia="宋体"/>
                <w:sz w:val="18"/>
                <w:szCs w:val="18"/>
                <w:lang w:val="en-US" w:eastAsia="zh-CN"/>
              </w:rPr>
            </w:pPr>
            <w:r>
              <w:rPr>
                <w:rFonts w:hint="default" w:eastAsia="宋体"/>
                <w:sz w:val="18"/>
                <w:szCs w:val="18"/>
                <w:lang w:val="en-US" w:eastAsia="zh-CN"/>
              </w:rPr>
              <w:t>“</w:t>
            </w:r>
            <w:r>
              <w:rPr>
                <w:rFonts w:hint="eastAsia" w:eastAsia="Times New Roman"/>
                <w:sz w:val="18"/>
                <w:szCs w:val="18"/>
                <w:lang w:val="en-GB" w:eastAsia="en-GB"/>
              </w:rPr>
              <w:t>The INSR gene encodes insulin receptor (IR), with its IR-A isoform being implicated in increased cancer risk, such as in BRCA and THCA, through pathways involving insulin-like growth factor I receptor (IGF-IR), mammalian target of rapamycin(mTOR), and the epidermal growth factor (EGF) families[86,87,88]. IR participates in the insulin signaling pathway and glycolysis, both of which mediate tumorigenesis.</w:t>
            </w:r>
            <w:r>
              <w:rPr>
                <w:rFonts w:hint="default" w:eastAsia="宋体"/>
                <w:sz w:val="18"/>
                <w:szCs w:val="18"/>
                <w:lang w:val="en-US" w:eastAsia="zh-CN"/>
              </w:rPr>
              <w:t>”</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tabs>
                <w:tab w:val="left" w:pos="135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Clinical relevance: Discuss whether the results have clinical or public policy relevance, and </w:t>
            </w:r>
            <w:r>
              <w:rPr>
                <w:rFonts w:eastAsia="Times New Roman"/>
                <w:color w:val="000000"/>
                <w:sz w:val="18"/>
                <w:szCs w:val="18"/>
                <w:lang w:eastAsia="en-GB"/>
              </w:rPr>
              <w:t>to what extent they inform effect sizes of possible interventions</w:t>
            </w:r>
          </w:p>
        </w:tc>
        <w:tc>
          <w:tcPr>
            <w:tcW w:w="720" w:type="dxa"/>
          </w:tcPr>
          <w:p>
            <w:pPr>
              <w:tabs>
                <w:tab w:val="left" w:pos="1350"/>
              </w:tabs>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27</w:t>
            </w:r>
          </w:p>
        </w:tc>
        <w:tc>
          <w:tcPr>
            <w:tcW w:w="4320" w:type="dxa"/>
          </w:tcPr>
          <w:p>
            <w:pPr>
              <w:tabs>
                <w:tab w:val="left" w:pos="1350"/>
              </w:tabs>
              <w:spacing w:before="96" w:beforeLines="40" w:after="96" w:afterLines="40" w:line="24" w:lineRule="atLeast"/>
              <w:rPr>
                <w:rFonts w:hint="eastAsia" w:eastAsia="宋体"/>
                <w:sz w:val="18"/>
                <w:szCs w:val="18"/>
                <w:lang w:val="en-US" w:eastAsia="zh-CN"/>
              </w:rPr>
            </w:pPr>
            <w:r>
              <w:rPr>
                <w:rFonts w:hint="default" w:eastAsia="宋体"/>
                <w:sz w:val="18"/>
                <w:szCs w:val="18"/>
                <w:lang w:val="en-US" w:eastAsia="zh-CN"/>
              </w:rPr>
              <w:t>“</w:t>
            </w:r>
            <w:r>
              <w:rPr>
                <w:rFonts w:hint="eastAsia" w:eastAsia="Times New Roman"/>
                <w:sz w:val="18"/>
                <w:szCs w:val="18"/>
                <w:lang w:val="en-GB" w:eastAsia="en-GB"/>
              </w:rPr>
              <w:t>Prevention and early screening for pan-cancer play a crucial role in reducing the suffering and economic burden of patients. At the genetic level, by utilizing MR and bioinformatics analysis of blood-related markers, along with their associated diseases and drug interactions in pan-cancer, in combination with clinical data and molecular experiments, it is possible to establish a predictive diagnostic and prognostic model for pan-cancer based on blood markers. This approach allows for the implementation of PPPM for pan-cancer.</w:t>
            </w:r>
            <w:r>
              <w:rPr>
                <w:rFonts w:hint="default" w:eastAsia="宋体"/>
                <w:sz w:val="18"/>
                <w:szCs w:val="18"/>
                <w:lang w:val="en-US" w:eastAsia="zh-CN"/>
              </w:rPr>
              <w:t>”</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17</w:t>
            </w:r>
          </w:p>
        </w:tc>
        <w:tc>
          <w:tcPr>
            <w:tcW w:w="182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 xml:space="preserve">Generalizability  </w:t>
            </w:r>
            <w:r>
              <w:rPr>
                <w:rFonts w:eastAsia="Times New Roman"/>
                <w:sz w:val="18"/>
                <w:szCs w:val="18"/>
                <w:lang w:val="en-GB" w:eastAsia="en-GB"/>
              </w:rPr>
              <w:t> </w:t>
            </w:r>
          </w:p>
        </w:tc>
        <w:tc>
          <w:tcPr>
            <w:tcW w:w="7041" w:type="dxa"/>
            <w:tcBorders>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color="7F7F7F" w:sz="6" w:space="0"/>
            </w:tcBorders>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26-27</w:t>
            </w:r>
          </w:p>
        </w:tc>
        <w:tc>
          <w:tcPr>
            <w:tcW w:w="4320" w:type="dxa"/>
            <w:tcBorders>
              <w:bottom w:val="single" w:color="7F7F7F" w:sz="6" w:space="0"/>
            </w:tcBorders>
            <w:shd w:val="clear" w:color="auto" w:fill="EEEEEE"/>
          </w:tcPr>
          <w:p>
            <w:pPr>
              <w:spacing w:before="96" w:beforeLines="40" w:after="96" w:afterLines="40" w:line="24" w:lineRule="atLeast"/>
              <w:rPr>
                <w:rFonts w:hint="default" w:eastAsia="宋体"/>
                <w:sz w:val="18"/>
                <w:szCs w:val="18"/>
                <w:lang w:val="en-US" w:eastAsia="zh-CN"/>
              </w:rPr>
            </w:pPr>
            <w:r>
              <w:rPr>
                <w:rFonts w:hint="default" w:eastAsia="宋体"/>
                <w:sz w:val="18"/>
                <w:szCs w:val="18"/>
                <w:lang w:val="en-US" w:eastAsia="zh-CN"/>
              </w:rPr>
              <w:t>“</w:t>
            </w:r>
            <w:r>
              <w:rPr>
                <w:rFonts w:hint="eastAsia" w:eastAsia="宋体"/>
                <w:sz w:val="18"/>
                <w:szCs w:val="18"/>
                <w:lang w:val="en-US" w:eastAsia="zh-CN"/>
              </w:rPr>
              <w:t>We aspire that future studies will enhance our comprehension of hematological index-related diseases and the associated risk of pan-cancer development by integrating gwas data from diverse diseases, culminating in the establishment of a detection and prediction system for hematological index-associated diseases-pan-cancer. Our ultimate goal is to enhance global human health and alleviate the burden of cancer treatment on governments and healthcare institutions within the PPPM framework. Additionally, our investigations into the connection between lipid-lowering drugs, oral contraceptive drugs, hormones, and insulin with pan-cancer risk imply that disparate drug targets and pathways may entail varying levels of risk for the development of the same malignancy.</w:t>
            </w:r>
            <w:r>
              <w:rPr>
                <w:rFonts w:hint="default" w:eastAsia="宋体"/>
                <w:sz w:val="18"/>
                <w:szCs w:val="18"/>
                <w:lang w:val="en-US" w:eastAsia="zh-CN"/>
              </w:rPr>
              <w:t>”</w:t>
            </w: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OTHER INFORMATION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18</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Funding</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29</w:t>
            </w:r>
          </w:p>
        </w:tc>
        <w:tc>
          <w:tcPr>
            <w:tcW w:w="4320" w:type="dxa"/>
            <w:shd w:val="clear" w:color="auto" w:fill="EEEEEE"/>
          </w:tcPr>
          <w:p>
            <w:pPr>
              <w:spacing w:before="96" w:beforeLines="40" w:after="96" w:afterLines="40" w:line="24" w:lineRule="atLeast"/>
              <w:rPr>
                <w:rFonts w:hint="default" w:eastAsia="宋体"/>
                <w:sz w:val="18"/>
                <w:szCs w:val="18"/>
                <w:lang w:val="en-US" w:eastAsia="zh-CN"/>
              </w:rPr>
            </w:pPr>
            <w:r>
              <w:rPr>
                <w:rFonts w:hint="default" w:eastAsia="宋体"/>
                <w:sz w:val="18"/>
                <w:szCs w:val="18"/>
                <w:lang w:val="en-US" w:eastAsia="zh-CN"/>
              </w:rPr>
              <w:t>“This study was supported by the Jiaxing Public Welfare Research Program Project (2020AY30006), Suzhou Science and Technology Development Programme (SKYD202306), National Student Innovation Training Program (s20021038117, 202210315128Z), 2022 Luo Linxiu Cup Student Innovation Cultivation Project of Nanjing University of Chinese Medicine (3), and 2023 Chinese Medicine Artificial Intelligence Unveiling and Hanging Project of Nanjing University of Chinese Medicine (1).”</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19</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Data and data sharing </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720"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29</w:t>
            </w:r>
          </w:p>
        </w:tc>
        <w:tc>
          <w:tcPr>
            <w:tcW w:w="4320" w:type="dxa"/>
          </w:tcPr>
          <w:p>
            <w:pPr>
              <w:spacing w:before="96" w:beforeLines="40" w:after="96" w:afterLines="40" w:line="24" w:lineRule="atLeast"/>
              <w:rPr>
                <w:rFonts w:hint="eastAsia" w:eastAsia="Times New Roman"/>
                <w:sz w:val="18"/>
                <w:szCs w:val="18"/>
                <w:lang w:val="en-GB" w:eastAsia="en-GB"/>
              </w:rPr>
            </w:pPr>
            <w:r>
              <w:rPr>
                <w:rFonts w:hint="default" w:eastAsia="宋体"/>
                <w:sz w:val="18"/>
                <w:szCs w:val="18"/>
                <w:lang w:val="en-US" w:eastAsia="zh-CN"/>
              </w:rPr>
              <w:t>“</w:t>
            </w:r>
            <w:r>
              <w:rPr>
                <w:rFonts w:hint="eastAsia" w:eastAsia="Times New Roman"/>
                <w:sz w:val="18"/>
                <w:szCs w:val="18"/>
                <w:lang w:val="en-GB" w:eastAsia="en-GB"/>
              </w:rPr>
              <w:t>Data availability</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The data used and/or analyzed in this study are available from the corresponding author upon reasonable request.</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Code availability</w:t>
            </w:r>
          </w:p>
          <w:p>
            <w:pPr>
              <w:spacing w:before="96" w:beforeLines="40" w:after="96" w:afterLines="40" w:line="24" w:lineRule="atLeast"/>
              <w:rPr>
                <w:rFonts w:hint="eastAsia" w:eastAsia="宋体"/>
                <w:sz w:val="18"/>
                <w:szCs w:val="18"/>
                <w:lang w:val="en-US" w:eastAsia="zh-CN"/>
              </w:rPr>
            </w:pPr>
            <w:r>
              <w:rPr>
                <w:rFonts w:hint="eastAsia" w:eastAsia="Times New Roman"/>
                <w:sz w:val="18"/>
                <w:szCs w:val="18"/>
                <w:lang w:val="en-GB" w:eastAsia="en-GB"/>
              </w:rPr>
              <w:t>The software and code used in the study can be obtained through the corresponding author.</w:t>
            </w:r>
            <w:r>
              <w:rPr>
                <w:rFonts w:hint="default" w:eastAsia="宋体"/>
                <w:sz w:val="18"/>
                <w:szCs w:val="18"/>
                <w:lang w:val="en-US" w:eastAsia="zh-CN"/>
              </w:rPr>
              <w:t>”</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20</w:t>
            </w:r>
          </w:p>
        </w:tc>
        <w:tc>
          <w:tcPr>
            <w:tcW w:w="182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Conflicts of Interest  </w:t>
            </w:r>
          </w:p>
        </w:tc>
        <w:tc>
          <w:tcPr>
            <w:tcW w:w="7041"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All authors should declare all potential conflicts of interest</w:t>
            </w:r>
          </w:p>
        </w:tc>
        <w:tc>
          <w:tcPr>
            <w:tcW w:w="720" w:type="dxa"/>
            <w:tcBorders>
              <w:bottom w:val="single" w:color="7F7F7F" w:sz="6" w:space="0"/>
            </w:tcBorders>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30</w:t>
            </w:r>
          </w:p>
        </w:tc>
        <w:tc>
          <w:tcPr>
            <w:tcW w:w="4320" w:type="dxa"/>
            <w:tcBorders>
              <w:bottom w:val="single" w:color="7F7F7F" w:sz="6" w:space="0"/>
            </w:tcBorders>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Times New Roman"/>
                <w:sz w:val="18"/>
                <w:szCs w:val="18"/>
                <w:lang w:val="en-GB" w:eastAsia="en-GB"/>
              </w:rPr>
              <w:t xml:space="preserve"> </w:t>
            </w:r>
            <w:r>
              <w:rPr>
                <w:rFonts w:hint="default" w:eastAsia="宋体"/>
                <w:sz w:val="18"/>
                <w:szCs w:val="18"/>
                <w:lang w:val="en-US" w:eastAsia="zh-CN"/>
              </w:rPr>
              <w:t>“</w:t>
            </w:r>
            <w:r>
              <w:rPr>
                <w:rFonts w:hint="eastAsia" w:eastAsia="Times New Roman"/>
                <w:sz w:val="18"/>
                <w:szCs w:val="18"/>
                <w:lang w:val="en-GB" w:eastAsia="en-GB"/>
              </w:rPr>
              <w:t>All authors disclosed no competing interests in this study.</w:t>
            </w:r>
            <w:r>
              <w:rPr>
                <w:rFonts w:hint="default" w:eastAsia="宋体"/>
                <w:sz w:val="18"/>
                <w:szCs w:val="18"/>
                <w:lang w:val="en-US" w:eastAsia="zh-CN"/>
              </w:rPr>
              <w:t>”</w:t>
            </w:r>
          </w:p>
          <w:p>
            <w:pPr>
              <w:spacing w:before="96" w:beforeLines="40" w:after="96" w:afterLines="40" w:line="24" w:lineRule="atLeast"/>
              <w:rPr>
                <w:rFonts w:eastAsia="Times New Roman"/>
                <w:sz w:val="18"/>
                <w:szCs w:val="18"/>
                <w:lang w:val="en-GB" w:eastAsia="en-GB"/>
              </w:rPr>
            </w:pPr>
          </w:p>
        </w:tc>
      </w:tr>
    </w:tbl>
    <w:p>
      <w:pPr>
        <w:spacing w:before="240" w:after="240"/>
        <w:rPr>
          <w:sz w:val="19"/>
          <w:szCs w:val="19"/>
        </w:rPr>
      </w:pPr>
      <w:r>
        <w:rPr>
          <w:sz w:val="19"/>
          <w:szCs w:val="19"/>
        </w:rPr>
        <w:t>This checklist is copyrighted by the Equator Network under the Creative Commons Attribution 3.0 Unported (CC BY 3.0) license.</w:t>
      </w:r>
    </w:p>
    <w:p>
      <w:pPr>
        <w:widowControl w:val="0"/>
        <w:autoSpaceDE w:val="0"/>
        <w:autoSpaceDN w:val="0"/>
        <w:adjustRightInd w:val="0"/>
        <w:spacing w:before="240" w:after="240" w:line="240" w:lineRule="auto"/>
        <w:ind w:left="640" w:hanging="640"/>
        <w:rPr>
          <w:sz w:val="19"/>
          <w:szCs w:val="19"/>
        </w:rPr>
      </w:pPr>
      <w:r>
        <w:rPr>
          <w:sz w:val="19"/>
          <w:szCs w:val="19"/>
        </w:rPr>
        <w:fldChar w:fldCharType="begin" w:fldLock="1"/>
      </w:r>
      <w:r>
        <w:rPr>
          <w:sz w:val="19"/>
          <w:szCs w:val="19"/>
        </w:rPr>
        <w:instrText xml:space="preserve">ADDIN Mendeley Bibliography CSL_BIBLIOGRAPHY </w:instrText>
      </w:r>
      <w:r>
        <w:rPr>
          <w:sz w:val="19"/>
          <w:szCs w:val="19"/>
        </w:rPr>
        <w:fldChar w:fldCharType="separate"/>
      </w:r>
      <w:r>
        <w:rPr>
          <w:sz w:val="19"/>
          <w:szCs w:val="19"/>
        </w:rPr>
        <w:t xml:space="preserve">1. </w:t>
      </w:r>
      <w:r>
        <w:rPr>
          <w:sz w:val="19"/>
          <w:szCs w:val="19"/>
        </w:rPr>
        <w:tab/>
      </w:r>
      <w:r>
        <w:rPr>
          <w:sz w:val="19"/>
          <w:szCs w:val="19"/>
        </w:rPr>
        <w:t xml:space="preserve">Skrivankova VW, Richmond RC, Woolf BAR, Yarmolinsky J, Davies NM, Swanson SA, et al. Strengthening the Reporting of Observational Studies in Epidemiology using Mendelian Randomization (STROBE-MR) Statement. JAMA. 2021;under review. </w:t>
      </w:r>
    </w:p>
    <w:p>
      <w:pPr>
        <w:widowControl w:val="0"/>
        <w:autoSpaceDE w:val="0"/>
        <w:autoSpaceDN w:val="0"/>
        <w:adjustRightInd w:val="0"/>
        <w:spacing w:before="240" w:after="240" w:line="240" w:lineRule="auto"/>
        <w:ind w:left="640" w:hanging="640"/>
        <w:rPr>
          <w:sz w:val="19"/>
          <w:szCs w:val="19"/>
        </w:rPr>
      </w:pPr>
      <w:r>
        <w:rPr>
          <w:sz w:val="19"/>
          <w:szCs w:val="19"/>
        </w:rPr>
        <w:t xml:space="preserve">2. </w:t>
      </w:r>
      <w:r>
        <w:rPr>
          <w:sz w:val="19"/>
          <w:szCs w:val="19"/>
        </w:rPr>
        <w:tab/>
      </w:r>
      <w:r>
        <w:rPr>
          <w:sz w:val="19"/>
          <w:szCs w:val="19"/>
        </w:rPr>
        <w:t xml:space="preserve">Skrivankova VW, Richmond RC, Woolf BAR, Davies NM, Swanson SA, VanderWeele TJ, et al. Strengthening the Reporting of Observational Studies in Epidemiology using Mendelian Randomisation (STROBE-MR): Explanation and Elaboration. BMJ. 2021;375:n2233. </w:t>
      </w:r>
    </w:p>
    <w:p>
      <w:pPr>
        <w:spacing w:before="240" w:after="240"/>
      </w:pPr>
      <w:r>
        <w:rPr>
          <w:sz w:val="19"/>
          <w:szCs w:val="19"/>
        </w:rPr>
        <w:fldChar w:fldCharType="end"/>
      </w:r>
    </w:p>
    <w:sectPr>
      <w:footerReference r:id="rId5" w:type="default"/>
      <w:footerReference r:id="rId6" w:type="even"/>
      <w:pgSz w:w="15840" w:h="12240" w:orient="landscape"/>
      <w:pgMar w:top="1008" w:right="720" w:bottom="1008" w:left="720" w:header="720" w:footer="720" w:gutter="0"/>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MetaProMedium-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光楷体_CNKI">
    <w:altName w:val="宋体"/>
    <w:panose1 w:val="02000500000000000000"/>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fldChar w:fldCharType="begin"/>
    </w:r>
    <w:r>
      <w:instrText xml:space="preserve"> PAGE   \* MERGEFORMAT </w:instrText>
    </w:r>
    <w:r>
      <w:fldChar w:fldCharType="separate"/>
    </w:r>
    <w:r>
      <w:t>1</w:t>
    </w:r>
    <w: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uto" w:vAnchor="text" w:hAnchor="margin" w:xAlign="right" w:y="1"/>
      <w:rPr>
        <w:rStyle w:val="5"/>
      </w:rPr>
    </w:pPr>
  </w:p>
  <w:p>
    <w:pPr>
      <w:pStyle w:val="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yNjM2MDZmYmMyMzQ1MDE5YzA3MDdjNzU3ZDg3ZDkifQ=="/>
  </w:docVars>
  <w:rsids>
    <w:rsidRoot w:val="00914C56"/>
    <w:rsid w:val="000A4CE8"/>
    <w:rsid w:val="002663E6"/>
    <w:rsid w:val="003D447D"/>
    <w:rsid w:val="003D47DD"/>
    <w:rsid w:val="004B5CBB"/>
    <w:rsid w:val="004E11D4"/>
    <w:rsid w:val="00514462"/>
    <w:rsid w:val="005520ED"/>
    <w:rsid w:val="005A0D0D"/>
    <w:rsid w:val="00685D31"/>
    <w:rsid w:val="006912BF"/>
    <w:rsid w:val="006A41D0"/>
    <w:rsid w:val="006B08D5"/>
    <w:rsid w:val="00804498"/>
    <w:rsid w:val="00914C56"/>
    <w:rsid w:val="00950729"/>
    <w:rsid w:val="009854A9"/>
    <w:rsid w:val="009E033F"/>
    <w:rsid w:val="00BB6328"/>
    <w:rsid w:val="00D65199"/>
    <w:rsid w:val="00D8098C"/>
    <w:rsid w:val="00ED48A3"/>
    <w:rsid w:val="00EF4B94"/>
    <w:rsid w:val="3BA92A3F"/>
    <w:rsid w:val="3FA438E8"/>
    <w:rsid w:val="71D53DF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0" w:line="276" w:lineRule="auto"/>
    </w:pPr>
    <w:rPr>
      <w:rFonts w:ascii="Arial" w:hAnsi="Arial" w:eastAsia="Arial" w:cs="Arial"/>
      <w:sz w:val="22"/>
      <w:szCs w:val="22"/>
      <w:lang w:val="en" w:eastAsia="de-CH" w:bidi="ar-SA"/>
    </w:rPr>
  </w:style>
  <w:style w:type="character" w:default="1" w:styleId="4">
    <w:name w:val="Default Paragraph Font"/>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uiPriority w:val="99"/>
    <w:pPr>
      <w:tabs>
        <w:tab w:val="center" w:pos="4680"/>
        <w:tab w:val="right" w:pos="9360"/>
      </w:tabs>
      <w:spacing w:line="240" w:lineRule="auto"/>
    </w:pPr>
  </w:style>
  <w:style w:type="character" w:styleId="5">
    <w:name w:val="page number"/>
    <w:basedOn w:val="4"/>
    <w:autoRedefine/>
    <w:semiHidden/>
    <w:unhideWhenUsed/>
    <w:qFormat/>
    <w:uiPriority w:val="99"/>
  </w:style>
  <w:style w:type="character" w:styleId="6">
    <w:name w:val="line number"/>
    <w:basedOn w:val="4"/>
    <w:autoRedefine/>
    <w:semiHidden/>
    <w:unhideWhenUsed/>
    <w:qFormat/>
    <w:uiPriority w:val="99"/>
  </w:style>
  <w:style w:type="character" w:customStyle="1" w:styleId="7">
    <w:name w:val="Footer Char"/>
    <w:basedOn w:val="4"/>
    <w:link w:val="2"/>
    <w:autoRedefine/>
    <w:qFormat/>
    <w:uiPriority w:val="99"/>
    <w:rPr>
      <w:rFonts w:ascii="Arial" w:hAnsi="Arial" w:eastAsia="Arial" w:cs="Arial"/>
      <w:lang w:val="en" w:eastAsia="de-CH"/>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A32DB-E5B8-4E32-AD11-08F2E668867B}">
  <ds:schemaRefs/>
</ds:datastoreItem>
</file>

<file path=customXml/itemProps2.xml><?xml version="1.0" encoding="utf-8"?>
<ds:datastoreItem xmlns:ds="http://schemas.openxmlformats.org/officeDocument/2006/customXml" ds:itemID="{9FB0931C-FCE2-4CC4-80DE-15614B41F1F9}">
  <ds:schemaRefs/>
</ds:datastoreItem>
</file>

<file path=customXml/itemProps3.xml><?xml version="1.0" encoding="utf-8"?>
<ds:datastoreItem xmlns:ds="http://schemas.openxmlformats.org/officeDocument/2006/customXml" ds:itemID="{5DF20111-77FD-4F18-8E31-D737874646AB}">
  <ds:schemaRefs/>
</ds:datastoreItem>
</file>

<file path=customXml/itemProps4.xml><?xml version="1.0" encoding="utf-8"?>
<ds:datastoreItem xmlns:ds="http://schemas.openxmlformats.org/officeDocument/2006/customXml" ds:itemID="{A9898B61-61B7-44F1-9388-8B27875B1EDA}">
  <ds:schemaRefs/>
</ds:datastoreItem>
</file>

<file path=docProps/app.xml><?xml version="1.0" encoding="utf-8"?>
<Properties xmlns="http://schemas.openxmlformats.org/officeDocument/2006/extended-properties" xmlns:vt="http://schemas.openxmlformats.org/officeDocument/2006/docPropsVTypes">
  <Template>Normal.dotm</Template>
  <Company>University of Bern</Company>
  <Pages>4</Pages>
  <Words>1713</Words>
  <Characters>11466</Characters>
  <Lines>286</Lines>
  <Paragraphs>146</Paragraphs>
  <TotalTime>0</TotalTime>
  <ScaleCrop>false</ScaleCrop>
  <LinksUpToDate>false</LinksUpToDate>
  <CharactersWithSpaces>13033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2022-04-07T08:09:00Z</dcterms:created>
  <dc:creator>Whitesell, Veronika (ISPM)</dc:creator>
  <cp:lastModifiedBy>yao二</cp:lastModifiedBy>
  <cp:lastPrinted>2021-09-28T07:08:00Z</cp:lastPrinted>
  <dcterms:modified xsi:type="dcterms:W3CDTF">2023-12-22T05:29:44Z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KSOProductBuildVer">
    <vt:lpwstr>2052-12.1.0.16120</vt:lpwstr>
  </property>
  <property fmtid="{D5CDD505-2E9C-101B-9397-08002B2CF9AE}" pid="27" name="ICV">
    <vt:lpwstr>CDAF01622C1441F695468F454B7BF070_13</vt:lpwstr>
  </property>
</Properties>
</file>