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80" w:lineRule="auto"/>
        <w:rPr>
          <w:rFonts w:ascii="Times New Roman" w:hAnsi="Times New Roman" w:eastAsia="宋体" w:cs="Times New Roman"/>
          <w:b/>
          <w:bCs/>
          <w:color w:val="000000" w:themeColor="text1"/>
          <w:kern w:val="0"/>
          <w:sz w:val="24"/>
          <w:szCs w:val="24"/>
          <w14:textFill>
            <w14:solidFill>
              <w14:schemeClr w14:val="tx1"/>
            </w14:solidFill>
          </w14:textFill>
        </w:rPr>
      </w:pPr>
      <w:r>
        <w:rPr>
          <w:rFonts w:ascii="Times New Roman" w:hAnsi="Times New Roman" w:eastAsia="宋体" w:cs="Times New Roman"/>
          <w:b/>
          <w:bCs/>
          <w:color w:val="000000" w:themeColor="text1"/>
          <w:kern w:val="0"/>
          <w:sz w:val="24"/>
          <w:szCs w:val="24"/>
          <w14:textFill>
            <w14:solidFill>
              <w14:schemeClr w14:val="tx1"/>
            </w14:solidFill>
          </w14:textFill>
        </w:rPr>
        <w:t>Predictive, Preventive, and Personalized Medicine (PPPM/3PM) Innovation Highlight</w:t>
      </w:r>
    </w:p>
    <w:p>
      <w:pPr>
        <w:widowControl/>
        <w:spacing w:line="480" w:lineRule="auto"/>
        <w:rPr>
          <w:rFonts w:ascii="Times New Roman" w:hAnsi="Times New Roman" w:eastAsia="宋体" w:cs="Times New Roman"/>
          <w:color w:val="000000" w:themeColor="text1"/>
          <w:kern w:val="0"/>
          <w:sz w:val="24"/>
          <w:szCs w:val="24"/>
          <w14:textFill>
            <w14:solidFill>
              <w14:schemeClr w14:val="tx1"/>
            </w14:solidFill>
          </w14:textFill>
        </w:rPr>
      </w:pPr>
      <w:r>
        <w:rPr>
          <w:rFonts w:ascii="Times New Roman" w:hAnsi="Times New Roman" w:eastAsia="宋体" w:cs="Times New Roman"/>
          <w:b/>
          <w:bCs/>
          <w:color w:val="000000" w:themeColor="text1"/>
          <w:kern w:val="0"/>
          <w:sz w:val="24"/>
          <w:szCs w:val="24"/>
          <w14:textFill>
            <w14:solidFill>
              <w14:schemeClr w14:val="tx1"/>
            </w14:solidFill>
          </w14:textFill>
        </w:rPr>
        <w:t>A. Working hypothesis and study aims under the PPPM/3PM framework</w:t>
      </w:r>
    </w:p>
    <w:p>
      <w:pPr>
        <w:widowControl/>
        <w:spacing w:line="480" w:lineRule="auto"/>
        <w:rPr>
          <w:rFonts w:hint="eastAsia" w:ascii="Times New Roman" w:hAnsi="Times New Roman" w:eastAsia="宋体" w:cs="Times New Roman"/>
          <w:color w:val="auto"/>
          <w:kern w:val="0"/>
          <w:sz w:val="24"/>
          <w:szCs w:val="24"/>
          <w:highlight w:val="none"/>
        </w:rPr>
      </w:pPr>
      <w:r>
        <w:rPr>
          <w:rFonts w:hint="eastAsia" w:ascii="Times New Roman" w:hAnsi="Times New Roman" w:eastAsia="宋体" w:cs="Times New Roman"/>
          <w:color w:val="auto"/>
          <w:kern w:val="0"/>
          <w:sz w:val="24"/>
          <w:szCs w:val="24"/>
          <w:highlight w:val="none"/>
        </w:rPr>
        <w:t>The primary objective of this study is to refine cancer prediction and prevention advice by identifying individuals at high risk of developing cancer. By integrating MR and bioinformatics, this investigation aims to elucidate the casual associations between blood-related indicators and cancer, as well as explore the impact of disease and medication utilization on cancer development. Notably, the majority of blood-related indicators employed in this study stem from convenient, non-invasive techniques, such as blood pressure and glucose monitoring, along with routine blood examinations commonly accessible through community hospitals and family physicians. Should the preliminary verification of causal associations between blood-related indicators and cancer be established, this study holds the potential to shed new light on identifying individuals at high risk of cancer within the PPPM framework. Furthermore, it presents an easy and cost-effective method for cancer prediction and prevention, while highlighting the significance of personalized and precision medicine in addressing the global cancer burden.</w:t>
      </w:r>
    </w:p>
    <w:p>
      <w:pPr>
        <w:widowControl/>
        <w:spacing w:line="480" w:lineRule="auto"/>
        <w:rPr>
          <w:rFonts w:ascii="Times New Roman" w:hAnsi="Times New Roman" w:eastAsia="宋体" w:cs="Times New Roman"/>
          <w:color w:val="000000" w:themeColor="text1"/>
          <w:kern w:val="0"/>
          <w:sz w:val="24"/>
          <w:szCs w:val="24"/>
          <w14:textFill>
            <w14:solidFill>
              <w14:schemeClr w14:val="tx1"/>
            </w14:solidFill>
          </w14:textFill>
        </w:rPr>
      </w:pPr>
      <w:r>
        <w:rPr>
          <w:rFonts w:ascii="Times New Roman" w:hAnsi="Times New Roman" w:eastAsia="宋体" w:cs="Times New Roman"/>
          <w:b/>
          <w:bCs/>
          <w:color w:val="000000" w:themeColor="text1"/>
          <w:kern w:val="0"/>
          <w:sz w:val="24"/>
          <w:szCs w:val="24"/>
          <w14:textFill>
            <w14:solidFill>
              <w14:schemeClr w14:val="tx1"/>
            </w14:solidFill>
          </w14:textFill>
        </w:rPr>
        <w:t>B. Innovation towards the</w:t>
      </w:r>
    </w:p>
    <w:p>
      <w:pPr>
        <w:widowControl/>
        <w:spacing w:line="480" w:lineRule="auto"/>
        <w:rPr>
          <w:rFonts w:ascii="Times New Roman" w:hAnsi="Times New Roman" w:eastAsia="宋体" w:cs="Times New Roman"/>
          <w:color w:val="000000" w:themeColor="text1"/>
          <w:kern w:val="0"/>
          <w:sz w:val="24"/>
          <w:szCs w:val="24"/>
          <w14:textFill>
            <w14:solidFill>
              <w14:schemeClr w14:val="tx1"/>
            </w14:solidFill>
          </w14:textFill>
        </w:rPr>
      </w:pPr>
      <w:r>
        <w:rPr>
          <w:rFonts w:ascii="Times New Roman" w:hAnsi="Times New Roman" w:eastAsia="宋体" w:cs="Times New Roman"/>
          <w:color w:val="000000" w:themeColor="text1"/>
          <w:kern w:val="0"/>
          <w:sz w:val="24"/>
          <w:szCs w:val="24"/>
          <w14:textFill>
            <w14:solidFill>
              <w14:schemeClr w14:val="tx1"/>
            </w14:solidFill>
          </w14:textFill>
        </w:rPr>
        <w:t xml:space="preserve">1. </w:t>
      </w:r>
      <w:r>
        <w:rPr>
          <w:rFonts w:ascii="Times New Roman" w:hAnsi="Times New Roman" w:eastAsia="宋体" w:cs="Times New Roman"/>
          <w:b/>
          <w:bCs/>
          <w:color w:val="000000" w:themeColor="text1"/>
          <w:kern w:val="0"/>
          <w:sz w:val="24"/>
          <w:szCs w:val="24"/>
          <w14:textFill>
            <w14:solidFill>
              <w14:schemeClr w14:val="tx1"/>
            </w14:solidFill>
          </w14:textFill>
        </w:rPr>
        <w:t xml:space="preserve">Predictive approach </w:t>
      </w:r>
    </w:p>
    <w:p>
      <w:pPr>
        <w:widowControl/>
        <w:spacing w:line="480" w:lineRule="auto"/>
        <w:rPr>
          <w:rFonts w:hint="eastAsia" w:ascii="Times New Roman" w:hAnsi="Times New Roman" w:eastAsia="宋体" w:cs="Times New Roman"/>
          <w:color w:val="000000" w:themeColor="text1"/>
          <w:kern w:val="0"/>
          <w:sz w:val="24"/>
          <w:szCs w:val="24"/>
          <w14:textFill>
            <w14:solidFill>
              <w14:schemeClr w14:val="tx1"/>
            </w14:solidFill>
          </w14:textFill>
        </w:rPr>
      </w:pPr>
      <w:r>
        <w:rPr>
          <w:rFonts w:hint="eastAsia" w:ascii="Times New Roman" w:hAnsi="Times New Roman" w:eastAsia="宋体" w:cs="Times New Roman"/>
          <w:color w:val="000000" w:themeColor="text1"/>
          <w:kern w:val="0"/>
          <w:sz w:val="24"/>
          <w:szCs w:val="24"/>
          <w14:textFill>
            <w14:solidFill>
              <w14:schemeClr w14:val="tx1"/>
            </w14:solidFill>
          </w14:textFill>
        </w:rPr>
        <w:t>Prevention and early screening for pan-cancer play a crucial role in reducing the suffering and economic burden of patients. At the genetic level, by utilizing MR and bioinformatics analysis of blood-related markers, along with their associated diseases and drug interactions in pan-cancer, in combination with clinical data and molecular experiments, it is possible to establish a predictive diagnostic and prognostic model for pan-cancer based on blood markers. This approach allows for the implementation of PPPM for pan-cancer.</w:t>
      </w:r>
    </w:p>
    <w:p>
      <w:pPr>
        <w:widowControl/>
        <w:spacing w:line="480" w:lineRule="auto"/>
        <w:rPr>
          <w:rFonts w:ascii="Times New Roman" w:hAnsi="Times New Roman" w:eastAsia="宋体" w:cs="Times New Roman"/>
          <w:color w:val="000000" w:themeColor="text1"/>
          <w:kern w:val="0"/>
          <w:sz w:val="24"/>
          <w:szCs w:val="24"/>
          <w14:textFill>
            <w14:solidFill>
              <w14:schemeClr w14:val="tx1"/>
            </w14:solidFill>
          </w14:textFill>
        </w:rPr>
      </w:pPr>
      <w:r>
        <w:rPr>
          <w:rFonts w:ascii="Times New Roman" w:hAnsi="Times New Roman" w:eastAsia="宋体" w:cs="Times New Roman"/>
          <w:color w:val="000000" w:themeColor="text1"/>
          <w:kern w:val="0"/>
          <w:sz w:val="24"/>
          <w:szCs w:val="24"/>
          <w14:textFill>
            <w14:solidFill>
              <w14:schemeClr w14:val="tx1"/>
            </w14:solidFill>
          </w14:textFill>
        </w:rPr>
        <w:t xml:space="preserve">2. </w:t>
      </w:r>
      <w:r>
        <w:rPr>
          <w:rFonts w:ascii="Times New Roman" w:hAnsi="Times New Roman" w:eastAsia="宋体" w:cs="Times New Roman"/>
          <w:b/>
          <w:bCs/>
          <w:color w:val="000000" w:themeColor="text1"/>
          <w:kern w:val="0"/>
          <w:sz w:val="24"/>
          <w:szCs w:val="24"/>
          <w14:textFill>
            <w14:solidFill>
              <w14:schemeClr w14:val="tx1"/>
            </w14:solidFill>
          </w14:textFill>
        </w:rPr>
        <w:t xml:space="preserve">Targeted prevention </w:t>
      </w:r>
    </w:p>
    <w:p>
      <w:pPr>
        <w:widowControl/>
        <w:spacing w:line="480" w:lineRule="auto"/>
        <w:rPr>
          <w:rFonts w:hint="eastAsia" w:ascii="Times New Roman" w:hAnsi="Times New Roman" w:eastAsia="宋体" w:cs="Times New Roman"/>
          <w:color w:val="000000" w:themeColor="text1"/>
          <w:kern w:val="0"/>
          <w:sz w:val="24"/>
          <w:szCs w:val="24"/>
          <w14:textFill>
            <w14:solidFill>
              <w14:schemeClr w14:val="tx1"/>
            </w14:solidFill>
          </w14:textFill>
        </w:rPr>
      </w:pPr>
      <w:r>
        <w:rPr>
          <w:rFonts w:hint="eastAsia" w:ascii="Times New Roman" w:hAnsi="Times New Roman" w:eastAsia="宋体" w:cs="Times New Roman"/>
          <w:color w:val="000000" w:themeColor="text1"/>
          <w:kern w:val="0"/>
          <w:sz w:val="24"/>
          <w:szCs w:val="24"/>
          <w14:textFill>
            <w14:solidFill>
              <w14:schemeClr w14:val="tx1"/>
            </w14:solidFill>
          </w14:textFill>
        </w:rPr>
        <w:t>This study seeks to investigate the varying impacts of different blood indicators, associated medical conditions (including HTN, DM, DVT, and anemia), as well as drug usage on the overall incidence of pan-cancer. Through such an exploration, the study has successfully identified previously undisclosed subpopulations that are particularly vulnerable to the development of cancers, thus shedding light on the importance of tailored and targeted cancer prevention approaches for specific at-risk populations. For instance, it is imperative to implement preventative measures for men afflicted with hypertension to avoid the onset of colorectal adenocarcinoma (COAD), and to closely monitor insulin users for early signs of lung adenocarcinoma (LUAD).</w:t>
      </w:r>
      <w:bookmarkStart w:id="0" w:name="_GoBack"/>
      <w:bookmarkEnd w:id="0"/>
    </w:p>
    <w:p>
      <w:pPr>
        <w:widowControl/>
        <w:spacing w:line="480" w:lineRule="auto"/>
        <w:rPr>
          <w:rFonts w:ascii="Times New Roman" w:hAnsi="Times New Roman" w:eastAsia="宋体" w:cs="Times New Roman"/>
          <w:color w:val="000000" w:themeColor="text1"/>
          <w:kern w:val="0"/>
          <w:sz w:val="24"/>
          <w:szCs w:val="24"/>
          <w14:textFill>
            <w14:solidFill>
              <w14:schemeClr w14:val="tx1"/>
            </w14:solidFill>
          </w14:textFill>
        </w:rPr>
      </w:pPr>
      <w:r>
        <w:rPr>
          <w:rFonts w:ascii="Times New Roman" w:hAnsi="Times New Roman" w:eastAsia="宋体" w:cs="Times New Roman"/>
          <w:color w:val="000000" w:themeColor="text1"/>
          <w:kern w:val="0"/>
          <w:sz w:val="24"/>
          <w:szCs w:val="24"/>
          <w14:textFill>
            <w14:solidFill>
              <w14:schemeClr w14:val="tx1"/>
            </w14:solidFill>
          </w14:textFill>
        </w:rPr>
        <w:t xml:space="preserve">3. </w:t>
      </w:r>
      <w:r>
        <w:rPr>
          <w:rFonts w:ascii="Times New Roman" w:hAnsi="Times New Roman" w:eastAsia="宋体" w:cs="Times New Roman"/>
          <w:b/>
          <w:bCs/>
          <w:color w:val="000000" w:themeColor="text1"/>
          <w:kern w:val="0"/>
          <w:sz w:val="24"/>
          <w:szCs w:val="24"/>
          <w14:textFill>
            <w14:solidFill>
              <w14:schemeClr w14:val="tx1"/>
            </w14:solidFill>
          </w14:textFill>
        </w:rPr>
        <w:t xml:space="preserve">Personalization of medical services </w:t>
      </w:r>
    </w:p>
    <w:p>
      <w:pPr>
        <w:widowControl/>
        <w:spacing w:line="480" w:lineRule="auto"/>
        <w:rPr>
          <w:rFonts w:hint="eastAsia" w:ascii="Times New Roman" w:hAnsi="Times New Roman" w:eastAsia="宋体" w:cs="Times New Roman"/>
          <w:color w:val="auto"/>
          <w:kern w:val="0"/>
          <w:sz w:val="24"/>
          <w:szCs w:val="24"/>
        </w:rPr>
      </w:pPr>
      <w:r>
        <w:rPr>
          <w:rFonts w:hint="eastAsia" w:ascii="Times New Roman" w:hAnsi="Times New Roman" w:eastAsia="宋体" w:cs="Times New Roman"/>
          <w:color w:val="auto"/>
          <w:kern w:val="0"/>
          <w:sz w:val="24"/>
          <w:szCs w:val="24"/>
        </w:rPr>
        <w:t>It is widely recognized that genetic factors play a key role in determining one's risk of developing cancer, as well as the type of cancer to which they are most susceptible. Blood is a good sample that balances accessibility and informativeness. Based on the results of the analysis of blood at the genetic level in relation to pan-cancer, it is possible to provide a direction and theoretical basis for personalized preventive, diagnostic and therapeutic medical services for specific populations.Simultaneously, our research endeavors have successfully identified specific gene targets that play a crucial role in the intricate mechanisms underlying the development of novel and precisely targeted therapeutic pathways.</w:t>
      </w:r>
    </w:p>
    <w:p>
      <w:pPr>
        <w:widowControl/>
        <w:spacing w:line="480" w:lineRule="auto"/>
        <w:rPr>
          <w:rFonts w:ascii="Times New Roman" w:hAnsi="Times New Roman" w:eastAsia="宋体" w:cs="Times New Roman"/>
          <w:color w:val="000000" w:themeColor="text1"/>
          <w:kern w:val="0"/>
          <w:sz w:val="24"/>
          <w:szCs w:val="24"/>
          <w14:textFill>
            <w14:solidFill>
              <w14:schemeClr w14:val="tx1"/>
            </w14:solidFill>
          </w14:textFill>
        </w:rPr>
      </w:pPr>
      <w:r>
        <w:rPr>
          <w:rFonts w:ascii="Times New Roman" w:hAnsi="Times New Roman" w:eastAsia="宋体" w:cs="Times New Roman"/>
          <w:b/>
          <w:bCs/>
          <w:color w:val="000000" w:themeColor="text1"/>
          <w:kern w:val="0"/>
          <w:sz w:val="24"/>
          <w:szCs w:val="24"/>
          <w14:textFill>
            <w14:solidFill>
              <w14:schemeClr w14:val="tx1"/>
            </w14:solidFill>
          </w14:textFill>
        </w:rPr>
        <w:t xml:space="preserve">C. How does the presented innovation go beyond the state of the art contributing to the paradigm shift from reactive medicine to PPPM/3PM? </w:t>
      </w:r>
    </w:p>
    <w:p>
      <w:pPr>
        <w:widowControl/>
        <w:spacing w:line="480" w:lineRule="auto"/>
        <w:rPr>
          <w:rFonts w:ascii="Times New Roman" w:hAnsi="Times New Roman" w:eastAsia="宋体" w:cs="Times New Roman"/>
          <w:color w:val="000000" w:themeColor="text1"/>
          <w:kern w:val="0"/>
          <w:sz w:val="24"/>
          <w:szCs w:val="24"/>
          <w14:textFill>
            <w14:solidFill>
              <w14:schemeClr w14:val="tx1"/>
            </w14:solidFill>
          </w14:textFill>
        </w:rPr>
      </w:pPr>
      <w:r>
        <w:rPr>
          <w:rFonts w:ascii="Times New Roman" w:hAnsi="Times New Roman" w:eastAsia="宋体" w:cs="Times New Roman"/>
          <w:color w:val="000000" w:themeColor="text1"/>
          <w:kern w:val="0"/>
          <w:sz w:val="24"/>
          <w:szCs w:val="24"/>
          <w14:textFill>
            <w14:solidFill>
              <w14:schemeClr w14:val="tx1"/>
            </w14:solidFill>
          </w14:textFill>
        </w:rPr>
        <w:t xml:space="preserve">NCDs are usually treated after disease onset, representing relatively delayed management. SHS is a preclinical and reversible stage before NCDs. Early screening of SHS from people with high-risk psychological traits opened a window of opportunity for implementing effective management of preventable risk factors from the prospective of PPPM/3PM. </w:t>
      </w:r>
      <w:r>
        <w:rPr>
          <w:rFonts w:ascii="Times New Roman" w:hAnsi="Times New Roman" w:eastAsia="宋体" w:cs="Times New Roman"/>
          <w:color w:val="FF0000"/>
          <w:kern w:val="0"/>
          <w:sz w:val="24"/>
          <w:szCs w:val="24"/>
        </w:rPr>
        <w:t>Translational research targeting to psychological traits may be of great clinical utility to develop innovative approaches benefiting early prediction and precision treatment. Therefore, evaluation of mental health condition is highly recommended as a novel approach for prevention of SHS in the framework of PPPM/3PM.</w:t>
      </w:r>
      <w:r>
        <w:rPr>
          <w:rFonts w:ascii="Times New Roman" w:hAnsi="Times New Roman" w:eastAsia="宋体" w:cs="Times New Roman"/>
          <w:color w:val="000000" w:themeColor="text1"/>
          <w:kern w:val="0"/>
          <w:sz w:val="24"/>
          <w:szCs w:val="24"/>
          <w14:textFill>
            <w14:solidFill>
              <w14:schemeClr w14:val="tx1"/>
            </w14:solidFill>
          </w14:textFill>
        </w:rPr>
        <w:t xml:space="preserve"> To shift from reactive medicine to PPPM/3PM, scholars should investigate the determinants of SHS and develop new strategic models.</w:t>
      </w:r>
    </w:p>
    <w:p>
      <w:pPr>
        <w:widowControl/>
        <w:spacing w:line="480" w:lineRule="auto"/>
        <w:rPr>
          <w:rFonts w:hint="eastAsia" w:ascii="Times New Roman" w:hAnsi="Times New Roman" w:eastAsia="宋体" w:cs="Times New Roman"/>
          <w:color w:val="auto"/>
          <w:kern w:val="0"/>
          <w:sz w:val="24"/>
          <w:szCs w:val="24"/>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IyNjM2MDZmYmMyMzQ1MDE5YzA3MDdjNzU3ZDg3ZDkifQ=="/>
  </w:docVars>
  <w:rsids>
    <w:rsidRoot w:val="3A0703CA"/>
    <w:rsid w:val="3A0703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none"/>
    </w:rPr>
  </w:style>
  <w:style w:type="character" w:default="1" w:styleId="3">
    <w:name w:val="Default Paragraph Font"/>
    <w:autoRedefine/>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2023-12-22T19:56:00Z</dcterms:created>
  <dc:creator>yao二</dc:creator>
  <cp:lastModifiedBy>yao二</cp:lastModifiedBy>
  <dcterms:modified xsi:type="dcterms:W3CDTF">2023-12-23T05:39:53Z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F42FF024A9F747319C0607848817E1B8_11</vt:lpwstr>
  </property>
</Properties>
</file>