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A35F0" w14:textId="77777777" w:rsidR="00C02DDA" w:rsidRPr="001C2A6E" w:rsidRDefault="00C02DDA" w:rsidP="00C02DDA">
      <w:pPr>
        <w:jc w:val="both"/>
        <w:rPr>
          <w:rFonts w:ascii="Times New Roman" w:hAnsi="Times New Roman" w:cs="Times New Roman"/>
          <w:b/>
          <w:bCs/>
        </w:rPr>
      </w:pPr>
      <w:r w:rsidRPr="001C2A6E">
        <w:rPr>
          <w:rFonts w:ascii="Times New Roman" w:hAnsi="Times New Roman" w:cs="Times New Roman"/>
          <w:b/>
          <w:bCs/>
        </w:rPr>
        <w:t>Table 1: Eligibility Criteria</w:t>
      </w:r>
    </w:p>
    <w:tbl>
      <w:tblPr>
        <w:tblStyle w:val="TableGrid"/>
        <w:tblW w:w="0" w:type="auto"/>
        <w:tblLook w:val="04A0" w:firstRow="1" w:lastRow="0" w:firstColumn="1" w:lastColumn="0" w:noHBand="0" w:noVBand="1"/>
      </w:tblPr>
      <w:tblGrid>
        <w:gridCol w:w="9350"/>
      </w:tblGrid>
      <w:tr w:rsidR="00C02DDA" w:rsidRPr="001C2A6E" w14:paraId="2C6DF62F" w14:textId="77777777" w:rsidTr="001A2D55">
        <w:tc>
          <w:tcPr>
            <w:tcW w:w="9350" w:type="dxa"/>
          </w:tcPr>
          <w:p w14:paraId="093409F0"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Age ≥18 years.</w:t>
            </w:r>
          </w:p>
        </w:tc>
      </w:tr>
      <w:tr w:rsidR="00C02DDA" w:rsidRPr="001C2A6E" w14:paraId="7DDA37D6" w14:textId="77777777" w:rsidTr="001A2D55">
        <w:tc>
          <w:tcPr>
            <w:tcW w:w="9350" w:type="dxa"/>
          </w:tcPr>
          <w:p w14:paraId="118A332E"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Eastern Cooperative Oncology Group Performance status of 0-2.</w:t>
            </w:r>
          </w:p>
        </w:tc>
      </w:tr>
      <w:tr w:rsidR="00C02DDA" w:rsidRPr="001C2A6E" w14:paraId="1C6B8FAB" w14:textId="77777777" w:rsidTr="001A2D55">
        <w:tc>
          <w:tcPr>
            <w:tcW w:w="9350" w:type="dxa"/>
          </w:tcPr>
          <w:p w14:paraId="379CFB90"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Histologically confirmed metastatic colorectal adenocarcinoma.</w:t>
            </w:r>
          </w:p>
        </w:tc>
      </w:tr>
      <w:tr w:rsidR="00C02DDA" w:rsidRPr="001C2A6E" w14:paraId="12EF472E" w14:textId="77777777" w:rsidTr="001A2D55">
        <w:tc>
          <w:tcPr>
            <w:tcW w:w="9350" w:type="dxa"/>
          </w:tcPr>
          <w:p w14:paraId="65734A1E"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known microsatellite instable (MSI) tumor.</w:t>
            </w:r>
          </w:p>
        </w:tc>
      </w:tr>
      <w:tr w:rsidR="00C02DDA" w:rsidRPr="001C2A6E" w14:paraId="57B2DE1E" w14:textId="77777777" w:rsidTr="001A2D55">
        <w:tc>
          <w:tcPr>
            <w:tcW w:w="9350" w:type="dxa"/>
          </w:tcPr>
          <w:p w14:paraId="008A60DE"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known BRAF V600E mutation.</w:t>
            </w:r>
          </w:p>
        </w:tc>
      </w:tr>
      <w:tr w:rsidR="00C02DDA" w:rsidRPr="001C2A6E" w14:paraId="10B100B8" w14:textId="77777777" w:rsidTr="001A2D55">
        <w:tc>
          <w:tcPr>
            <w:tcW w:w="9350" w:type="dxa"/>
          </w:tcPr>
          <w:p w14:paraId="04000AF5"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known peritoneal and/or omental metastases.</w:t>
            </w:r>
          </w:p>
        </w:tc>
      </w:tr>
      <w:tr w:rsidR="00C02DDA" w:rsidRPr="001C2A6E" w14:paraId="3CA4379D" w14:textId="77777777" w:rsidTr="001A2D55">
        <w:tc>
          <w:tcPr>
            <w:tcW w:w="9350" w:type="dxa"/>
          </w:tcPr>
          <w:p w14:paraId="717550A8"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Primary tumor is already resected or amenable to resection.</w:t>
            </w:r>
          </w:p>
        </w:tc>
      </w:tr>
      <w:tr w:rsidR="00C02DDA" w:rsidRPr="001C2A6E" w14:paraId="333B3C58" w14:textId="77777777" w:rsidTr="001A2D55">
        <w:tc>
          <w:tcPr>
            <w:tcW w:w="9350" w:type="dxa"/>
          </w:tcPr>
          <w:p w14:paraId="02F6622C"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4 or fewer apparent sites of metastatic disease based on review by local medical team of baseline radiographic imaging obtained prior to initiation of systemic therapy.  Single sites include:</w:t>
            </w:r>
          </w:p>
          <w:p w14:paraId="4120E72F"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Each hemi</w:t>
            </w:r>
            <w:r>
              <w:rPr>
                <w:rFonts w:ascii="Times New Roman" w:hAnsi="Times New Roman" w:cs="Times New Roman"/>
              </w:rPr>
              <w:t>-</w:t>
            </w:r>
            <w:r w:rsidRPr="001C2A6E">
              <w:rPr>
                <w:rFonts w:ascii="Times New Roman" w:hAnsi="Times New Roman" w:cs="Times New Roman"/>
              </w:rPr>
              <w:t>liver (right and left).</w:t>
            </w:r>
          </w:p>
          <w:p w14:paraId="2651CE92"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Each lobe of the lungs.</w:t>
            </w:r>
          </w:p>
          <w:p w14:paraId="2B6E6F03"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Each adrenal gland.</w:t>
            </w:r>
          </w:p>
          <w:p w14:paraId="46A593DE"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Lymph nodes amenable to a single resection or treatment in a single stereotactic ablative radiation therapy (SABR) field.</w:t>
            </w:r>
          </w:p>
          <w:p w14:paraId="592673F4"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Bone metastases amenable to treatment in a single SABR field.</w:t>
            </w:r>
          </w:p>
        </w:tc>
      </w:tr>
      <w:tr w:rsidR="00C02DDA" w:rsidRPr="001C2A6E" w14:paraId="0A7D2F99" w14:textId="77777777" w:rsidTr="001A2D55">
        <w:tc>
          <w:tcPr>
            <w:tcW w:w="9350" w:type="dxa"/>
          </w:tcPr>
          <w:p w14:paraId="0286DA9B"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Liver-only metastatic disease is not permitted.</w:t>
            </w:r>
          </w:p>
        </w:tc>
      </w:tr>
      <w:tr w:rsidR="00C02DDA" w:rsidRPr="001C2A6E" w14:paraId="7A8A449C" w14:textId="77777777" w:rsidTr="001A2D55">
        <w:tc>
          <w:tcPr>
            <w:tcW w:w="9350" w:type="dxa"/>
          </w:tcPr>
          <w:p w14:paraId="7F97B867"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Metastatic lesions must be amenable to any combination of surgical resection, microwave ablation, and/or SABR.  SABR is required for at least one lesion.</w:t>
            </w:r>
          </w:p>
        </w:tc>
      </w:tr>
      <w:tr w:rsidR="00C02DDA" w:rsidRPr="001C2A6E" w14:paraId="65209ED8" w14:textId="77777777" w:rsidTr="001A2D55">
        <w:tc>
          <w:tcPr>
            <w:tcW w:w="9350" w:type="dxa"/>
          </w:tcPr>
          <w:p w14:paraId="257719AC" w14:textId="77777777" w:rsidR="00C02DDA" w:rsidRPr="001C2A6E" w:rsidRDefault="00C02DDA" w:rsidP="001A2D55">
            <w:pPr>
              <w:pStyle w:val="ListParagraph"/>
              <w:numPr>
                <w:ilvl w:val="0"/>
                <w:numId w:val="1"/>
              </w:numPr>
              <w:jc w:val="both"/>
              <w:rPr>
                <w:rFonts w:ascii="Times New Roman" w:hAnsi="Times New Roman" w:cs="Times New Roman"/>
              </w:rPr>
            </w:pPr>
            <w:r>
              <w:rPr>
                <w:rFonts w:ascii="Times New Roman" w:hAnsi="Times New Roman" w:cs="Times New Roman"/>
              </w:rPr>
              <w:t>M</w:t>
            </w:r>
            <w:r w:rsidRPr="001C2A6E">
              <w:rPr>
                <w:rFonts w:ascii="Times New Roman" w:hAnsi="Times New Roman" w:cs="Times New Roman"/>
              </w:rPr>
              <w:t>easurable disease per RECIST v1.1.</w:t>
            </w:r>
          </w:p>
        </w:tc>
      </w:tr>
      <w:tr w:rsidR="00C02DDA" w:rsidRPr="001C2A6E" w14:paraId="0FCA1AD9" w14:textId="77777777" w:rsidTr="001A2D55">
        <w:tc>
          <w:tcPr>
            <w:tcW w:w="9350" w:type="dxa"/>
          </w:tcPr>
          <w:p w14:paraId="2F7AA9A0"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over</w:t>
            </w:r>
            <w:r>
              <w:rPr>
                <w:rFonts w:ascii="Times New Roman" w:hAnsi="Times New Roman" w:cs="Times New Roman"/>
              </w:rPr>
              <w:t>t</w:t>
            </w:r>
            <w:r w:rsidRPr="001C2A6E">
              <w:rPr>
                <w:rFonts w:ascii="Times New Roman" w:hAnsi="Times New Roman" w:cs="Times New Roman"/>
              </w:rPr>
              <w:t xml:space="preserve"> evidence of disease progression during systemic therapy prior to registration.</w:t>
            </w:r>
          </w:p>
        </w:tc>
      </w:tr>
      <w:tr w:rsidR="00C02DDA" w:rsidRPr="001C2A6E" w14:paraId="306059C3" w14:textId="77777777" w:rsidTr="001A2D55">
        <w:tc>
          <w:tcPr>
            <w:tcW w:w="9350" w:type="dxa"/>
          </w:tcPr>
          <w:p w14:paraId="5774A164"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Not eligible for hepatic artery infusion pump (HAIP) therapy or benefit of HAIP therapy is undefined.</w:t>
            </w:r>
          </w:p>
        </w:tc>
      </w:tr>
      <w:tr w:rsidR="00C02DDA" w:rsidRPr="001C2A6E" w14:paraId="3B25FF04" w14:textId="77777777" w:rsidTr="001A2D55">
        <w:tc>
          <w:tcPr>
            <w:tcW w:w="9350" w:type="dxa"/>
          </w:tcPr>
          <w:p w14:paraId="7B605EE9" w14:textId="77777777" w:rsidR="00C02DDA" w:rsidRPr="001C2A6E" w:rsidRDefault="00C02DDA" w:rsidP="001A2D55">
            <w:pPr>
              <w:pStyle w:val="ListParagraph"/>
              <w:numPr>
                <w:ilvl w:val="0"/>
                <w:numId w:val="1"/>
              </w:numPr>
              <w:jc w:val="both"/>
              <w:rPr>
                <w:rFonts w:ascii="Times New Roman" w:hAnsi="Times New Roman" w:cs="Times New Roman"/>
              </w:rPr>
            </w:pPr>
            <w:r>
              <w:rPr>
                <w:rFonts w:ascii="Times New Roman" w:hAnsi="Times New Roman" w:cs="Times New Roman"/>
              </w:rPr>
              <w:t>Received</w:t>
            </w:r>
            <w:r w:rsidRPr="001C2A6E">
              <w:rPr>
                <w:rFonts w:ascii="Times New Roman" w:hAnsi="Times New Roman" w:cs="Times New Roman"/>
              </w:rPr>
              <w:t xml:space="preserve"> first-line systemic therapy for metastatic disease for a minimum of </w:t>
            </w:r>
            <w:r>
              <w:rPr>
                <w:rFonts w:ascii="Times New Roman" w:hAnsi="Times New Roman" w:cs="Times New Roman"/>
              </w:rPr>
              <w:t>16 weeks</w:t>
            </w:r>
            <w:r w:rsidRPr="001C2A6E">
              <w:rPr>
                <w:rFonts w:ascii="Times New Roman" w:hAnsi="Times New Roman" w:cs="Times New Roman"/>
              </w:rPr>
              <w:t xml:space="preserve"> and a maximum of </w:t>
            </w:r>
            <w:r>
              <w:rPr>
                <w:rFonts w:ascii="Times New Roman" w:hAnsi="Times New Roman" w:cs="Times New Roman"/>
              </w:rPr>
              <w:t>2</w:t>
            </w:r>
            <w:r w:rsidRPr="001C2A6E">
              <w:rPr>
                <w:rFonts w:ascii="Times New Roman" w:hAnsi="Times New Roman" w:cs="Times New Roman"/>
              </w:rPr>
              <w:t xml:space="preserve">6 </w:t>
            </w:r>
            <w:r>
              <w:rPr>
                <w:rFonts w:ascii="Times New Roman" w:hAnsi="Times New Roman" w:cs="Times New Roman"/>
              </w:rPr>
              <w:t>weeks</w:t>
            </w:r>
            <w:r w:rsidRPr="001C2A6E">
              <w:rPr>
                <w:rFonts w:ascii="Times New Roman" w:hAnsi="Times New Roman" w:cs="Times New Roman"/>
              </w:rPr>
              <w:t>.</w:t>
            </w:r>
          </w:p>
        </w:tc>
      </w:tr>
      <w:tr w:rsidR="00C02DDA" w:rsidRPr="001C2A6E" w14:paraId="2A9B6A26" w14:textId="77777777" w:rsidTr="001A2D55">
        <w:tc>
          <w:tcPr>
            <w:tcW w:w="9350" w:type="dxa"/>
          </w:tcPr>
          <w:p w14:paraId="3BB5055C"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Prior definitive therapy, including adjuvant chemotherapy, must have been completed at least 12 months prior to diagnosis of metastatic disease.</w:t>
            </w:r>
          </w:p>
        </w:tc>
      </w:tr>
      <w:tr w:rsidR="00C02DDA" w:rsidRPr="001C2A6E" w14:paraId="7493753D" w14:textId="77777777" w:rsidTr="001A2D55">
        <w:tc>
          <w:tcPr>
            <w:tcW w:w="9350" w:type="dxa"/>
          </w:tcPr>
          <w:p w14:paraId="2743F179"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pregnant or nursing patients.</w:t>
            </w:r>
          </w:p>
        </w:tc>
      </w:tr>
      <w:tr w:rsidR="00C02DDA" w:rsidRPr="001C2A6E" w14:paraId="68139BA8" w14:textId="77777777" w:rsidTr="001A2D55">
        <w:tc>
          <w:tcPr>
            <w:tcW w:w="9350" w:type="dxa"/>
          </w:tcPr>
          <w:p w14:paraId="58058D89"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No other planned concurrent investigational agents while on study.</w:t>
            </w:r>
          </w:p>
        </w:tc>
      </w:tr>
      <w:tr w:rsidR="00C02DDA" w:rsidRPr="001C2A6E" w14:paraId="5BB61588" w14:textId="77777777" w:rsidTr="001A2D55">
        <w:tc>
          <w:tcPr>
            <w:tcW w:w="9350" w:type="dxa"/>
          </w:tcPr>
          <w:p w14:paraId="53476288" w14:textId="77777777" w:rsidR="00C02DDA" w:rsidRPr="001C2A6E" w:rsidRDefault="00C02DDA" w:rsidP="001A2D55">
            <w:pPr>
              <w:pStyle w:val="ListParagraph"/>
              <w:numPr>
                <w:ilvl w:val="0"/>
                <w:numId w:val="1"/>
              </w:numPr>
              <w:jc w:val="both"/>
              <w:rPr>
                <w:rFonts w:ascii="Times New Roman" w:hAnsi="Times New Roman" w:cs="Times New Roman"/>
              </w:rPr>
            </w:pPr>
            <w:r w:rsidRPr="001C2A6E">
              <w:rPr>
                <w:rFonts w:ascii="Times New Roman" w:hAnsi="Times New Roman" w:cs="Times New Roman"/>
              </w:rPr>
              <w:t>Required initial laboratory values:</w:t>
            </w:r>
          </w:p>
          <w:p w14:paraId="749BE7D3"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Absolute neutrophil count ≥1,500/mm</w:t>
            </w:r>
            <w:r w:rsidRPr="001C2A6E">
              <w:rPr>
                <w:rFonts w:ascii="Times New Roman" w:hAnsi="Times New Roman" w:cs="Times New Roman"/>
                <w:vertAlign w:val="superscript"/>
              </w:rPr>
              <w:t>3</w:t>
            </w:r>
          </w:p>
          <w:p w14:paraId="1C19837D"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Platelet count ≥50,000/mm</w:t>
            </w:r>
            <w:r w:rsidRPr="001C2A6E">
              <w:rPr>
                <w:rFonts w:ascii="Times New Roman" w:hAnsi="Times New Roman" w:cs="Times New Roman"/>
                <w:vertAlign w:val="superscript"/>
              </w:rPr>
              <w:t>3</w:t>
            </w:r>
          </w:p>
          <w:p w14:paraId="19D61360"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Creatinine ≤1.5 x upper limit of normal (ULN) or calculated creatinine clearance ≥30 mL/min</w:t>
            </w:r>
          </w:p>
          <w:p w14:paraId="44B20FDC"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Total bilirubin ≤1.5 x ULN</w:t>
            </w:r>
          </w:p>
          <w:p w14:paraId="7E17376C" w14:textId="77777777" w:rsidR="00C02DDA" w:rsidRPr="001C2A6E" w:rsidRDefault="00C02DDA" w:rsidP="001A2D55">
            <w:pPr>
              <w:pStyle w:val="ListParagraph"/>
              <w:numPr>
                <w:ilvl w:val="1"/>
                <w:numId w:val="1"/>
              </w:numPr>
              <w:jc w:val="both"/>
              <w:rPr>
                <w:rFonts w:ascii="Times New Roman" w:hAnsi="Times New Roman" w:cs="Times New Roman"/>
              </w:rPr>
            </w:pPr>
            <w:r w:rsidRPr="001C2A6E">
              <w:rPr>
                <w:rFonts w:ascii="Times New Roman" w:hAnsi="Times New Roman" w:cs="Times New Roman"/>
              </w:rPr>
              <w:t>AST(SGOT)/ALT(SGPT) ≤3.0 x ULN – if metastatic liver disease, ≤5 x ULN</w:t>
            </w:r>
          </w:p>
        </w:tc>
      </w:tr>
    </w:tbl>
    <w:p w14:paraId="7364E070" w14:textId="77777777" w:rsidR="00C02DDA" w:rsidRDefault="00C02DDA" w:rsidP="00C02DDA">
      <w:pPr>
        <w:jc w:val="both"/>
        <w:rPr>
          <w:rFonts w:ascii="Times New Roman" w:hAnsi="Times New Roman" w:cs="Times New Roman"/>
          <w:b/>
          <w:bCs/>
        </w:rPr>
      </w:pPr>
    </w:p>
    <w:p w14:paraId="00032752" w14:textId="77777777" w:rsidR="00C02DDA" w:rsidRDefault="00C02DDA" w:rsidP="00C02DDA">
      <w:pPr>
        <w:rPr>
          <w:rFonts w:ascii="Times New Roman" w:hAnsi="Times New Roman" w:cs="Times New Roman"/>
          <w:b/>
          <w:bCs/>
        </w:rPr>
      </w:pPr>
      <w:r>
        <w:rPr>
          <w:rFonts w:ascii="Times New Roman" w:hAnsi="Times New Roman" w:cs="Times New Roman"/>
          <w:b/>
          <w:bCs/>
        </w:rPr>
        <w:br w:type="page"/>
      </w:r>
    </w:p>
    <w:p w14:paraId="1408275E" w14:textId="77777777" w:rsidR="00C02DDA" w:rsidRPr="00390D19" w:rsidRDefault="00C02DDA" w:rsidP="00C02DDA">
      <w:pPr>
        <w:rPr>
          <w:rFonts w:ascii="Times New Roman" w:hAnsi="Times New Roman" w:cs="Times New Roman"/>
        </w:rPr>
      </w:pPr>
      <w:r>
        <w:rPr>
          <w:rFonts w:ascii="Times New Roman" w:hAnsi="Times New Roman" w:cs="Times New Roman"/>
          <w:b/>
          <w:bCs/>
        </w:rPr>
        <w:lastRenderedPageBreak/>
        <w:t xml:space="preserve">Table 2: Study Calendar. </w:t>
      </w:r>
      <w:r w:rsidRPr="00390D19">
        <w:rPr>
          <w:rFonts w:ascii="Times New Roman" w:hAnsi="Times New Roman" w:cs="Times New Roman"/>
        </w:rPr>
        <w:t xml:space="preserve">Pre-Study Testing </w:t>
      </w:r>
      <w:r>
        <w:rPr>
          <w:rFonts w:ascii="Times New Roman" w:hAnsi="Times New Roman" w:cs="Times New Roman"/>
        </w:rPr>
        <w:t>to</w:t>
      </w:r>
      <w:r w:rsidRPr="00390D19">
        <w:rPr>
          <w:rFonts w:ascii="Times New Roman" w:hAnsi="Times New Roman" w:cs="Times New Roman"/>
        </w:rPr>
        <w:t xml:space="preserve"> be completed ≤ 28 DAYS before registration: Scan of any type which is used for tumor measurement per protocol</w:t>
      </w:r>
      <w:r>
        <w:rPr>
          <w:rFonts w:ascii="Times New Roman" w:hAnsi="Times New Roman" w:cs="Times New Roman"/>
        </w:rPr>
        <w:t>, a</w:t>
      </w:r>
      <w:r w:rsidRPr="00390D19">
        <w:rPr>
          <w:rFonts w:ascii="Times New Roman" w:hAnsi="Times New Roman" w:cs="Times New Roman"/>
        </w:rPr>
        <w:t>ll laboratory studies and history and physical.</w:t>
      </w:r>
      <w:r w:rsidRPr="00390D19">
        <w:rPr>
          <w:rFonts w:ascii="Times New Roman" w:hAnsi="Times New Roman" w:cs="Times New Roman"/>
          <w:i/>
        </w:rPr>
        <w:t xml:space="preserve"> </w:t>
      </w:r>
    </w:p>
    <w:tbl>
      <w:tblPr>
        <w:tblW w:w="10710" w:type="dxa"/>
        <w:tblInd w:w="-645" w:type="dxa"/>
        <w:tblBorders>
          <w:top w:val="double" w:sz="4" w:space="0" w:color="auto"/>
          <w:left w:val="double" w:sz="4" w:space="0" w:color="auto"/>
          <w:bottom w:val="double" w:sz="4" w:space="0" w:color="auto"/>
          <w:right w:val="double" w:sz="4" w:space="0" w:color="auto"/>
        </w:tblBorders>
        <w:tblLayout w:type="fixed"/>
        <w:tblCellMar>
          <w:left w:w="80" w:type="dxa"/>
          <w:right w:w="80" w:type="dxa"/>
        </w:tblCellMar>
        <w:tblLook w:val="0000" w:firstRow="0" w:lastRow="0" w:firstColumn="0" w:lastColumn="0" w:noHBand="0" w:noVBand="0"/>
      </w:tblPr>
      <w:tblGrid>
        <w:gridCol w:w="2070"/>
        <w:gridCol w:w="1350"/>
        <w:gridCol w:w="1260"/>
        <w:gridCol w:w="1620"/>
        <w:gridCol w:w="1530"/>
        <w:gridCol w:w="1440"/>
        <w:gridCol w:w="1440"/>
      </w:tblGrid>
      <w:tr w:rsidR="00C02DDA" w:rsidRPr="00390D19" w14:paraId="267A03B1" w14:textId="77777777" w:rsidTr="001A2D55">
        <w:trPr>
          <w:trHeight w:val="505"/>
          <w:tblHeader/>
        </w:trPr>
        <w:tc>
          <w:tcPr>
            <w:tcW w:w="2070" w:type="dxa"/>
            <w:tcBorders>
              <w:top w:val="single" w:sz="8" w:space="0" w:color="auto"/>
              <w:bottom w:val="single" w:sz="8" w:space="0" w:color="auto"/>
              <w:right w:val="single" w:sz="12" w:space="0" w:color="auto"/>
            </w:tcBorders>
            <w:shd w:val="clear" w:color="auto" w:fill="auto"/>
            <w:vAlign w:val="center"/>
          </w:tcPr>
          <w:p w14:paraId="17DB0BEE" w14:textId="77777777" w:rsidR="00C02DDA" w:rsidRPr="00390D19" w:rsidRDefault="00C02DDA" w:rsidP="001A2D55">
            <w:pPr>
              <w:rPr>
                <w:rFonts w:ascii="Times New Roman" w:hAnsi="Times New Roman" w:cs="Times New Roman"/>
                <w:sz w:val="20"/>
                <w:szCs w:val="20"/>
              </w:rPr>
            </w:pPr>
          </w:p>
        </w:tc>
        <w:tc>
          <w:tcPr>
            <w:tcW w:w="1350" w:type="dxa"/>
            <w:tcBorders>
              <w:top w:val="single" w:sz="8" w:space="0" w:color="auto"/>
              <w:bottom w:val="single" w:sz="8" w:space="0" w:color="auto"/>
              <w:right w:val="single" w:sz="4" w:space="0" w:color="auto"/>
            </w:tcBorders>
            <w:vAlign w:val="center"/>
          </w:tcPr>
          <w:p w14:paraId="49657567"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Prior to Pre-Registration</w:t>
            </w:r>
          </w:p>
        </w:tc>
        <w:tc>
          <w:tcPr>
            <w:tcW w:w="1260" w:type="dxa"/>
            <w:tcBorders>
              <w:top w:val="single" w:sz="8" w:space="0" w:color="auto"/>
              <w:left w:val="single" w:sz="4" w:space="0" w:color="auto"/>
              <w:bottom w:val="single" w:sz="8" w:space="0" w:color="auto"/>
              <w:right w:val="dotted" w:sz="4" w:space="0" w:color="auto"/>
            </w:tcBorders>
            <w:shd w:val="clear" w:color="auto" w:fill="auto"/>
            <w:vAlign w:val="center"/>
          </w:tcPr>
          <w:p w14:paraId="5455BAA2"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Day 1 of each cycle of systemic therapy*</w:t>
            </w:r>
          </w:p>
        </w:tc>
        <w:tc>
          <w:tcPr>
            <w:tcW w:w="1620" w:type="dxa"/>
            <w:tcBorders>
              <w:top w:val="single" w:sz="8" w:space="0" w:color="auto"/>
              <w:left w:val="dotted" w:sz="4" w:space="0" w:color="auto"/>
              <w:bottom w:val="single" w:sz="8" w:space="0" w:color="auto"/>
              <w:right w:val="dotted" w:sz="4" w:space="0" w:color="auto"/>
            </w:tcBorders>
            <w:shd w:val="clear" w:color="auto" w:fill="auto"/>
            <w:vAlign w:val="center"/>
          </w:tcPr>
          <w:p w14:paraId="77E5C2A6"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Prior to Registration/Randomization*</w:t>
            </w:r>
          </w:p>
        </w:tc>
        <w:tc>
          <w:tcPr>
            <w:tcW w:w="1530" w:type="dxa"/>
            <w:tcBorders>
              <w:top w:val="single" w:sz="8" w:space="0" w:color="auto"/>
              <w:left w:val="dotted" w:sz="4" w:space="0" w:color="auto"/>
              <w:bottom w:val="single" w:sz="8" w:space="0" w:color="auto"/>
              <w:right w:val="dotted" w:sz="4" w:space="0" w:color="auto"/>
            </w:tcBorders>
            <w:shd w:val="clear" w:color="auto" w:fill="auto"/>
            <w:vAlign w:val="center"/>
          </w:tcPr>
          <w:p w14:paraId="4469466D" w14:textId="77777777" w:rsidR="00C02DDA" w:rsidRPr="00390D19" w:rsidDel="005A735D"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During T</w:t>
            </w:r>
            <w:r>
              <w:rPr>
                <w:rFonts w:ascii="Times New Roman" w:hAnsi="Times New Roman" w:cs="Times New Roman"/>
                <w:sz w:val="20"/>
                <w:szCs w:val="20"/>
              </w:rPr>
              <w:t>otal Ablative Therapy (T</w:t>
            </w:r>
            <w:r w:rsidRPr="00390D19">
              <w:rPr>
                <w:rFonts w:ascii="Times New Roman" w:hAnsi="Times New Roman" w:cs="Times New Roman"/>
                <w:sz w:val="20"/>
                <w:szCs w:val="20"/>
              </w:rPr>
              <w:t>AT</w:t>
            </w:r>
            <w:r>
              <w:rPr>
                <w:rFonts w:ascii="Times New Roman" w:hAnsi="Times New Roman" w:cs="Times New Roman"/>
                <w:sz w:val="20"/>
                <w:szCs w:val="20"/>
              </w:rPr>
              <w:t>)</w:t>
            </w:r>
            <w:r w:rsidRPr="00390D19">
              <w:rPr>
                <w:rFonts w:ascii="Times New Roman" w:hAnsi="Times New Roman" w:cs="Times New Roman"/>
                <w:sz w:val="20"/>
                <w:szCs w:val="20"/>
              </w:rPr>
              <w:t xml:space="preserve"> **</w:t>
            </w:r>
          </w:p>
        </w:tc>
        <w:tc>
          <w:tcPr>
            <w:tcW w:w="1440" w:type="dxa"/>
            <w:tcBorders>
              <w:top w:val="single" w:sz="8" w:space="0" w:color="auto"/>
              <w:left w:val="dotted" w:sz="4" w:space="0" w:color="auto"/>
              <w:bottom w:val="single" w:sz="8" w:space="0" w:color="auto"/>
              <w:right w:val="dotted" w:sz="4" w:space="0" w:color="auto"/>
            </w:tcBorders>
            <w:vAlign w:val="center"/>
          </w:tcPr>
          <w:p w14:paraId="15BFA1A3"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During S</w:t>
            </w:r>
            <w:r>
              <w:rPr>
                <w:rFonts w:ascii="Times New Roman" w:hAnsi="Times New Roman" w:cs="Times New Roman"/>
                <w:sz w:val="20"/>
                <w:szCs w:val="20"/>
              </w:rPr>
              <w:t>tandard of Care Treatment (S</w:t>
            </w:r>
            <w:r w:rsidRPr="00390D19">
              <w:rPr>
                <w:rFonts w:ascii="Times New Roman" w:hAnsi="Times New Roman" w:cs="Times New Roman"/>
                <w:sz w:val="20"/>
                <w:szCs w:val="20"/>
              </w:rPr>
              <w:t>OC</w:t>
            </w:r>
            <w:r>
              <w:rPr>
                <w:rFonts w:ascii="Times New Roman" w:hAnsi="Times New Roman" w:cs="Times New Roman"/>
                <w:sz w:val="20"/>
                <w:szCs w:val="20"/>
              </w:rPr>
              <w:t>)</w:t>
            </w:r>
            <w:r w:rsidRPr="00390D19">
              <w:rPr>
                <w:rFonts w:ascii="Times New Roman" w:hAnsi="Times New Roman" w:cs="Times New Roman"/>
                <w:sz w:val="20"/>
                <w:szCs w:val="20"/>
              </w:rPr>
              <w:t xml:space="preserve"> **</w:t>
            </w:r>
          </w:p>
        </w:tc>
        <w:tc>
          <w:tcPr>
            <w:tcW w:w="1440" w:type="dxa"/>
            <w:tcBorders>
              <w:top w:val="single" w:sz="8" w:space="0" w:color="auto"/>
              <w:left w:val="dotted" w:sz="4" w:space="0" w:color="auto"/>
              <w:bottom w:val="single" w:sz="8" w:space="0" w:color="auto"/>
            </w:tcBorders>
            <w:shd w:val="clear" w:color="auto" w:fill="auto"/>
            <w:vAlign w:val="center"/>
          </w:tcPr>
          <w:p w14:paraId="73A89C1D"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Follow-up***</w:t>
            </w:r>
          </w:p>
        </w:tc>
      </w:tr>
      <w:tr w:rsidR="00C02DDA" w:rsidRPr="00390D19" w14:paraId="767AC108" w14:textId="77777777" w:rsidTr="001A2D55">
        <w:trPr>
          <w:trHeight w:val="301"/>
        </w:trPr>
        <w:tc>
          <w:tcPr>
            <w:tcW w:w="2070" w:type="dxa"/>
            <w:tcBorders>
              <w:top w:val="single" w:sz="8" w:space="0" w:color="auto"/>
              <w:bottom w:val="dotted" w:sz="4" w:space="0" w:color="auto"/>
              <w:right w:val="single" w:sz="12" w:space="0" w:color="auto"/>
            </w:tcBorders>
            <w:shd w:val="clear" w:color="auto" w:fill="F2F2F2" w:themeFill="background1" w:themeFillShade="F2"/>
          </w:tcPr>
          <w:p w14:paraId="31EC5A38"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Tests &amp; Observations</w:t>
            </w:r>
          </w:p>
        </w:tc>
        <w:tc>
          <w:tcPr>
            <w:tcW w:w="1350" w:type="dxa"/>
            <w:tcBorders>
              <w:top w:val="single" w:sz="8" w:space="0" w:color="auto"/>
              <w:bottom w:val="dotted" w:sz="4" w:space="0" w:color="auto"/>
            </w:tcBorders>
            <w:shd w:val="clear" w:color="auto" w:fill="F2F2F2" w:themeFill="background1" w:themeFillShade="F2"/>
          </w:tcPr>
          <w:p w14:paraId="534DE3AB" w14:textId="77777777" w:rsidR="00C02DDA" w:rsidRPr="00390D19" w:rsidRDefault="00C02DDA" w:rsidP="001A2D55">
            <w:pPr>
              <w:rPr>
                <w:rFonts w:ascii="Times New Roman" w:hAnsi="Times New Roman" w:cs="Times New Roman"/>
                <w:sz w:val="20"/>
                <w:szCs w:val="20"/>
              </w:rPr>
            </w:pPr>
          </w:p>
        </w:tc>
        <w:tc>
          <w:tcPr>
            <w:tcW w:w="7290" w:type="dxa"/>
            <w:gridSpan w:val="5"/>
            <w:tcBorders>
              <w:top w:val="single" w:sz="8" w:space="0" w:color="auto"/>
              <w:bottom w:val="dotted" w:sz="4" w:space="0" w:color="auto"/>
            </w:tcBorders>
            <w:shd w:val="clear" w:color="auto" w:fill="F2F2F2" w:themeFill="background1" w:themeFillShade="F2"/>
            <w:vAlign w:val="center"/>
          </w:tcPr>
          <w:p w14:paraId="6E240257" w14:textId="77777777" w:rsidR="00C02DDA" w:rsidRPr="00390D19" w:rsidRDefault="00C02DDA" w:rsidP="001A2D55">
            <w:pPr>
              <w:rPr>
                <w:rFonts w:ascii="Times New Roman" w:hAnsi="Times New Roman" w:cs="Times New Roman"/>
                <w:sz w:val="20"/>
                <w:szCs w:val="20"/>
              </w:rPr>
            </w:pPr>
          </w:p>
        </w:tc>
      </w:tr>
      <w:tr w:rsidR="00C02DDA" w:rsidRPr="00390D19" w14:paraId="36375509"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5E4C52CE"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H</w:t>
            </w:r>
            <w:r>
              <w:rPr>
                <w:rFonts w:ascii="Times New Roman" w:hAnsi="Times New Roman" w:cs="Times New Roman"/>
                <w:sz w:val="20"/>
                <w:szCs w:val="20"/>
              </w:rPr>
              <w:t>istory &amp; Physical</w:t>
            </w:r>
            <w:r w:rsidRPr="00390D19">
              <w:rPr>
                <w:rFonts w:ascii="Times New Roman" w:hAnsi="Times New Roman" w:cs="Times New Roman"/>
                <w:sz w:val="20"/>
                <w:szCs w:val="20"/>
              </w:rPr>
              <w:t xml:space="preserve">, weight, </w:t>
            </w:r>
            <w:r>
              <w:rPr>
                <w:rFonts w:ascii="Times New Roman" w:hAnsi="Times New Roman" w:cs="Times New Roman"/>
                <w:sz w:val="20"/>
                <w:szCs w:val="20"/>
              </w:rPr>
              <w:t>performance status</w:t>
            </w:r>
          </w:p>
        </w:tc>
        <w:tc>
          <w:tcPr>
            <w:tcW w:w="1350" w:type="dxa"/>
            <w:tcBorders>
              <w:top w:val="dotted" w:sz="4" w:space="0" w:color="auto"/>
              <w:bottom w:val="dotted" w:sz="4" w:space="0" w:color="auto"/>
              <w:right w:val="single" w:sz="4" w:space="0" w:color="auto"/>
            </w:tcBorders>
            <w:vAlign w:val="center"/>
          </w:tcPr>
          <w:p w14:paraId="31118F44"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09B1E2CC"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08565D57"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7447930A"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right w:val="dotted" w:sz="4" w:space="0" w:color="auto"/>
            </w:tcBorders>
            <w:vAlign w:val="center"/>
          </w:tcPr>
          <w:p w14:paraId="78E0EEED"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tcBorders>
            <w:shd w:val="clear" w:color="auto" w:fill="auto"/>
            <w:vAlign w:val="center"/>
          </w:tcPr>
          <w:p w14:paraId="683AE385"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r>
      <w:tr w:rsidR="00C02DDA" w:rsidRPr="00390D19" w14:paraId="3AF1598C"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03C60D72"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Height</w:t>
            </w:r>
          </w:p>
        </w:tc>
        <w:tc>
          <w:tcPr>
            <w:tcW w:w="1350" w:type="dxa"/>
            <w:tcBorders>
              <w:top w:val="dotted" w:sz="4" w:space="0" w:color="auto"/>
              <w:bottom w:val="dotted" w:sz="4" w:space="0" w:color="auto"/>
              <w:right w:val="single" w:sz="4" w:space="0" w:color="auto"/>
            </w:tcBorders>
            <w:vAlign w:val="center"/>
          </w:tcPr>
          <w:p w14:paraId="5FFE735A"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3F9C3297" w14:textId="77777777" w:rsidR="00C02DDA" w:rsidRPr="00390D19" w:rsidRDefault="00C02DDA" w:rsidP="001A2D55">
            <w:pPr>
              <w:rPr>
                <w:rFonts w:ascii="Times New Roman" w:hAnsi="Times New Roman" w:cs="Times New Roman"/>
                <w:sz w:val="20"/>
                <w:szCs w:val="20"/>
              </w:rPr>
            </w:pP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664D9E1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4AB71DB7"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right w:val="dotted" w:sz="4" w:space="0" w:color="auto"/>
            </w:tcBorders>
            <w:vAlign w:val="center"/>
          </w:tcPr>
          <w:p w14:paraId="6DFBE040"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tcBorders>
            <w:shd w:val="clear" w:color="auto" w:fill="auto"/>
            <w:vAlign w:val="center"/>
          </w:tcPr>
          <w:p w14:paraId="72D6F13B" w14:textId="77777777" w:rsidR="00C02DDA" w:rsidRPr="00390D19" w:rsidRDefault="00C02DDA" w:rsidP="001A2D55">
            <w:pPr>
              <w:rPr>
                <w:rFonts w:ascii="Times New Roman" w:hAnsi="Times New Roman" w:cs="Times New Roman"/>
                <w:sz w:val="20"/>
                <w:szCs w:val="20"/>
              </w:rPr>
            </w:pPr>
          </w:p>
        </w:tc>
      </w:tr>
      <w:tr w:rsidR="00C02DDA" w:rsidRPr="00390D19" w14:paraId="1BCA69C8"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5805261A"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Pulse, Blood Pressure</w:t>
            </w:r>
          </w:p>
        </w:tc>
        <w:tc>
          <w:tcPr>
            <w:tcW w:w="1350" w:type="dxa"/>
            <w:tcBorders>
              <w:top w:val="dotted" w:sz="4" w:space="0" w:color="auto"/>
              <w:bottom w:val="dotted" w:sz="4" w:space="0" w:color="auto"/>
              <w:right w:val="single" w:sz="4" w:space="0" w:color="auto"/>
            </w:tcBorders>
            <w:vAlign w:val="center"/>
          </w:tcPr>
          <w:p w14:paraId="58938FE8"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300496AB"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3B14DA5D" w14:textId="77777777" w:rsidR="00C02DDA" w:rsidRPr="00390D19" w:rsidRDefault="00C02DDA" w:rsidP="001A2D55">
            <w:pPr>
              <w:rPr>
                <w:rFonts w:ascii="Times New Roman" w:hAnsi="Times New Roman" w:cs="Times New Roman"/>
                <w:sz w:val="20"/>
                <w:szCs w:val="20"/>
                <w:vertAlign w:val="superscript"/>
              </w:rPr>
            </w:pPr>
            <w:r w:rsidRPr="00390D19">
              <w:rPr>
                <w:rFonts w:ascii="Times New Roman" w:hAnsi="Times New Roman" w:cs="Times New Roman"/>
                <w:sz w:val="20"/>
                <w:szCs w:val="20"/>
              </w:rPr>
              <w:t>X</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2A09FD20"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right w:val="dotted" w:sz="4" w:space="0" w:color="auto"/>
            </w:tcBorders>
            <w:vAlign w:val="center"/>
          </w:tcPr>
          <w:p w14:paraId="5C407835"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tcBorders>
            <w:shd w:val="clear" w:color="auto" w:fill="auto"/>
            <w:vAlign w:val="center"/>
          </w:tcPr>
          <w:p w14:paraId="30508350" w14:textId="77777777" w:rsidR="00C02DDA" w:rsidRPr="00390D19" w:rsidRDefault="00C02DDA" w:rsidP="001A2D55">
            <w:pPr>
              <w:rPr>
                <w:rFonts w:ascii="Times New Roman" w:hAnsi="Times New Roman" w:cs="Times New Roman"/>
                <w:sz w:val="20"/>
                <w:szCs w:val="20"/>
              </w:rPr>
            </w:pPr>
          </w:p>
        </w:tc>
      </w:tr>
      <w:tr w:rsidR="00C02DDA" w:rsidRPr="00390D19" w14:paraId="2E0F4331"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3F48EFB4"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CTCAE Adverse Event Assessment</w:t>
            </w:r>
          </w:p>
        </w:tc>
        <w:tc>
          <w:tcPr>
            <w:tcW w:w="1350" w:type="dxa"/>
            <w:tcBorders>
              <w:top w:val="dotted" w:sz="4" w:space="0" w:color="auto"/>
              <w:bottom w:val="dotted" w:sz="4" w:space="0" w:color="auto"/>
              <w:right w:val="single" w:sz="4" w:space="0" w:color="auto"/>
            </w:tcBorders>
            <w:vAlign w:val="center"/>
          </w:tcPr>
          <w:p w14:paraId="6C20A242"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3AFD9DF6"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X(1)</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2EA1B412"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X(1)</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0C85D7E1"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X(1)</w:t>
            </w:r>
          </w:p>
        </w:tc>
        <w:tc>
          <w:tcPr>
            <w:tcW w:w="1440" w:type="dxa"/>
            <w:tcBorders>
              <w:top w:val="dotted" w:sz="4" w:space="0" w:color="auto"/>
              <w:left w:val="dotted" w:sz="4" w:space="0" w:color="auto"/>
              <w:bottom w:val="dotted" w:sz="4" w:space="0" w:color="auto"/>
              <w:right w:val="dotted" w:sz="4" w:space="0" w:color="auto"/>
            </w:tcBorders>
            <w:vAlign w:val="center"/>
          </w:tcPr>
          <w:p w14:paraId="05B79534"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X(1)</w:t>
            </w:r>
          </w:p>
        </w:tc>
        <w:tc>
          <w:tcPr>
            <w:tcW w:w="1440" w:type="dxa"/>
            <w:tcBorders>
              <w:top w:val="dotted" w:sz="4" w:space="0" w:color="auto"/>
              <w:left w:val="dotted" w:sz="4" w:space="0" w:color="auto"/>
              <w:bottom w:val="dotted" w:sz="4" w:space="0" w:color="auto"/>
            </w:tcBorders>
            <w:shd w:val="clear" w:color="auto" w:fill="auto"/>
            <w:vAlign w:val="center"/>
          </w:tcPr>
          <w:p w14:paraId="6EE3A3C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X(1)</w:t>
            </w:r>
          </w:p>
        </w:tc>
      </w:tr>
      <w:tr w:rsidR="00C02DDA" w:rsidRPr="00390D19" w14:paraId="11E142B7" w14:textId="77777777" w:rsidTr="001A2D55">
        <w:trPr>
          <w:trHeight w:val="274"/>
        </w:trPr>
        <w:tc>
          <w:tcPr>
            <w:tcW w:w="2070" w:type="dxa"/>
            <w:tcBorders>
              <w:top w:val="single" w:sz="8" w:space="0" w:color="auto"/>
              <w:bottom w:val="dotted" w:sz="4" w:space="0" w:color="auto"/>
              <w:right w:val="single" w:sz="12" w:space="0" w:color="auto"/>
            </w:tcBorders>
            <w:shd w:val="clear" w:color="auto" w:fill="F2F2F2" w:themeFill="background1" w:themeFillShade="F2"/>
          </w:tcPr>
          <w:p w14:paraId="1A917B4E"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Laboratory Studies</w:t>
            </w:r>
          </w:p>
        </w:tc>
        <w:tc>
          <w:tcPr>
            <w:tcW w:w="1350" w:type="dxa"/>
            <w:tcBorders>
              <w:top w:val="single" w:sz="8" w:space="0" w:color="auto"/>
              <w:bottom w:val="dotted" w:sz="4" w:space="0" w:color="auto"/>
            </w:tcBorders>
            <w:shd w:val="clear" w:color="auto" w:fill="F2F2F2" w:themeFill="background1" w:themeFillShade="F2"/>
          </w:tcPr>
          <w:p w14:paraId="5A342445" w14:textId="77777777" w:rsidR="00C02DDA" w:rsidRPr="00390D19" w:rsidRDefault="00C02DDA" w:rsidP="001A2D55">
            <w:pPr>
              <w:rPr>
                <w:rFonts w:ascii="Times New Roman" w:hAnsi="Times New Roman" w:cs="Times New Roman"/>
                <w:sz w:val="20"/>
                <w:szCs w:val="20"/>
              </w:rPr>
            </w:pPr>
          </w:p>
        </w:tc>
        <w:tc>
          <w:tcPr>
            <w:tcW w:w="7290" w:type="dxa"/>
            <w:gridSpan w:val="5"/>
            <w:tcBorders>
              <w:top w:val="single" w:sz="8" w:space="0" w:color="auto"/>
              <w:bottom w:val="dotted" w:sz="4" w:space="0" w:color="auto"/>
            </w:tcBorders>
            <w:shd w:val="clear" w:color="auto" w:fill="F2F2F2" w:themeFill="background1" w:themeFillShade="F2"/>
            <w:vAlign w:val="center"/>
          </w:tcPr>
          <w:p w14:paraId="1D60491B" w14:textId="77777777" w:rsidR="00C02DDA" w:rsidRPr="00390D19" w:rsidRDefault="00C02DDA" w:rsidP="001A2D55">
            <w:pPr>
              <w:rPr>
                <w:rFonts w:ascii="Times New Roman" w:hAnsi="Times New Roman" w:cs="Times New Roman"/>
                <w:sz w:val="20"/>
                <w:szCs w:val="20"/>
              </w:rPr>
            </w:pPr>
          </w:p>
        </w:tc>
      </w:tr>
      <w:tr w:rsidR="00C02DDA" w:rsidRPr="00390D19" w14:paraId="479AA2D5"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09C918E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CBC incl</w:t>
            </w:r>
            <w:r>
              <w:rPr>
                <w:rFonts w:ascii="Times New Roman" w:hAnsi="Times New Roman" w:cs="Times New Roman"/>
                <w:sz w:val="20"/>
                <w:szCs w:val="20"/>
              </w:rPr>
              <w:t>uding</w:t>
            </w:r>
            <w:r w:rsidRPr="00390D19">
              <w:rPr>
                <w:rFonts w:ascii="Times New Roman" w:hAnsi="Times New Roman" w:cs="Times New Roman"/>
                <w:sz w:val="20"/>
                <w:szCs w:val="20"/>
              </w:rPr>
              <w:t xml:space="preserve"> Differential</w:t>
            </w:r>
          </w:p>
        </w:tc>
        <w:tc>
          <w:tcPr>
            <w:tcW w:w="1350" w:type="dxa"/>
            <w:tcBorders>
              <w:top w:val="dotted" w:sz="4" w:space="0" w:color="auto"/>
              <w:bottom w:val="dotted" w:sz="4" w:space="0" w:color="auto"/>
              <w:right w:val="single" w:sz="4" w:space="0" w:color="auto"/>
            </w:tcBorders>
            <w:vAlign w:val="center"/>
          </w:tcPr>
          <w:p w14:paraId="02CD5F7E"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1BD504C5"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5624C28C"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5B48628E"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right w:val="dotted" w:sz="4" w:space="0" w:color="auto"/>
            </w:tcBorders>
            <w:vAlign w:val="center"/>
          </w:tcPr>
          <w:p w14:paraId="02F9B86F"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c>
          <w:tcPr>
            <w:tcW w:w="1440" w:type="dxa"/>
            <w:tcBorders>
              <w:top w:val="dotted" w:sz="4" w:space="0" w:color="auto"/>
              <w:left w:val="dotted" w:sz="4" w:space="0" w:color="auto"/>
              <w:bottom w:val="dotted" w:sz="4" w:space="0" w:color="auto"/>
            </w:tcBorders>
            <w:shd w:val="clear" w:color="auto" w:fill="auto"/>
            <w:vAlign w:val="center"/>
          </w:tcPr>
          <w:p w14:paraId="41251B71"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w:t>
            </w:r>
          </w:p>
        </w:tc>
      </w:tr>
      <w:tr w:rsidR="00C02DDA" w:rsidRPr="00390D19" w14:paraId="397818B1"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12659BA0"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Comprehensive Metabolic Panel</w:t>
            </w:r>
          </w:p>
        </w:tc>
        <w:tc>
          <w:tcPr>
            <w:tcW w:w="1350" w:type="dxa"/>
            <w:tcBorders>
              <w:top w:val="dotted" w:sz="4" w:space="0" w:color="auto"/>
              <w:bottom w:val="dotted" w:sz="4" w:space="0" w:color="auto"/>
              <w:right w:val="single" w:sz="4" w:space="0" w:color="auto"/>
            </w:tcBorders>
            <w:vAlign w:val="center"/>
          </w:tcPr>
          <w:p w14:paraId="5F0FFF39"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03BF0D18"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X(2)</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53660DF6"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X(2)</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0D3271B5"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X(2)</w:t>
            </w:r>
          </w:p>
        </w:tc>
        <w:tc>
          <w:tcPr>
            <w:tcW w:w="1440" w:type="dxa"/>
            <w:tcBorders>
              <w:top w:val="dotted" w:sz="4" w:space="0" w:color="auto"/>
              <w:left w:val="dotted" w:sz="4" w:space="0" w:color="auto"/>
              <w:bottom w:val="dotted" w:sz="4" w:space="0" w:color="auto"/>
              <w:right w:val="dotted" w:sz="4" w:space="0" w:color="auto"/>
            </w:tcBorders>
            <w:vAlign w:val="center"/>
          </w:tcPr>
          <w:p w14:paraId="6340F056"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X(2)</w:t>
            </w:r>
          </w:p>
        </w:tc>
        <w:tc>
          <w:tcPr>
            <w:tcW w:w="1440" w:type="dxa"/>
            <w:tcBorders>
              <w:top w:val="dotted" w:sz="4" w:space="0" w:color="auto"/>
              <w:left w:val="dotted" w:sz="4" w:space="0" w:color="auto"/>
              <w:bottom w:val="dotted" w:sz="4" w:space="0" w:color="auto"/>
            </w:tcBorders>
            <w:shd w:val="clear" w:color="auto" w:fill="auto"/>
            <w:vAlign w:val="center"/>
          </w:tcPr>
          <w:p w14:paraId="4D510D4D"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X(2)</w:t>
            </w:r>
          </w:p>
        </w:tc>
      </w:tr>
      <w:tr w:rsidR="00C02DDA" w:rsidRPr="00390D19" w14:paraId="42EABA51"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4F58105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Serum or Urine HCG</w:t>
            </w:r>
          </w:p>
        </w:tc>
        <w:tc>
          <w:tcPr>
            <w:tcW w:w="1350" w:type="dxa"/>
            <w:tcBorders>
              <w:top w:val="dotted" w:sz="4" w:space="0" w:color="auto"/>
              <w:bottom w:val="dotted" w:sz="4" w:space="0" w:color="auto"/>
              <w:right w:val="single" w:sz="4" w:space="0" w:color="auto"/>
            </w:tcBorders>
            <w:vAlign w:val="center"/>
          </w:tcPr>
          <w:p w14:paraId="0077FC34"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16131083" w14:textId="77777777" w:rsidR="00C02DDA" w:rsidRPr="00390D19" w:rsidRDefault="00C02DDA" w:rsidP="001A2D55">
            <w:pPr>
              <w:rPr>
                <w:rFonts w:ascii="Times New Roman" w:hAnsi="Times New Roman" w:cs="Times New Roman"/>
                <w:sz w:val="20"/>
                <w:szCs w:val="20"/>
              </w:rPr>
            </w:pP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746D3F37"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X(3)</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1E1F0D37"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right w:val="dotted" w:sz="4" w:space="0" w:color="auto"/>
            </w:tcBorders>
          </w:tcPr>
          <w:p w14:paraId="284ACC53"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tcBorders>
            <w:shd w:val="clear" w:color="auto" w:fill="auto"/>
            <w:vAlign w:val="center"/>
          </w:tcPr>
          <w:p w14:paraId="588D61B8" w14:textId="77777777" w:rsidR="00C02DDA" w:rsidRPr="00390D19" w:rsidRDefault="00C02DDA" w:rsidP="001A2D55">
            <w:pPr>
              <w:rPr>
                <w:rFonts w:ascii="Times New Roman" w:hAnsi="Times New Roman" w:cs="Times New Roman"/>
                <w:sz w:val="20"/>
                <w:szCs w:val="20"/>
              </w:rPr>
            </w:pPr>
          </w:p>
        </w:tc>
      </w:tr>
      <w:tr w:rsidR="00C02DDA" w:rsidRPr="00390D19" w14:paraId="52316A9A" w14:textId="77777777" w:rsidTr="001A2D55">
        <w:trPr>
          <w:trHeight w:val="261"/>
        </w:trPr>
        <w:tc>
          <w:tcPr>
            <w:tcW w:w="2070" w:type="dxa"/>
            <w:tcBorders>
              <w:top w:val="dotted" w:sz="4" w:space="0" w:color="auto"/>
              <w:bottom w:val="dotted" w:sz="4" w:space="0" w:color="auto"/>
              <w:right w:val="single" w:sz="12" w:space="0" w:color="auto"/>
            </w:tcBorders>
            <w:shd w:val="clear" w:color="auto" w:fill="auto"/>
          </w:tcPr>
          <w:p w14:paraId="41FA938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CEA</w:t>
            </w:r>
          </w:p>
        </w:tc>
        <w:tc>
          <w:tcPr>
            <w:tcW w:w="1350" w:type="dxa"/>
            <w:tcBorders>
              <w:top w:val="dotted" w:sz="4" w:space="0" w:color="auto"/>
              <w:bottom w:val="dotted" w:sz="4" w:space="0" w:color="auto"/>
              <w:right w:val="single" w:sz="4" w:space="0" w:color="auto"/>
            </w:tcBorders>
            <w:vAlign w:val="center"/>
          </w:tcPr>
          <w:p w14:paraId="44FACE01"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64BDD108" w14:textId="77777777" w:rsidR="00C02DDA" w:rsidRPr="00390D19" w:rsidRDefault="00C02DDA" w:rsidP="001A2D55">
            <w:pPr>
              <w:rPr>
                <w:rFonts w:ascii="Times New Roman" w:hAnsi="Times New Roman" w:cs="Times New Roman"/>
                <w:sz w:val="20"/>
                <w:szCs w:val="20"/>
              </w:rPr>
            </w:pP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6109037C"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X(4)</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31D7953F"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right w:val="dotted" w:sz="4" w:space="0" w:color="auto"/>
            </w:tcBorders>
          </w:tcPr>
          <w:p w14:paraId="36856CA0"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dotted" w:sz="4" w:space="0" w:color="auto"/>
            </w:tcBorders>
            <w:shd w:val="clear" w:color="auto" w:fill="auto"/>
            <w:vAlign w:val="center"/>
          </w:tcPr>
          <w:p w14:paraId="37A50EB1"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X(4)</w:t>
            </w:r>
          </w:p>
        </w:tc>
      </w:tr>
      <w:tr w:rsidR="00C02DDA" w:rsidRPr="00390D19" w14:paraId="21763434" w14:textId="77777777" w:rsidTr="001A2D55">
        <w:trPr>
          <w:trHeight w:val="261"/>
        </w:trPr>
        <w:tc>
          <w:tcPr>
            <w:tcW w:w="2070" w:type="dxa"/>
            <w:tcBorders>
              <w:top w:val="dotted" w:sz="4" w:space="0" w:color="auto"/>
              <w:bottom w:val="single" w:sz="8" w:space="0" w:color="auto"/>
              <w:right w:val="single" w:sz="12" w:space="0" w:color="auto"/>
            </w:tcBorders>
            <w:shd w:val="clear" w:color="auto" w:fill="auto"/>
          </w:tcPr>
          <w:p w14:paraId="4CD368AA"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CD4 count</w:t>
            </w:r>
          </w:p>
        </w:tc>
        <w:tc>
          <w:tcPr>
            <w:tcW w:w="1350" w:type="dxa"/>
            <w:tcBorders>
              <w:top w:val="dotted" w:sz="4" w:space="0" w:color="auto"/>
              <w:bottom w:val="single" w:sz="8" w:space="0" w:color="auto"/>
              <w:right w:val="single" w:sz="4" w:space="0" w:color="auto"/>
            </w:tcBorders>
            <w:vAlign w:val="center"/>
          </w:tcPr>
          <w:p w14:paraId="65632FFA" w14:textId="77777777" w:rsidR="00C02DDA" w:rsidRPr="00390D19" w:rsidRDefault="00C02DDA" w:rsidP="001A2D55">
            <w:pPr>
              <w:rPr>
                <w:rFonts w:ascii="Times New Roman" w:hAnsi="Times New Roman" w:cs="Times New Roman"/>
                <w:sz w:val="20"/>
                <w:szCs w:val="20"/>
              </w:rPr>
            </w:pPr>
          </w:p>
        </w:tc>
        <w:tc>
          <w:tcPr>
            <w:tcW w:w="1260" w:type="dxa"/>
            <w:tcBorders>
              <w:top w:val="dotted" w:sz="4" w:space="0" w:color="auto"/>
              <w:left w:val="single" w:sz="4" w:space="0" w:color="auto"/>
              <w:bottom w:val="single" w:sz="8" w:space="0" w:color="auto"/>
              <w:right w:val="dotted" w:sz="4" w:space="0" w:color="auto"/>
            </w:tcBorders>
            <w:shd w:val="clear" w:color="auto" w:fill="auto"/>
            <w:vAlign w:val="center"/>
          </w:tcPr>
          <w:p w14:paraId="29346B14" w14:textId="77777777" w:rsidR="00C02DDA" w:rsidRPr="00390D19" w:rsidRDefault="00C02DDA" w:rsidP="001A2D55">
            <w:pPr>
              <w:rPr>
                <w:rFonts w:ascii="Times New Roman" w:hAnsi="Times New Roman" w:cs="Times New Roman"/>
                <w:sz w:val="20"/>
                <w:szCs w:val="20"/>
              </w:rPr>
            </w:pPr>
          </w:p>
        </w:tc>
        <w:tc>
          <w:tcPr>
            <w:tcW w:w="1620" w:type="dxa"/>
            <w:tcBorders>
              <w:top w:val="dotted" w:sz="4" w:space="0" w:color="auto"/>
              <w:left w:val="dotted" w:sz="4" w:space="0" w:color="auto"/>
              <w:bottom w:val="single" w:sz="8" w:space="0" w:color="auto"/>
              <w:right w:val="dotted" w:sz="4" w:space="0" w:color="auto"/>
            </w:tcBorders>
            <w:shd w:val="clear" w:color="auto" w:fill="auto"/>
            <w:vAlign w:val="center"/>
          </w:tcPr>
          <w:p w14:paraId="5AFCAF43"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X(5)</w:t>
            </w:r>
          </w:p>
        </w:tc>
        <w:tc>
          <w:tcPr>
            <w:tcW w:w="1530" w:type="dxa"/>
            <w:tcBorders>
              <w:top w:val="dotted" w:sz="4" w:space="0" w:color="auto"/>
              <w:left w:val="dotted" w:sz="4" w:space="0" w:color="auto"/>
              <w:bottom w:val="single" w:sz="8" w:space="0" w:color="auto"/>
              <w:right w:val="dotted" w:sz="4" w:space="0" w:color="auto"/>
            </w:tcBorders>
            <w:shd w:val="clear" w:color="auto" w:fill="auto"/>
            <w:vAlign w:val="center"/>
          </w:tcPr>
          <w:p w14:paraId="2ADC84BE"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single" w:sz="8" w:space="0" w:color="auto"/>
              <w:right w:val="dotted" w:sz="4" w:space="0" w:color="auto"/>
            </w:tcBorders>
          </w:tcPr>
          <w:p w14:paraId="68DD39F9" w14:textId="77777777" w:rsidR="00C02DDA" w:rsidRPr="00390D19" w:rsidRDefault="00C02DDA" w:rsidP="001A2D55">
            <w:pPr>
              <w:rPr>
                <w:rFonts w:ascii="Times New Roman" w:hAnsi="Times New Roman" w:cs="Times New Roman"/>
                <w:sz w:val="20"/>
                <w:szCs w:val="20"/>
              </w:rPr>
            </w:pPr>
          </w:p>
        </w:tc>
        <w:tc>
          <w:tcPr>
            <w:tcW w:w="1440" w:type="dxa"/>
            <w:tcBorders>
              <w:top w:val="dotted" w:sz="4" w:space="0" w:color="auto"/>
              <w:left w:val="dotted" w:sz="4" w:space="0" w:color="auto"/>
              <w:bottom w:val="single" w:sz="8" w:space="0" w:color="auto"/>
            </w:tcBorders>
            <w:shd w:val="clear" w:color="auto" w:fill="auto"/>
            <w:vAlign w:val="center"/>
          </w:tcPr>
          <w:p w14:paraId="0A05F434" w14:textId="77777777" w:rsidR="00C02DDA" w:rsidRPr="00390D19" w:rsidRDefault="00C02DDA" w:rsidP="001A2D55">
            <w:pPr>
              <w:rPr>
                <w:rFonts w:ascii="Times New Roman" w:hAnsi="Times New Roman" w:cs="Times New Roman"/>
                <w:sz w:val="20"/>
                <w:szCs w:val="20"/>
              </w:rPr>
            </w:pPr>
          </w:p>
        </w:tc>
      </w:tr>
      <w:tr w:rsidR="00C02DDA" w:rsidRPr="00390D19" w14:paraId="6DE26942" w14:textId="77777777" w:rsidTr="001A2D55">
        <w:trPr>
          <w:trHeight w:val="274"/>
        </w:trPr>
        <w:tc>
          <w:tcPr>
            <w:tcW w:w="2070" w:type="dxa"/>
            <w:tcBorders>
              <w:top w:val="single" w:sz="8" w:space="0" w:color="auto"/>
              <w:bottom w:val="dotted" w:sz="4" w:space="0" w:color="auto"/>
              <w:right w:val="single" w:sz="12" w:space="0" w:color="auto"/>
            </w:tcBorders>
            <w:shd w:val="clear" w:color="auto" w:fill="F2F2F2" w:themeFill="background1" w:themeFillShade="F2"/>
          </w:tcPr>
          <w:p w14:paraId="4EBD630A"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Staging</w:t>
            </w:r>
          </w:p>
        </w:tc>
        <w:tc>
          <w:tcPr>
            <w:tcW w:w="1350" w:type="dxa"/>
            <w:tcBorders>
              <w:top w:val="single" w:sz="8" w:space="0" w:color="auto"/>
              <w:bottom w:val="dotted" w:sz="4" w:space="0" w:color="auto"/>
            </w:tcBorders>
            <w:shd w:val="clear" w:color="auto" w:fill="F2F2F2" w:themeFill="background1" w:themeFillShade="F2"/>
          </w:tcPr>
          <w:p w14:paraId="528D60A8" w14:textId="77777777" w:rsidR="00C02DDA" w:rsidRPr="00390D19" w:rsidRDefault="00C02DDA" w:rsidP="001A2D55">
            <w:pPr>
              <w:rPr>
                <w:rFonts w:ascii="Times New Roman" w:hAnsi="Times New Roman" w:cs="Times New Roman"/>
                <w:sz w:val="20"/>
                <w:szCs w:val="20"/>
              </w:rPr>
            </w:pPr>
          </w:p>
        </w:tc>
        <w:tc>
          <w:tcPr>
            <w:tcW w:w="7290" w:type="dxa"/>
            <w:gridSpan w:val="5"/>
            <w:tcBorders>
              <w:top w:val="single" w:sz="8" w:space="0" w:color="auto"/>
              <w:bottom w:val="dotted" w:sz="4" w:space="0" w:color="auto"/>
            </w:tcBorders>
            <w:shd w:val="clear" w:color="auto" w:fill="F2F2F2" w:themeFill="background1" w:themeFillShade="F2"/>
            <w:vAlign w:val="center"/>
          </w:tcPr>
          <w:p w14:paraId="14C1E7B3" w14:textId="77777777" w:rsidR="00C02DDA" w:rsidRPr="00390D19" w:rsidRDefault="00C02DDA" w:rsidP="001A2D55">
            <w:pPr>
              <w:rPr>
                <w:rFonts w:ascii="Times New Roman" w:hAnsi="Times New Roman" w:cs="Times New Roman"/>
                <w:sz w:val="20"/>
                <w:szCs w:val="20"/>
              </w:rPr>
            </w:pPr>
          </w:p>
        </w:tc>
      </w:tr>
      <w:tr w:rsidR="00C02DDA" w:rsidRPr="00390D19" w14:paraId="362740CB" w14:textId="77777777" w:rsidTr="001A2D55">
        <w:trPr>
          <w:trHeight w:val="204"/>
        </w:trPr>
        <w:tc>
          <w:tcPr>
            <w:tcW w:w="2070" w:type="dxa"/>
            <w:tcBorders>
              <w:top w:val="dotted" w:sz="4" w:space="0" w:color="auto"/>
              <w:bottom w:val="dotted" w:sz="4" w:space="0" w:color="auto"/>
              <w:right w:val="single" w:sz="12" w:space="0" w:color="auto"/>
            </w:tcBorders>
            <w:shd w:val="clear" w:color="auto" w:fill="auto"/>
          </w:tcPr>
          <w:p w14:paraId="21ED01C3"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CT chest, CT (or MRI) abd</w:t>
            </w:r>
            <w:r>
              <w:rPr>
                <w:rFonts w:ascii="Times New Roman" w:hAnsi="Times New Roman" w:cs="Times New Roman"/>
                <w:sz w:val="20"/>
                <w:szCs w:val="20"/>
              </w:rPr>
              <w:t>omen</w:t>
            </w:r>
            <w:r w:rsidRPr="00390D19">
              <w:rPr>
                <w:rFonts w:ascii="Times New Roman" w:hAnsi="Times New Roman" w:cs="Times New Roman"/>
                <w:sz w:val="20"/>
                <w:szCs w:val="20"/>
              </w:rPr>
              <w:t>/pelvis (or PET/CT)</w:t>
            </w:r>
          </w:p>
        </w:tc>
        <w:tc>
          <w:tcPr>
            <w:tcW w:w="1350" w:type="dxa"/>
            <w:tcBorders>
              <w:top w:val="dotted" w:sz="4" w:space="0" w:color="auto"/>
              <w:bottom w:val="dotted" w:sz="4" w:space="0" w:color="auto"/>
              <w:right w:val="single" w:sz="4" w:space="0" w:color="auto"/>
            </w:tcBorders>
            <w:vAlign w:val="center"/>
          </w:tcPr>
          <w:p w14:paraId="1C696830"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A</w:t>
            </w:r>
          </w:p>
        </w:tc>
        <w:tc>
          <w:tcPr>
            <w:tcW w:w="1260" w:type="dxa"/>
            <w:tcBorders>
              <w:top w:val="dotted" w:sz="4" w:space="0" w:color="auto"/>
              <w:left w:val="single" w:sz="4" w:space="0" w:color="auto"/>
              <w:bottom w:val="dotted" w:sz="4" w:space="0" w:color="auto"/>
              <w:right w:val="dotted" w:sz="4" w:space="0" w:color="auto"/>
            </w:tcBorders>
            <w:shd w:val="clear" w:color="auto" w:fill="auto"/>
            <w:vAlign w:val="center"/>
          </w:tcPr>
          <w:p w14:paraId="12CEC4D2"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B</w:t>
            </w:r>
          </w:p>
        </w:tc>
        <w:tc>
          <w:tcPr>
            <w:tcW w:w="1620" w:type="dxa"/>
            <w:tcBorders>
              <w:top w:val="dotted" w:sz="4" w:space="0" w:color="auto"/>
              <w:left w:val="dotted" w:sz="4" w:space="0" w:color="auto"/>
              <w:bottom w:val="dotted" w:sz="4" w:space="0" w:color="auto"/>
              <w:right w:val="dotted" w:sz="4" w:space="0" w:color="auto"/>
            </w:tcBorders>
            <w:shd w:val="clear" w:color="auto" w:fill="auto"/>
            <w:vAlign w:val="center"/>
          </w:tcPr>
          <w:p w14:paraId="2161556D"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B</w:t>
            </w:r>
          </w:p>
        </w:tc>
        <w:tc>
          <w:tcPr>
            <w:tcW w:w="1530" w:type="dxa"/>
            <w:tcBorders>
              <w:top w:val="dotted" w:sz="4" w:space="0" w:color="auto"/>
              <w:left w:val="dotted" w:sz="4" w:space="0" w:color="auto"/>
              <w:bottom w:val="dotted" w:sz="4" w:space="0" w:color="auto"/>
              <w:right w:val="dotted" w:sz="4" w:space="0" w:color="auto"/>
            </w:tcBorders>
            <w:shd w:val="clear" w:color="auto" w:fill="auto"/>
            <w:vAlign w:val="center"/>
          </w:tcPr>
          <w:p w14:paraId="2E1705B9"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B</w:t>
            </w:r>
          </w:p>
        </w:tc>
        <w:tc>
          <w:tcPr>
            <w:tcW w:w="1440" w:type="dxa"/>
            <w:tcBorders>
              <w:top w:val="dotted" w:sz="4" w:space="0" w:color="auto"/>
              <w:left w:val="dotted" w:sz="4" w:space="0" w:color="auto"/>
              <w:bottom w:val="dotted" w:sz="4" w:space="0" w:color="auto"/>
              <w:right w:val="dotted" w:sz="4" w:space="0" w:color="auto"/>
            </w:tcBorders>
            <w:vAlign w:val="center"/>
          </w:tcPr>
          <w:p w14:paraId="44435CDA"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B</w:t>
            </w:r>
          </w:p>
        </w:tc>
        <w:tc>
          <w:tcPr>
            <w:tcW w:w="1440" w:type="dxa"/>
            <w:tcBorders>
              <w:top w:val="dotted" w:sz="4" w:space="0" w:color="auto"/>
              <w:left w:val="dotted" w:sz="4" w:space="0" w:color="auto"/>
              <w:bottom w:val="dotted" w:sz="4" w:space="0" w:color="auto"/>
            </w:tcBorders>
            <w:shd w:val="clear" w:color="auto" w:fill="auto"/>
            <w:vAlign w:val="center"/>
          </w:tcPr>
          <w:p w14:paraId="674DFE72" w14:textId="77777777" w:rsidR="00C02DDA" w:rsidRPr="00390D19" w:rsidRDefault="00C02DDA" w:rsidP="001A2D55">
            <w:pPr>
              <w:rPr>
                <w:rFonts w:ascii="Times New Roman" w:hAnsi="Times New Roman" w:cs="Times New Roman"/>
                <w:sz w:val="20"/>
                <w:szCs w:val="20"/>
              </w:rPr>
            </w:pPr>
            <w:r w:rsidRPr="00390D19">
              <w:rPr>
                <w:rFonts w:ascii="Times New Roman" w:hAnsi="Times New Roman" w:cs="Times New Roman"/>
                <w:sz w:val="20"/>
                <w:szCs w:val="20"/>
              </w:rPr>
              <w:t>B</w:t>
            </w:r>
          </w:p>
        </w:tc>
      </w:tr>
    </w:tbl>
    <w:p w14:paraId="1AED7C5F" w14:textId="77777777" w:rsidR="00C02DDA" w:rsidRPr="00390D19" w:rsidRDefault="00C02DDA" w:rsidP="00C02DDA">
      <w:pPr>
        <w:rPr>
          <w:rFonts w:ascii="Times New Roman" w:hAnsi="Times New Roman" w:cs="Times New Roman"/>
        </w:rPr>
      </w:pPr>
      <w:r w:rsidRPr="00390D19">
        <w:rPr>
          <w:rFonts w:ascii="Times New Roman" w:hAnsi="Times New Roman" w:cs="Times New Roman"/>
        </w:rPr>
        <w:t>*</w:t>
      </w:r>
      <w:r w:rsidRPr="00390D19">
        <w:rPr>
          <w:rFonts w:ascii="Times New Roman" w:hAnsi="Times New Roman" w:cs="Times New Roman"/>
        </w:rPr>
        <w:tab/>
        <w:t xml:space="preserve">Labs completed prior to registration may be used for Day 1 of Cycle 1 of the next planned cycle of systemic therapy (if registration occurs prior to initiation of systemic therapy) if obtained ≤ 14 days prior to treatment. For subsequent cycles, labs, scans, tests, and observations may be obtained ≤ 3 business days prior to day of treatment. </w:t>
      </w:r>
    </w:p>
    <w:p w14:paraId="23C90D13" w14:textId="77777777" w:rsidR="00C02DDA" w:rsidRPr="00390D19" w:rsidRDefault="00C02DDA" w:rsidP="00C02DDA">
      <w:pPr>
        <w:rPr>
          <w:rFonts w:ascii="Times New Roman" w:hAnsi="Times New Roman" w:cs="Times New Roman"/>
        </w:rPr>
      </w:pPr>
      <w:r w:rsidRPr="00390D19">
        <w:rPr>
          <w:rFonts w:ascii="Times New Roman" w:hAnsi="Times New Roman" w:cs="Times New Roman"/>
        </w:rPr>
        <w:t>**</w:t>
      </w:r>
      <w:r w:rsidRPr="00390D19">
        <w:rPr>
          <w:rFonts w:ascii="Times New Roman" w:hAnsi="Times New Roman" w:cs="Times New Roman"/>
        </w:rPr>
        <w:tab/>
        <w:t xml:space="preserve">For patients on Arm 1, physical examination, vitals, </w:t>
      </w:r>
      <w:r>
        <w:rPr>
          <w:rFonts w:ascii="Times New Roman" w:hAnsi="Times New Roman" w:cs="Times New Roman"/>
        </w:rPr>
        <w:t>adverse event (AE)</w:t>
      </w:r>
      <w:r w:rsidRPr="00390D19">
        <w:rPr>
          <w:rFonts w:ascii="Times New Roman" w:hAnsi="Times New Roman" w:cs="Times New Roman"/>
        </w:rPr>
        <w:t xml:space="preserve"> assessment, and labs are required at 14-18 weeks post-randomization. For patients on Arm 2, physical examination, vitals, AE assessment and labs are required at least prior to the start of each cycle for patients receiving active systemic therapy and 14-18 weeks post-randomization.  For patients on a treatment break, physical examination, vitals, AE assessment and labs are required at 14-18 weeks post-randomization.</w:t>
      </w:r>
    </w:p>
    <w:p w14:paraId="73074D18" w14:textId="77777777" w:rsidR="00C02DDA" w:rsidRPr="00390D19" w:rsidRDefault="00C02DDA" w:rsidP="00C02DDA">
      <w:pPr>
        <w:rPr>
          <w:rFonts w:ascii="Times New Roman" w:hAnsi="Times New Roman" w:cs="Times New Roman"/>
        </w:rPr>
      </w:pPr>
      <w:r w:rsidRPr="00390D19">
        <w:rPr>
          <w:rFonts w:ascii="Times New Roman" w:hAnsi="Times New Roman" w:cs="Times New Roman"/>
        </w:rPr>
        <w:t>***</w:t>
      </w:r>
      <w:r w:rsidRPr="00390D19">
        <w:rPr>
          <w:rFonts w:ascii="Times New Roman" w:hAnsi="Times New Roman" w:cs="Times New Roman"/>
        </w:rPr>
        <w:tab/>
        <w:t xml:space="preserve">Following the first assessment timepoint at 14-18 weeks post-randomization, patients should undergo physical examination, AE assessment, labs, and staging scans every 3 months (+/- 1 month) until disease progression or start of off-protocol anticancer therapy, whichever comes first. Off-protocol </w:t>
      </w:r>
      <w:r w:rsidRPr="00390D19">
        <w:rPr>
          <w:rFonts w:ascii="Times New Roman" w:hAnsi="Times New Roman" w:cs="Times New Roman"/>
        </w:rPr>
        <w:lastRenderedPageBreak/>
        <w:t xml:space="preserve">anticancer therapy incudes any experimental agent, </w:t>
      </w:r>
      <w:r>
        <w:rPr>
          <w:rFonts w:ascii="Times New Roman" w:hAnsi="Times New Roman" w:cs="Times New Roman"/>
        </w:rPr>
        <w:t xml:space="preserve">a </w:t>
      </w:r>
      <w:r w:rsidRPr="00390D19">
        <w:rPr>
          <w:rFonts w:ascii="Times New Roman" w:hAnsi="Times New Roman" w:cs="Times New Roman"/>
        </w:rPr>
        <w:t xml:space="preserve">systemic therapy regimen not included in </w:t>
      </w:r>
      <w:hyperlink w:anchor="Sec7p1" w:history="1">
        <w:r w:rsidRPr="00390D19">
          <w:rPr>
            <w:rStyle w:val="Hyperlink"/>
            <w:rFonts w:ascii="Times New Roman" w:hAnsi="Times New Roman" w:cs="Times New Roman"/>
          </w:rPr>
          <w:t>Section 7.1</w:t>
        </w:r>
      </w:hyperlink>
      <w:r>
        <w:rPr>
          <w:rFonts w:ascii="Times New Roman" w:hAnsi="Times New Roman" w:cs="Times New Roman"/>
        </w:rPr>
        <w:t xml:space="preserve"> of Additional file 1</w:t>
      </w:r>
      <w:r w:rsidRPr="00390D19">
        <w:rPr>
          <w:rFonts w:ascii="Times New Roman" w:hAnsi="Times New Roman" w:cs="Times New Roman"/>
        </w:rPr>
        <w:t xml:space="preserve">, or, for patients randomized to Arm 2 (institutional SOC therapy), local metastatic-directed therapy other than what is delivered for palliation as described in </w:t>
      </w:r>
      <w:hyperlink w:anchor="Sec7p0" w:history="1">
        <w:r w:rsidRPr="00390D19">
          <w:rPr>
            <w:rStyle w:val="Hyperlink"/>
            <w:rFonts w:ascii="Times New Roman" w:hAnsi="Times New Roman" w:cs="Times New Roman"/>
          </w:rPr>
          <w:t>Section 7.0</w:t>
        </w:r>
      </w:hyperlink>
      <w:r>
        <w:rPr>
          <w:rFonts w:ascii="Times New Roman" w:hAnsi="Times New Roman" w:cs="Times New Roman"/>
        </w:rPr>
        <w:t xml:space="preserve"> of Additional file 1</w:t>
      </w:r>
      <w:r w:rsidRPr="00390D19">
        <w:rPr>
          <w:rFonts w:ascii="Times New Roman" w:hAnsi="Times New Roman" w:cs="Times New Roman"/>
        </w:rPr>
        <w:t>. Patients who discontinue study treatment due to disease progression (or who start a new anticancer therapy after discontinuing study treatment for reasons other than disease progression) should be followed every 6 months for survival until 5 years after registration.</w:t>
      </w:r>
    </w:p>
    <w:p w14:paraId="3B34440A"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E7517"/>
    <w:multiLevelType w:val="hybridMultilevel"/>
    <w:tmpl w:val="D79401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1559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DDA"/>
    <w:rsid w:val="000C30FD"/>
    <w:rsid w:val="000D4074"/>
    <w:rsid w:val="001E4B73"/>
    <w:rsid w:val="005314AC"/>
    <w:rsid w:val="009B53F0"/>
    <w:rsid w:val="00C02D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88C12"/>
  <w15:chartTrackingRefBased/>
  <w15:docId w15:val="{0F68F5EB-D8EE-40D3-9A35-3B7556C74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DD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2DD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2DDA"/>
    <w:pPr>
      <w:ind w:left="720"/>
      <w:contextualSpacing/>
    </w:pPr>
  </w:style>
  <w:style w:type="character" w:styleId="Hyperlink">
    <w:name w:val="Hyperlink"/>
    <w:basedOn w:val="DefaultParagraphFont"/>
    <w:uiPriority w:val="99"/>
    <w:unhideWhenUsed/>
    <w:rsid w:val="00C02D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678</Words>
  <Characters>3868</Characters>
  <Application>Microsoft Office Word</Application>
  <DocSecurity>0</DocSecurity>
  <Lines>32</Lines>
  <Paragraphs>9</Paragraphs>
  <ScaleCrop>false</ScaleCrop>
  <Company>Springer Nature</Company>
  <LinksUpToDate>false</LinksUpToDate>
  <CharactersWithSpaces>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2023-12-21T17:25:00Z</dcterms:created>
  <dcterms:modified xsi:type="dcterms:W3CDTF">2023-12-21T17:26:00Z</dcterms:modified>
</cp:coreProperties>
</file>