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19D046" w14:textId="7EFAB227" w:rsidR="00741204" w:rsidRDefault="00C313FC">
      <w:r>
        <w:t xml:space="preserve">APENDIX OM </w:t>
      </w:r>
    </w:p>
    <w:p w14:paraId="14B76CE0" w14:textId="77777777" w:rsidR="00C313FC" w:rsidRPr="007503E0" w:rsidRDefault="00C313FC" w:rsidP="00C313FC">
      <w:pPr>
        <w:spacing w:line="360" w:lineRule="auto"/>
        <w:jc w:val="both"/>
        <w:rPr>
          <w:b/>
          <w:bCs/>
          <w:lang w:val="en-US"/>
        </w:rPr>
      </w:pPr>
      <w:r>
        <w:rPr>
          <w:b/>
          <w:bCs/>
          <w:lang w:val="en-US"/>
        </w:rPr>
        <w:t>Appendix</w:t>
      </w:r>
    </w:p>
    <w:p w14:paraId="5BD89741" w14:textId="77777777" w:rsidR="00C313FC" w:rsidRPr="007503E0" w:rsidRDefault="00C313FC" w:rsidP="00C313FC">
      <w:pPr>
        <w:spacing w:line="360" w:lineRule="auto"/>
        <w:jc w:val="both"/>
        <w:rPr>
          <w:b/>
          <w:bCs/>
          <w:lang w:val="en-US"/>
        </w:rPr>
      </w:pPr>
      <w:r w:rsidRPr="00635698">
        <w:rPr>
          <w:b/>
          <w:bCs/>
        </w:rPr>
        <w:t xml:space="preserve">Saliva collection / assessment  </w:t>
      </w:r>
    </w:p>
    <w:p w14:paraId="1F2F7633" w14:textId="77777777" w:rsidR="00C313FC" w:rsidRPr="00EF164F" w:rsidRDefault="00C313FC" w:rsidP="00C313FC">
      <w:pPr>
        <w:spacing w:line="360" w:lineRule="auto"/>
        <w:jc w:val="both"/>
        <w:rPr>
          <w:color w:val="000000" w:themeColor="text1"/>
        </w:rPr>
      </w:pPr>
      <w:r w:rsidRPr="00EF164F">
        <w:rPr>
          <w:color w:val="000000" w:themeColor="text1"/>
        </w:rPr>
        <w:t>Samples were centrifuged (10000g, 5 min 4°C) and stored at -80</w:t>
      </w:r>
      <w:r w:rsidRPr="00EF164F">
        <w:rPr>
          <w:rFonts w:cstheme="minorHAnsi"/>
          <w:color w:val="000000" w:themeColor="text1"/>
        </w:rPr>
        <w:t>°</w:t>
      </w:r>
      <w:r w:rsidRPr="00EF164F">
        <w:rPr>
          <w:color w:val="000000" w:themeColor="text1"/>
        </w:rPr>
        <w:t xml:space="preserve">C. They were analysed for total protein content using a bicinchoninic acid (BCA) assay (Thermo-fisher scientific, IL, USA) using a bovine serum albumin (BSA) standard. Equal amounts of proteins in the samples were separated by electrophoresis and stained with periodic acid-Schiff’s reagent (PAS) for mucins and Coomassie brilliant blue (R250) for other proteins. </w:t>
      </w:r>
    </w:p>
    <w:p w14:paraId="7AD65758" w14:textId="77777777" w:rsidR="00C313FC" w:rsidRPr="007503E0" w:rsidRDefault="00C313FC" w:rsidP="00C313FC">
      <w:pPr>
        <w:spacing w:line="360" w:lineRule="auto"/>
        <w:jc w:val="both"/>
        <w:rPr>
          <w:b/>
          <w:bCs/>
        </w:rPr>
      </w:pPr>
      <w:proofErr w:type="spellStart"/>
      <w:r w:rsidRPr="007503E0">
        <w:rPr>
          <w:b/>
          <w:bCs/>
        </w:rPr>
        <w:t>Albumina</w:t>
      </w:r>
      <w:proofErr w:type="spellEnd"/>
      <w:r>
        <w:rPr>
          <w:b/>
          <w:bCs/>
        </w:rPr>
        <w:t xml:space="preserve">: </w:t>
      </w:r>
      <w:r>
        <w:t xml:space="preserve">Three washes in phosphate-buffered saline (PBS) or supplemented with 1% Tween (PBS-T) were completed. The ELISA plates were blocked with 1% BSA in PBS pH 7.2 for one hour, followed by three further PBS-T washes. Samples were diluted in duplicate along with the standard and incubated at room temperature and pressure for 2h followed by 3 PBS-T washes. Biotinylated mouse anti-human serum albumin detection antibody diluted with 1% BSA in PBS was added and incubated at room temperature for 2h followed by 3 PBS-T washes. Streptavidin conjugated to horseradish peroxidase diluted with 1% BSA in PBS was added at room temperature and pressure followed by 3 final PBS-T washes. Substrate solution (tetramethylbenzidine) was added, and the reaction was stopped with 2M sulphuric acid after 5 minutes. </w:t>
      </w:r>
    </w:p>
    <w:p w14:paraId="0BE1BC7D" w14:textId="77777777" w:rsidR="00C313FC" w:rsidRDefault="00C313FC" w:rsidP="00C313FC">
      <w:pPr>
        <w:spacing w:line="360" w:lineRule="auto"/>
        <w:jc w:val="both"/>
      </w:pPr>
      <w:r w:rsidRPr="007503E0">
        <w:rPr>
          <w:b/>
          <w:bCs/>
        </w:rPr>
        <w:t>Cystatin S</w:t>
      </w:r>
      <w:r>
        <w:rPr>
          <w:b/>
          <w:bCs/>
        </w:rPr>
        <w:t>:</w:t>
      </w:r>
      <w:r>
        <w:t xml:space="preserve"> (CST4, Sandwich Cloud Clone Corp., USA) samples were diluted in duplicate along with the standard and incubated at 37ºC for 1h followed by removing the liquid in each well without washing. Biotinylated mouse anti-human serum cystatin S detection antibody diluted as added and incubated at 37ºC for 1h followed by three washes. Streptavidin conjugated to horseradish peroxidase was added for 30 minutes at 37ºC and followed by five final washes. Substrate solution consisting in a mixture of H2O2 and tetramethylbenzidine (1:1) was added for 20 minutes at 37ºC. The reaction was terminated using 2M sulphuric acid. </w:t>
      </w:r>
    </w:p>
    <w:p w14:paraId="6E08C214" w14:textId="77777777" w:rsidR="00C313FC" w:rsidRDefault="00C313FC" w:rsidP="00C313FC">
      <w:pPr>
        <w:spacing w:line="360" w:lineRule="auto"/>
        <w:jc w:val="both"/>
      </w:pPr>
    </w:p>
    <w:p w14:paraId="610A5BB8" w14:textId="77777777" w:rsidR="00C313FC" w:rsidRDefault="00C313FC" w:rsidP="00C313FC">
      <w:pPr>
        <w:spacing w:line="360" w:lineRule="auto"/>
        <w:jc w:val="both"/>
      </w:pPr>
      <w:r w:rsidRPr="007503E0">
        <w:rPr>
          <w:b/>
          <w:bCs/>
        </w:rPr>
        <w:t>IgA</w:t>
      </w:r>
      <w:r>
        <w:t>:</w:t>
      </w:r>
      <w:r w:rsidRPr="004F715B">
        <w:t xml:space="preserve"> </w:t>
      </w:r>
      <w:r>
        <w:t xml:space="preserve">(Sandwich kit, </w:t>
      </w:r>
      <w:proofErr w:type="spellStart"/>
      <w:r>
        <w:t>Cusabio</w:t>
      </w:r>
      <w:proofErr w:type="spellEnd"/>
      <w:r>
        <w:t xml:space="preserve"> Biotech USA) samples were diluted in duplicate along with the standard and incubated at 37ºC for two hours followed by removing the liquid in each well without washing. Biotinylated mouse anti-human serum IgA detection antibody was added and incubated at 37ºC for 1 h, followed by three washes. Streptavidin conjugated to horseradish peroxidase was added for 1h at 37ºC and followed by five washes. Substrate </w:t>
      </w:r>
      <w:r>
        <w:lastRenderedPageBreak/>
        <w:t xml:space="preserve">solution consisting in a mixture of H2O2 and tetramethylbenzidine (1:1) was added for 20 minutes at 37ºC. The reaction was stopped with 2M sulphuric acid.  </w:t>
      </w:r>
    </w:p>
    <w:p w14:paraId="656D959B" w14:textId="77777777" w:rsidR="00C313FC" w:rsidRDefault="00C313FC" w:rsidP="00C313FC">
      <w:pPr>
        <w:spacing w:line="360" w:lineRule="auto"/>
        <w:jc w:val="both"/>
        <w:rPr>
          <w:b/>
          <w:bCs/>
          <w:lang w:val="en-US"/>
        </w:rPr>
      </w:pPr>
    </w:p>
    <w:p w14:paraId="38114D80" w14:textId="77777777" w:rsidR="00C313FC" w:rsidRDefault="00C313FC" w:rsidP="00C313FC">
      <w:pPr>
        <w:spacing w:line="360" w:lineRule="auto"/>
        <w:jc w:val="both"/>
        <w:rPr>
          <w:b/>
          <w:bCs/>
          <w:lang w:val="en-US"/>
        </w:rPr>
      </w:pPr>
    </w:p>
    <w:p w14:paraId="0AD6FA73" w14:textId="77777777" w:rsidR="00C313FC" w:rsidRDefault="00C313FC" w:rsidP="00C313FC">
      <w:pPr>
        <w:spacing w:line="360" w:lineRule="auto"/>
        <w:jc w:val="both"/>
        <w:rPr>
          <w:b/>
          <w:bCs/>
          <w:lang w:val="en-US"/>
        </w:rPr>
      </w:pPr>
    </w:p>
    <w:p w14:paraId="7452C42C" w14:textId="77777777" w:rsidR="00C313FC" w:rsidRDefault="00C313FC" w:rsidP="00C313FC">
      <w:pPr>
        <w:spacing w:line="360" w:lineRule="auto"/>
        <w:jc w:val="both"/>
        <w:rPr>
          <w:b/>
          <w:bCs/>
          <w:lang w:val="en-US"/>
        </w:rPr>
      </w:pPr>
    </w:p>
    <w:p w14:paraId="263CC73E" w14:textId="77777777" w:rsidR="00C313FC" w:rsidRDefault="00C313FC" w:rsidP="00C313FC">
      <w:pPr>
        <w:spacing w:line="360" w:lineRule="auto"/>
        <w:jc w:val="both"/>
        <w:rPr>
          <w:b/>
          <w:bCs/>
          <w:lang w:val="en-US"/>
        </w:rPr>
      </w:pPr>
    </w:p>
    <w:p w14:paraId="04B467B9" w14:textId="77777777" w:rsidR="00C313FC" w:rsidRDefault="00C313FC" w:rsidP="00C313FC">
      <w:pPr>
        <w:spacing w:line="360" w:lineRule="auto"/>
        <w:jc w:val="both"/>
        <w:rPr>
          <w:b/>
          <w:bCs/>
          <w:lang w:val="en-US"/>
        </w:rPr>
      </w:pPr>
    </w:p>
    <w:p w14:paraId="17FBE1A7" w14:textId="77777777" w:rsidR="00C313FC" w:rsidRDefault="00C313FC" w:rsidP="00C313FC">
      <w:pPr>
        <w:spacing w:line="360" w:lineRule="auto"/>
        <w:jc w:val="both"/>
        <w:rPr>
          <w:b/>
          <w:bCs/>
          <w:lang w:val="en-US"/>
        </w:rPr>
      </w:pPr>
    </w:p>
    <w:p w14:paraId="350C750C" w14:textId="77777777" w:rsidR="00C313FC" w:rsidRDefault="00C313FC" w:rsidP="00C313FC">
      <w:pPr>
        <w:spacing w:line="360" w:lineRule="auto"/>
        <w:jc w:val="both"/>
        <w:rPr>
          <w:b/>
          <w:bCs/>
          <w:lang w:val="en-US"/>
        </w:rPr>
      </w:pPr>
    </w:p>
    <w:p w14:paraId="5043CAB7" w14:textId="77777777" w:rsidR="00C313FC" w:rsidRPr="00C313FC" w:rsidRDefault="00C313FC">
      <w:pPr>
        <w:rPr>
          <w:lang w:val="en-US"/>
        </w:rPr>
      </w:pPr>
    </w:p>
    <w:sectPr w:rsidR="00C313FC" w:rsidRPr="00C313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3FC"/>
    <w:rsid w:val="00741204"/>
    <w:rsid w:val="00947E30"/>
    <w:rsid w:val="00C313FC"/>
  </w:rsids>
  <m:mathPr>
    <m:mathFont m:val="Cambria Math"/>
    <m:brkBin m:val="before"/>
    <m:brkBinSub m:val="--"/>
    <m:smallFrac m:val="0"/>
    <m:dispDef/>
    <m:lMargin m:val="0"/>
    <m:rMargin m:val="0"/>
    <m:defJc m:val="centerGroup"/>
    <m:wrapIndent m:val="1440"/>
    <m:intLim m:val="subSup"/>
    <m:naryLim m:val="undOvr"/>
  </m:mathPr>
  <w:themeFontLang w:val="en-CL"/>
  <w:clrSchemeMapping w:bg1="light1" w:t1="dark1" w:bg2="light2" w:t2="dark2" w:accent1="accent1" w:accent2="accent2" w:accent3="accent3" w:accent4="accent4" w:accent5="accent5" w:accent6="accent6" w:hyperlink="hyperlink" w:followedHyperlink="followedHyperlink"/>
  <w:decimalSymbol w:val=","/>
  <w:listSeparator w:val=","/>
  <w14:docId w14:val="11C51C5D"/>
  <w15:chartTrackingRefBased/>
  <w15:docId w15:val="{A85E4000-D98E-E647-81DF-01397DAFB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7693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376</Words>
  <Characters>2145</Characters>
  <Application>Microsoft Office Word</Application>
  <DocSecurity>0</DocSecurity>
  <Lines>17</Lines>
  <Paragraphs>5</Paragraphs>
  <ScaleCrop>false</ScaleCrop>
  <Company/>
  <LinksUpToDate>false</LinksUpToDate>
  <CharactersWithSpaces>2516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Ines Gonzalez Agurto</dc:creator>
  <cp:keywords/>
  <dc:description/>
  <cp:lastModifiedBy>Maria Ines Gonzalez Agurto</cp:lastModifiedBy>
  <cp:revision>1</cp:revision>
  <dcterms:created xsi:type="dcterms:W3CDTF">2023-12-13T15:16:00Z</dcterms:created>
  <dcterms:modified xsi:type="dcterms:W3CDTF">2023-12-13T15:17:00Z</dcterms:modified>
</cp:coreProperties>
</file>