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ED3AB1" w14:textId="33CC7352" w:rsidR="00057095" w:rsidRPr="00F949D7" w:rsidRDefault="008D5BEC" w:rsidP="00057095">
      <w:pPr>
        <w:rPr>
          <w:b/>
        </w:rPr>
      </w:pPr>
      <w:r>
        <w:rPr>
          <w:b/>
        </w:rPr>
        <w:t>E</w:t>
      </w:r>
      <w:bookmarkStart w:id="0" w:name="_GoBack"/>
      <w:bookmarkEnd w:id="0"/>
      <w:r w:rsidR="00057095" w:rsidRPr="00F949D7">
        <w:rPr>
          <w:b/>
        </w:rPr>
        <w:t>xploring the Cost and Emissions Impacts, Feasibility, and Scalability of Battery-Electric Ships</w:t>
      </w:r>
    </w:p>
    <w:p w14:paraId="7053AD86" w14:textId="394B337A" w:rsidR="00E545E7" w:rsidRPr="00022BA7" w:rsidRDefault="00E545E7">
      <w:pPr>
        <w:widowControl/>
        <w:spacing w:line="240" w:lineRule="auto"/>
        <w:rPr>
          <w:rFonts w:eastAsiaTheme="majorEastAsia" w:cstheme="majorBidi"/>
          <w:b/>
          <w:i/>
          <w:color w:val="31849B" w:themeColor="accent5" w:themeShade="BF"/>
        </w:rPr>
      </w:pPr>
    </w:p>
    <w:bookmarkStart w:id="1" w:name="_Hlk134441221" w:displacedByCustomXml="next"/>
    <w:bookmarkEnd w:id="1" w:displacedByCustomXml="next"/>
    <w:sdt>
      <w:sdtPr>
        <w:rPr>
          <w:rFonts w:eastAsia="Times New Roman" w:cs="Times New Roman"/>
          <w:b/>
          <w:noProof/>
          <w:sz w:val="18"/>
          <w:szCs w:val="24"/>
        </w:rPr>
        <w:id w:val="-596716568"/>
        <w:docPartObj>
          <w:docPartGallery w:val="Table of Contents"/>
          <w:docPartUnique/>
        </w:docPartObj>
      </w:sdtPr>
      <w:sdtEndPr>
        <w:rPr>
          <w:rStyle w:val="Hyperlink"/>
          <w:b w:val="0"/>
          <w:color w:val="0000FF"/>
          <w:sz w:val="22"/>
          <w:u w:val="single"/>
        </w:rPr>
      </w:sdtEndPr>
      <w:sdtContent>
        <w:sdt>
          <w:sdtPr>
            <w:rPr>
              <w:rFonts w:eastAsia="Times New Roman" w:cs="Times New Roman"/>
              <w:b/>
              <w:noProof/>
              <w:color w:val="0000FF"/>
              <w:sz w:val="18"/>
              <w:szCs w:val="24"/>
              <w:u w:val="single"/>
            </w:rPr>
            <w:id w:val="1931389860"/>
            <w:docPartObj>
              <w:docPartGallery w:val="Table of Contents"/>
              <w:docPartUnique/>
            </w:docPartObj>
          </w:sdtPr>
          <w:sdtEndPr>
            <w:rPr>
              <w:b w:val="0"/>
              <w:color w:val="auto"/>
              <w:sz w:val="22"/>
              <w:u w:val="none"/>
            </w:rPr>
          </w:sdtEndPr>
          <w:sdtContent>
            <w:p w14:paraId="43C4E965" w14:textId="230DD0DD" w:rsidR="00E545E7" w:rsidRPr="00D872DA" w:rsidRDefault="00E545E7" w:rsidP="00BB019B">
              <w:pPr>
                <w:rPr>
                  <w:sz w:val="18"/>
                </w:rPr>
              </w:pPr>
            </w:p>
            <w:p w14:paraId="7030FD7D" w14:textId="0B11C526" w:rsidR="00EE0A0C" w:rsidRPr="00D872DA" w:rsidRDefault="00EE0A0C" w:rsidP="00EE0A0C">
              <w:pPr>
                <w:rPr>
                  <w:rStyle w:val="HeadingChar"/>
                  <w:color w:val="1F497D" w:themeColor="text2"/>
                  <w:sz w:val="24"/>
                </w:rPr>
              </w:pPr>
              <w:bookmarkStart w:id="2" w:name="_Toc138986274"/>
              <w:bookmarkStart w:id="3" w:name="_Toc146544234"/>
              <w:bookmarkStart w:id="4" w:name="_Toc146723114"/>
              <w:r w:rsidRPr="00D872DA">
                <w:rPr>
                  <w:rStyle w:val="HeadingChar"/>
                  <w:color w:val="1F497D" w:themeColor="text2"/>
                  <w:sz w:val="24"/>
                </w:rPr>
                <w:t>Contents</w:t>
              </w:r>
              <w:bookmarkEnd w:id="2"/>
              <w:bookmarkEnd w:id="3"/>
              <w:bookmarkEnd w:id="4"/>
            </w:p>
            <w:p w14:paraId="5F5AC36F" w14:textId="00E09A39" w:rsidR="00EE0A0C" w:rsidRPr="00D872DA" w:rsidRDefault="00590C69" w:rsidP="00C2627E">
              <w:pPr>
                <w:pStyle w:val="TOC1"/>
              </w:pPr>
            </w:p>
          </w:sdtContent>
        </w:sdt>
        <w:p w14:paraId="0AE71B15" w14:textId="3DC57297" w:rsidR="00C661AC" w:rsidRPr="00661B41" w:rsidRDefault="0007059A" w:rsidP="00C20FD5">
          <w:pPr>
            <w:pStyle w:val="TOC1"/>
            <w:rPr>
              <w:rStyle w:val="Hyperlink"/>
              <w:b/>
            </w:rPr>
          </w:pPr>
          <w:r w:rsidRPr="00661B41">
            <w:rPr>
              <w:rStyle w:val="Hyperlink"/>
              <w:b/>
            </w:rPr>
            <w:fldChar w:fldCharType="begin"/>
          </w:r>
          <w:r w:rsidRPr="00661B41">
            <w:rPr>
              <w:rStyle w:val="Hyperlink"/>
            </w:rPr>
            <w:instrText xml:space="preserve"> TOC \o "1-2" \h \z \u </w:instrText>
          </w:r>
          <w:r w:rsidRPr="00661B41">
            <w:rPr>
              <w:rStyle w:val="Hyperlink"/>
              <w:b/>
            </w:rPr>
            <w:fldChar w:fldCharType="separate"/>
          </w:r>
          <w:hyperlink w:anchor="_Toc146723114" w:history="1">
            <w:r w:rsidR="00C661AC" w:rsidRPr="00661B41">
              <w:rPr>
                <w:rStyle w:val="Hyperlink"/>
              </w:rPr>
              <w:t>Contents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_Toc146723114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2</w:t>
            </w:r>
            <w:r w:rsidR="00C661AC" w:rsidRPr="00661B41">
              <w:rPr>
                <w:rStyle w:val="Hyperlink"/>
                <w:b/>
                <w:webHidden/>
              </w:rPr>
              <w:fldChar w:fldCharType="end"/>
            </w:r>
          </w:hyperlink>
        </w:p>
        <w:p w14:paraId="5F06A8C7" w14:textId="2A5C8D56" w:rsidR="00C661AC" w:rsidRPr="00661B41" w:rsidRDefault="00590C69">
          <w:pPr>
            <w:pStyle w:val="TOC1"/>
            <w:rPr>
              <w:rStyle w:val="Hyperlink"/>
              <w:b/>
            </w:rPr>
          </w:pPr>
          <w:hyperlink w:anchor="_Toc146723115" w:history="1">
            <w:r w:rsidR="00C661AC" w:rsidRPr="00661B41">
              <w:rPr>
                <w:rStyle w:val="Hyperlink"/>
              </w:rPr>
              <w:t>List of Acronyms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_Toc146723115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w:t>
            </w:r>
            <w:r w:rsidR="00C661AC" w:rsidRPr="00661B41">
              <w:rPr>
                <w:rStyle w:val="Hyperlink"/>
                <w:b/>
                <w:webHidden/>
              </w:rPr>
              <w:fldChar w:fldCharType="end"/>
            </w:r>
          </w:hyperlink>
        </w:p>
        <w:p w14:paraId="1D85C452" w14:textId="398E7245" w:rsidR="00C661AC" w:rsidRPr="00661B41" w:rsidRDefault="00590C69">
          <w:pPr>
            <w:pStyle w:val="TOC1"/>
            <w:rPr>
              <w:rStyle w:val="Hyperlink"/>
              <w:b/>
            </w:rPr>
          </w:pPr>
          <w:hyperlink w:anchor="_Toc146723116" w:history="1">
            <w:r w:rsidR="00C661AC" w:rsidRPr="00661B41">
              <w:rPr>
                <w:rStyle w:val="Hyperlink"/>
              </w:rPr>
              <w:t>Supplementary Notes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_Toc146723116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5</w:t>
            </w:r>
            <w:r w:rsidR="00C661AC" w:rsidRPr="00661B41">
              <w:rPr>
                <w:rStyle w:val="Hyperlink"/>
                <w:b/>
                <w:webHidden/>
              </w:rPr>
              <w:fldChar w:fldCharType="end"/>
            </w:r>
          </w:hyperlink>
        </w:p>
        <w:p w14:paraId="2FC93217" w14:textId="4015A7EC" w:rsidR="00C661AC" w:rsidRPr="00661B41" w:rsidRDefault="00590C69">
          <w:pPr>
            <w:pStyle w:val="TOC1"/>
            <w:rPr>
              <w:rStyle w:val="Hyperlink"/>
              <w:b/>
            </w:rPr>
          </w:pPr>
          <w:hyperlink w:anchor="_Toc146723117" w:history="1">
            <w:r w:rsidR="00C661AC" w:rsidRPr="00661B41">
              <w:rPr>
                <w:rStyle w:val="Hyperlink"/>
              </w:rPr>
              <w:t>Supplementary Note 1: Methods for Integrating Multiple Ship Databases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_Toc146723117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5</w:t>
            </w:r>
            <w:r w:rsidR="00C661AC" w:rsidRPr="00661B41">
              <w:rPr>
                <w:rStyle w:val="Hyperlink"/>
                <w:b/>
                <w:webHidden/>
              </w:rPr>
              <w:fldChar w:fldCharType="end"/>
            </w:r>
          </w:hyperlink>
        </w:p>
        <w:p w14:paraId="54936DF4" w14:textId="44E38924" w:rsidR="00C661AC" w:rsidRPr="00661B41" w:rsidRDefault="00590C69">
          <w:pPr>
            <w:pStyle w:val="TOC1"/>
            <w:rPr>
              <w:rStyle w:val="Hyperlink"/>
              <w:b/>
            </w:rPr>
          </w:pPr>
          <w:hyperlink w:anchor="_Toc146723118" w:history="1">
            <w:r w:rsidR="00C661AC" w:rsidRPr="00661B41">
              <w:rPr>
                <w:rStyle w:val="Hyperlink"/>
              </w:rPr>
              <w:t>Supplementary Note 2: AIS Data Processing</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_Toc146723118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12</w:t>
            </w:r>
            <w:r w:rsidR="00C661AC" w:rsidRPr="00661B41">
              <w:rPr>
                <w:rStyle w:val="Hyperlink"/>
                <w:b/>
                <w:webHidden/>
              </w:rPr>
              <w:fldChar w:fldCharType="end"/>
            </w:r>
          </w:hyperlink>
        </w:p>
        <w:p w14:paraId="36EDFC10" w14:textId="19433F45" w:rsidR="00C661AC" w:rsidRPr="00661B41" w:rsidRDefault="00590C69">
          <w:pPr>
            <w:pStyle w:val="TOC1"/>
            <w:rPr>
              <w:rStyle w:val="Hyperlink"/>
              <w:b/>
            </w:rPr>
          </w:pPr>
          <w:hyperlink w:anchor="_Toc146723119" w:history="1">
            <w:r w:rsidR="00C661AC" w:rsidRPr="00661B41">
              <w:rPr>
                <w:rStyle w:val="Hyperlink"/>
              </w:rPr>
              <w:t>Supplementary Note 3: Calculation of Ship Power Demand and Battery Size</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_Toc146723119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13</w:t>
            </w:r>
            <w:r w:rsidR="00C661AC" w:rsidRPr="00661B41">
              <w:rPr>
                <w:rStyle w:val="Hyperlink"/>
                <w:b/>
                <w:webHidden/>
              </w:rPr>
              <w:fldChar w:fldCharType="end"/>
            </w:r>
          </w:hyperlink>
        </w:p>
        <w:p w14:paraId="62EBC428" w14:textId="5CAE8CA1" w:rsidR="00C661AC" w:rsidRPr="00661B41" w:rsidRDefault="00590C69">
          <w:pPr>
            <w:pStyle w:val="TOC1"/>
            <w:rPr>
              <w:rStyle w:val="Hyperlink"/>
              <w:b/>
            </w:rPr>
          </w:pPr>
          <w:hyperlink w:anchor="_Toc146723120" w:history="1">
            <w:r w:rsidR="00C661AC" w:rsidRPr="00661B41">
              <w:rPr>
                <w:rStyle w:val="Hyperlink"/>
              </w:rPr>
              <w:t>Supplementary Note 4: Battery Degradation and Estimated Lifetime</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_Toc146723120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19</w:t>
            </w:r>
            <w:r w:rsidR="00C661AC" w:rsidRPr="00661B41">
              <w:rPr>
                <w:rStyle w:val="Hyperlink"/>
                <w:b/>
                <w:webHidden/>
              </w:rPr>
              <w:fldChar w:fldCharType="end"/>
            </w:r>
          </w:hyperlink>
        </w:p>
        <w:p w14:paraId="09D12447" w14:textId="31B82638" w:rsidR="00C661AC" w:rsidRPr="00661B41" w:rsidRDefault="00590C69">
          <w:pPr>
            <w:pStyle w:val="TOC1"/>
            <w:rPr>
              <w:rStyle w:val="Hyperlink"/>
              <w:b/>
            </w:rPr>
          </w:pPr>
          <w:hyperlink w:anchor="_Toc146723121" w:history="1">
            <w:r w:rsidR="00C661AC" w:rsidRPr="00661B41">
              <w:rPr>
                <w:rStyle w:val="Hyperlink"/>
              </w:rPr>
              <w:t>Supplementary Note 5: Emission Calculation</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_Toc146723121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22</w:t>
            </w:r>
            <w:r w:rsidR="00C661AC" w:rsidRPr="00661B41">
              <w:rPr>
                <w:rStyle w:val="Hyperlink"/>
                <w:b/>
                <w:webHidden/>
              </w:rPr>
              <w:fldChar w:fldCharType="end"/>
            </w:r>
          </w:hyperlink>
        </w:p>
        <w:p w14:paraId="376960EE" w14:textId="13BD1B87" w:rsidR="00C661AC" w:rsidRPr="00661B41" w:rsidRDefault="00590C69">
          <w:pPr>
            <w:pStyle w:val="TOC1"/>
            <w:rPr>
              <w:rStyle w:val="Hyperlink"/>
              <w:b/>
            </w:rPr>
          </w:pPr>
          <w:hyperlink w:anchor="_Toc146723122" w:history="1">
            <w:r w:rsidR="00C661AC" w:rsidRPr="00661B41">
              <w:rPr>
                <w:rStyle w:val="Hyperlink"/>
              </w:rPr>
              <w:t>Supplementary Note 6: Economic Feasibility Calculation</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_Toc146723122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25</w:t>
            </w:r>
            <w:r w:rsidR="00C661AC" w:rsidRPr="00661B41">
              <w:rPr>
                <w:rStyle w:val="Hyperlink"/>
                <w:b/>
                <w:webHidden/>
              </w:rPr>
              <w:fldChar w:fldCharType="end"/>
            </w:r>
          </w:hyperlink>
        </w:p>
        <w:p w14:paraId="60B85995" w14:textId="1262F878" w:rsidR="00C661AC" w:rsidRPr="00661B41" w:rsidRDefault="00590C69">
          <w:pPr>
            <w:pStyle w:val="TOC1"/>
            <w:rPr>
              <w:rStyle w:val="Hyperlink"/>
              <w:b/>
            </w:rPr>
          </w:pPr>
          <w:hyperlink w:anchor="_Toc146723123" w:history="1">
            <w:r w:rsidR="00C661AC" w:rsidRPr="00661B41">
              <w:rPr>
                <w:rStyle w:val="Hyperlink"/>
              </w:rPr>
              <w:t>Supplementary Note 7: Weight Estimation</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_Toc146723123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28</w:t>
            </w:r>
            <w:r w:rsidR="00C661AC" w:rsidRPr="00661B41">
              <w:rPr>
                <w:rStyle w:val="Hyperlink"/>
                <w:b/>
                <w:webHidden/>
              </w:rPr>
              <w:fldChar w:fldCharType="end"/>
            </w:r>
          </w:hyperlink>
        </w:p>
        <w:p w14:paraId="1B51A224" w14:textId="501DD638" w:rsidR="00C661AC" w:rsidRPr="00661B41" w:rsidRDefault="00590C69">
          <w:pPr>
            <w:pStyle w:val="TOC1"/>
            <w:rPr>
              <w:rStyle w:val="Hyperlink"/>
              <w:b/>
            </w:rPr>
          </w:pPr>
          <w:hyperlink w:anchor="_Toc146723124" w:history="1">
            <w:r w:rsidR="00C661AC" w:rsidRPr="00661B41">
              <w:rPr>
                <w:rStyle w:val="Hyperlink"/>
              </w:rPr>
              <w:t>Supplementary Note 8: Life Cycle Analysis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_Toc146723124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30</w:t>
            </w:r>
            <w:r w:rsidR="00C661AC" w:rsidRPr="00661B41">
              <w:rPr>
                <w:rStyle w:val="Hyperlink"/>
                <w:b/>
                <w:webHidden/>
              </w:rPr>
              <w:fldChar w:fldCharType="end"/>
            </w:r>
          </w:hyperlink>
        </w:p>
        <w:p w14:paraId="074DD1AA" w14:textId="3BC25032" w:rsidR="00EE0A0C" w:rsidRPr="00661B41" w:rsidRDefault="0007059A">
          <w:pPr>
            <w:pStyle w:val="TOC1"/>
            <w:rPr>
              <w:rStyle w:val="Hyperlink"/>
              <w:b/>
            </w:rPr>
          </w:pPr>
          <w:r w:rsidRPr="00661B41">
            <w:rPr>
              <w:rStyle w:val="Hyperlink"/>
              <w:b/>
            </w:rPr>
            <w:fldChar w:fldCharType="end"/>
          </w:r>
        </w:p>
      </w:sdtContent>
    </w:sdt>
    <w:p w14:paraId="078B2C4F" w14:textId="06D97D41" w:rsidR="00C661AC" w:rsidRPr="00661B41" w:rsidRDefault="001113EA">
      <w:pPr>
        <w:pStyle w:val="TOC1"/>
        <w:rPr>
          <w:rStyle w:val="Hyperlink"/>
          <w:rFonts w:eastAsiaTheme="minorEastAsia" w:cstheme="minorBidi"/>
          <w:b/>
          <w:noProof w:val="0"/>
          <w:szCs w:val="22"/>
        </w:rPr>
      </w:pPr>
      <w:r w:rsidRPr="00661B41">
        <w:rPr>
          <w:rStyle w:val="Hyperlink"/>
          <w:b/>
        </w:rPr>
        <w:fldChar w:fldCharType="begin"/>
      </w:r>
      <w:r w:rsidRPr="00661B41">
        <w:rPr>
          <w:rStyle w:val="Hyperlink"/>
        </w:rPr>
        <w:instrText xml:space="preserve"> TOC \h \z \c "Table" </w:instrText>
      </w:r>
      <w:r w:rsidRPr="00661B41">
        <w:rPr>
          <w:rStyle w:val="Hyperlink"/>
          <w:b/>
        </w:rPr>
        <w:fldChar w:fldCharType="separate"/>
      </w:r>
      <w:hyperlink w:anchor="_Toc146723126" w:history="1">
        <w:r w:rsidR="00C661AC" w:rsidRPr="00661B41">
          <w:rPr>
            <w:rStyle w:val="Hyperlink"/>
          </w:rPr>
          <w:t>Supplementary Table 1. Mapping USCG Vessel Types to Study-Specific Vessel Categories.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_Toc146723126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32</w:t>
        </w:r>
        <w:r w:rsidR="00C661AC" w:rsidRPr="00661B41">
          <w:rPr>
            <w:rStyle w:val="Hyperlink"/>
            <w:b/>
            <w:webHidden/>
          </w:rPr>
          <w:fldChar w:fldCharType="end"/>
        </w:r>
      </w:hyperlink>
    </w:p>
    <w:p w14:paraId="012F8F9F" w14:textId="224AD511" w:rsidR="00C661AC" w:rsidRPr="00661B41" w:rsidRDefault="00590C69">
      <w:pPr>
        <w:pStyle w:val="TOC1"/>
        <w:rPr>
          <w:rStyle w:val="Hyperlink"/>
          <w:b/>
        </w:rPr>
      </w:pPr>
      <w:hyperlink w:anchor="_Toc146723127" w:history="1">
        <w:r w:rsidR="00C661AC" w:rsidRPr="00661B41">
          <w:rPr>
            <w:rStyle w:val="Hyperlink"/>
          </w:rPr>
          <w:t>Supplementary Table 2. Mapping IHS Vessel Types to Study-Specific Vessel Categories.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_Toc146723127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36</w:t>
        </w:r>
        <w:r w:rsidR="00C661AC" w:rsidRPr="00661B41">
          <w:rPr>
            <w:rStyle w:val="Hyperlink"/>
            <w:b/>
            <w:webHidden/>
          </w:rPr>
          <w:fldChar w:fldCharType="end"/>
        </w:r>
      </w:hyperlink>
    </w:p>
    <w:p w14:paraId="18A56DBA" w14:textId="4476A80A" w:rsidR="00C661AC" w:rsidRPr="00661B41" w:rsidRDefault="00590C69">
      <w:pPr>
        <w:pStyle w:val="TOC1"/>
        <w:rPr>
          <w:rStyle w:val="Hyperlink"/>
          <w:b/>
        </w:rPr>
      </w:pPr>
      <w:hyperlink w:anchor="_Toc146723128" w:history="1">
        <w:r w:rsidR="00C661AC" w:rsidRPr="00661B41">
          <w:rPr>
            <w:rStyle w:val="Hyperlink"/>
          </w:rPr>
          <w:t>Supplementary Table 3. Ship Statistics by Type and Source</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_Toc146723128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37</w:t>
        </w:r>
        <w:r w:rsidR="00C661AC" w:rsidRPr="00661B41">
          <w:rPr>
            <w:rStyle w:val="Hyperlink"/>
            <w:b/>
            <w:webHidden/>
          </w:rPr>
          <w:fldChar w:fldCharType="end"/>
        </w:r>
      </w:hyperlink>
    </w:p>
    <w:p w14:paraId="1D6F3D6F" w14:textId="2BA8EE38" w:rsidR="00C661AC" w:rsidRPr="00661B41" w:rsidRDefault="00590C69">
      <w:pPr>
        <w:pStyle w:val="TOC1"/>
        <w:rPr>
          <w:rStyle w:val="Hyperlink"/>
          <w:b/>
        </w:rPr>
      </w:pPr>
      <w:hyperlink w:anchor="_Toc146723129" w:history="1">
        <w:r w:rsidR="00C661AC" w:rsidRPr="00661B41">
          <w:rPr>
            <w:rStyle w:val="Hyperlink"/>
          </w:rPr>
          <w:t>Supplementary Table 4. Average GT, Main Engine Capacity, and Travel Distance by Ship Type</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_Toc146723129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38</w:t>
        </w:r>
        <w:r w:rsidR="00C661AC" w:rsidRPr="00661B41">
          <w:rPr>
            <w:rStyle w:val="Hyperlink"/>
            <w:b/>
            <w:webHidden/>
          </w:rPr>
          <w:fldChar w:fldCharType="end"/>
        </w:r>
      </w:hyperlink>
    </w:p>
    <w:p w14:paraId="4F948787" w14:textId="597F00F5" w:rsidR="00C661AC" w:rsidRPr="00661B41" w:rsidRDefault="00590C69">
      <w:pPr>
        <w:pStyle w:val="TOC1"/>
        <w:rPr>
          <w:rStyle w:val="Hyperlink"/>
          <w:b/>
        </w:rPr>
      </w:pPr>
      <w:hyperlink w:anchor="_Toc146723130" w:history="1">
        <w:r w:rsidR="00C661AC" w:rsidRPr="00661B41">
          <w:rPr>
            <w:rStyle w:val="Hyperlink"/>
          </w:rPr>
          <w:t>Supplementary Table 5. Data Availability in Each Ship List</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_Toc146723130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39</w:t>
        </w:r>
        <w:r w:rsidR="00C661AC" w:rsidRPr="00661B41">
          <w:rPr>
            <w:rStyle w:val="Hyperlink"/>
            <w:b/>
            <w:webHidden/>
          </w:rPr>
          <w:fldChar w:fldCharType="end"/>
        </w:r>
      </w:hyperlink>
    </w:p>
    <w:p w14:paraId="10203115" w14:textId="23ACC048" w:rsidR="00C661AC" w:rsidRPr="00661B41" w:rsidRDefault="00590C69">
      <w:pPr>
        <w:pStyle w:val="TOC1"/>
        <w:rPr>
          <w:rStyle w:val="Hyperlink"/>
          <w:b/>
        </w:rPr>
      </w:pPr>
      <w:hyperlink w:anchor="_Toc146723131" w:history="1">
        <w:r w:rsidR="00C661AC" w:rsidRPr="00661B41">
          <w:rPr>
            <w:rStyle w:val="Hyperlink"/>
          </w:rPr>
          <w:t>Supplementary Table 6. Parameters for Estimating Main Engine Capacity</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_Toc146723131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40</w:t>
        </w:r>
        <w:r w:rsidR="00C661AC" w:rsidRPr="00661B41">
          <w:rPr>
            <w:rStyle w:val="Hyperlink"/>
            <w:b/>
            <w:webHidden/>
          </w:rPr>
          <w:fldChar w:fldCharType="end"/>
        </w:r>
      </w:hyperlink>
    </w:p>
    <w:p w14:paraId="3E07A522" w14:textId="34FC6D7A" w:rsidR="00C661AC" w:rsidRPr="00661B41" w:rsidRDefault="00590C69">
      <w:pPr>
        <w:pStyle w:val="TOC1"/>
        <w:rPr>
          <w:rStyle w:val="Hyperlink"/>
          <w:b/>
        </w:rPr>
      </w:pPr>
      <w:hyperlink w:anchor="_Toc146723132" w:history="1">
        <w:r w:rsidR="00C661AC" w:rsidRPr="00661B41">
          <w:rPr>
            <w:rStyle w:val="Hyperlink"/>
          </w:rPr>
          <w:t>Supplementary Table 7. Parameters for Estimating Main Engine Capacity10</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_Toc146723132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41</w:t>
        </w:r>
        <w:r w:rsidR="00C661AC" w:rsidRPr="00661B41">
          <w:rPr>
            <w:rStyle w:val="Hyperlink"/>
            <w:b/>
            <w:webHidden/>
          </w:rPr>
          <w:fldChar w:fldCharType="end"/>
        </w:r>
      </w:hyperlink>
    </w:p>
    <w:p w14:paraId="4656CD29" w14:textId="1C3F8E74" w:rsidR="00C661AC" w:rsidRPr="00661B41" w:rsidRDefault="00590C69">
      <w:pPr>
        <w:pStyle w:val="TOC1"/>
        <w:rPr>
          <w:rStyle w:val="Hyperlink"/>
          <w:b/>
        </w:rPr>
      </w:pPr>
      <w:hyperlink w:anchor="_Toc146723133" w:history="1">
        <w:r w:rsidR="00C661AC" w:rsidRPr="00661B41">
          <w:rPr>
            <w:rStyle w:val="Hyperlink"/>
          </w:rPr>
          <w:t>Supplementary Table 8. Parameters for Estimating Auxiliary Engine Capacity</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_Toc146723133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42</w:t>
        </w:r>
        <w:r w:rsidR="00C661AC" w:rsidRPr="00661B41">
          <w:rPr>
            <w:rStyle w:val="Hyperlink"/>
            <w:b/>
            <w:webHidden/>
          </w:rPr>
          <w:fldChar w:fldCharType="end"/>
        </w:r>
      </w:hyperlink>
    </w:p>
    <w:p w14:paraId="0B09867F" w14:textId="7E24E8BE" w:rsidR="00C661AC" w:rsidRPr="00661B41" w:rsidRDefault="00590C69">
      <w:pPr>
        <w:pStyle w:val="TOC1"/>
        <w:rPr>
          <w:rStyle w:val="Hyperlink"/>
          <w:b/>
        </w:rPr>
      </w:pPr>
      <w:hyperlink w:anchor="_Toc146723134" w:history="1">
        <w:r w:rsidR="00C661AC" w:rsidRPr="00661B41">
          <w:rPr>
            <w:rStyle w:val="Hyperlink"/>
          </w:rPr>
          <w:t>Supplementary Table 9. Parameters in the Admiralty Formula</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_Toc146723134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43</w:t>
        </w:r>
        <w:r w:rsidR="00C661AC" w:rsidRPr="00661B41">
          <w:rPr>
            <w:rStyle w:val="Hyperlink"/>
            <w:b/>
            <w:webHidden/>
          </w:rPr>
          <w:fldChar w:fldCharType="end"/>
        </w:r>
      </w:hyperlink>
    </w:p>
    <w:p w14:paraId="07797F7F" w14:textId="26A72DB2" w:rsidR="00C661AC" w:rsidRPr="00661B41" w:rsidRDefault="00590C69">
      <w:pPr>
        <w:pStyle w:val="TOC1"/>
        <w:rPr>
          <w:rStyle w:val="Hyperlink"/>
          <w:b/>
        </w:rPr>
      </w:pPr>
      <w:hyperlink w:anchor="_Toc146723135" w:history="1">
        <w:r w:rsidR="00C661AC" w:rsidRPr="00661B41">
          <w:rPr>
            <w:rStyle w:val="Hyperlink"/>
          </w:rPr>
          <w:t>Supplementary Table 10. Operational Mode by SOG</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_Toc146723135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44</w:t>
        </w:r>
        <w:r w:rsidR="00C661AC" w:rsidRPr="00661B41">
          <w:rPr>
            <w:rStyle w:val="Hyperlink"/>
            <w:b/>
            <w:webHidden/>
          </w:rPr>
          <w:fldChar w:fldCharType="end"/>
        </w:r>
      </w:hyperlink>
    </w:p>
    <w:p w14:paraId="5B1CD7F1" w14:textId="1E8330C0" w:rsidR="00C661AC" w:rsidRPr="00661B41" w:rsidRDefault="00590C69">
      <w:pPr>
        <w:pStyle w:val="TOC1"/>
        <w:rPr>
          <w:rStyle w:val="Hyperlink"/>
          <w:b/>
        </w:rPr>
      </w:pPr>
      <w:hyperlink w:anchor="_Toc146723136" w:history="1">
        <w:r w:rsidR="00C661AC" w:rsidRPr="00661B41">
          <w:rPr>
            <w:rStyle w:val="Hyperlink"/>
          </w:rPr>
          <w:t>Supplementary Table 11. Load Factor of Auxiliary Engines by Operational Mode and Ship Type (EPA, 2009)</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_Toc146723136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45</w:t>
        </w:r>
        <w:r w:rsidR="00C661AC" w:rsidRPr="00661B41">
          <w:rPr>
            <w:rStyle w:val="Hyperlink"/>
            <w:b/>
            <w:webHidden/>
          </w:rPr>
          <w:fldChar w:fldCharType="end"/>
        </w:r>
      </w:hyperlink>
    </w:p>
    <w:p w14:paraId="7C952A37" w14:textId="4BC77710" w:rsidR="00C661AC" w:rsidRPr="00661B41" w:rsidRDefault="00590C69">
      <w:pPr>
        <w:pStyle w:val="TOC1"/>
        <w:rPr>
          <w:rStyle w:val="Hyperlink"/>
          <w:b/>
        </w:rPr>
      </w:pPr>
      <w:hyperlink w:anchor="_Toc146723137" w:history="1">
        <w:r w:rsidR="00C661AC" w:rsidRPr="00661B41">
          <w:rPr>
            <w:rStyle w:val="Hyperlink"/>
          </w:rPr>
          <w:t>Supplementary Table 12. Energy Consumption Ratio of Main Engine and Auxiliary Engine (IMO, 2020)</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_Toc146723137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46</w:t>
        </w:r>
        <w:r w:rsidR="00C661AC" w:rsidRPr="00661B41">
          <w:rPr>
            <w:rStyle w:val="Hyperlink"/>
            <w:b/>
            <w:webHidden/>
          </w:rPr>
          <w:fldChar w:fldCharType="end"/>
        </w:r>
      </w:hyperlink>
    </w:p>
    <w:p w14:paraId="01816EE1" w14:textId="28C9379C" w:rsidR="00C661AC" w:rsidRPr="00661B41" w:rsidRDefault="00590C69">
      <w:pPr>
        <w:pStyle w:val="TOC1"/>
        <w:rPr>
          <w:rStyle w:val="Hyperlink"/>
          <w:b/>
        </w:rPr>
      </w:pPr>
      <w:hyperlink w:anchor="_Toc146723138" w:history="1">
        <w:r w:rsidR="00C661AC" w:rsidRPr="00661B41">
          <w:rPr>
            <w:rStyle w:val="Hyperlink"/>
          </w:rPr>
          <w:t>Supplementary Table 13. Efficiency of Individual Ship Components</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_Toc146723138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47</w:t>
        </w:r>
        <w:r w:rsidR="00C661AC" w:rsidRPr="00661B41">
          <w:rPr>
            <w:rStyle w:val="Hyperlink"/>
            <w:b/>
            <w:webHidden/>
          </w:rPr>
          <w:fldChar w:fldCharType="end"/>
        </w:r>
      </w:hyperlink>
    </w:p>
    <w:p w14:paraId="5D875A9E" w14:textId="46F0746A" w:rsidR="00C661AC" w:rsidRPr="00661B41" w:rsidRDefault="00590C69">
      <w:pPr>
        <w:pStyle w:val="TOC1"/>
        <w:rPr>
          <w:rStyle w:val="Hyperlink"/>
          <w:b/>
        </w:rPr>
      </w:pPr>
      <w:hyperlink w:anchor="_Toc146723139" w:history="1">
        <w:r w:rsidR="00C661AC" w:rsidRPr="00661B41">
          <w:rPr>
            <w:rStyle w:val="Hyperlink"/>
          </w:rPr>
          <w:t>Supplementary Table 14. Emission Factors for ICE Ships Fueled by ULSDa</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_Toc146723139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48</w:t>
        </w:r>
        <w:r w:rsidR="00C661AC" w:rsidRPr="00661B41">
          <w:rPr>
            <w:rStyle w:val="Hyperlink"/>
            <w:b/>
            <w:webHidden/>
          </w:rPr>
          <w:fldChar w:fldCharType="end"/>
        </w:r>
      </w:hyperlink>
    </w:p>
    <w:p w14:paraId="2CAC5809" w14:textId="776F52D8" w:rsidR="00C661AC" w:rsidRPr="00661B41" w:rsidRDefault="00590C69">
      <w:pPr>
        <w:pStyle w:val="TOC1"/>
        <w:rPr>
          <w:rStyle w:val="Hyperlink"/>
          <w:b/>
        </w:rPr>
      </w:pPr>
      <w:hyperlink w:anchor="_Toc146723140" w:history="1">
        <w:r w:rsidR="00C661AC" w:rsidRPr="00661B41">
          <w:rPr>
            <w:rStyle w:val="Hyperlink"/>
          </w:rPr>
          <w:t>Supplementary Table 15. Low-Load Adjustment Factors14</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_Toc146723140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49</w:t>
        </w:r>
        <w:r w:rsidR="00C661AC" w:rsidRPr="00661B41">
          <w:rPr>
            <w:rStyle w:val="Hyperlink"/>
            <w:b/>
            <w:webHidden/>
          </w:rPr>
          <w:fldChar w:fldCharType="end"/>
        </w:r>
      </w:hyperlink>
    </w:p>
    <w:p w14:paraId="6ABA2124" w14:textId="0E7ECEFC" w:rsidR="00C661AC" w:rsidRPr="00661B41" w:rsidRDefault="00590C69">
      <w:pPr>
        <w:pStyle w:val="TOC1"/>
        <w:rPr>
          <w:rStyle w:val="Hyperlink"/>
          <w:b/>
        </w:rPr>
      </w:pPr>
      <w:hyperlink w:anchor="_Toc146723141" w:history="1">
        <w:r w:rsidR="00C661AC" w:rsidRPr="00661B41">
          <w:rPr>
            <w:rStyle w:val="Hyperlink"/>
          </w:rPr>
          <w:t>Supplementary Table 16. Emission Factors for BESsa</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_Toc146723141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50</w:t>
        </w:r>
        <w:r w:rsidR="00C661AC" w:rsidRPr="00661B41">
          <w:rPr>
            <w:rStyle w:val="Hyperlink"/>
            <w:b/>
            <w:webHidden/>
          </w:rPr>
          <w:fldChar w:fldCharType="end"/>
        </w:r>
      </w:hyperlink>
    </w:p>
    <w:p w14:paraId="0196540C" w14:textId="4DEF0904" w:rsidR="00C661AC" w:rsidRPr="00661B41" w:rsidRDefault="00590C69">
      <w:pPr>
        <w:pStyle w:val="TOC1"/>
        <w:rPr>
          <w:rStyle w:val="Hyperlink"/>
          <w:b/>
        </w:rPr>
      </w:pPr>
      <w:hyperlink w:anchor="_Toc146723142" w:history="1">
        <w:r w:rsidR="00C661AC" w:rsidRPr="00661B41">
          <w:rPr>
            <w:rStyle w:val="Hyperlink"/>
          </w:rPr>
          <w:t>Supplementary Table 17. Parameters Used in Economic Feasibility Assessment</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_Toc146723142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51</w:t>
        </w:r>
        <w:r w:rsidR="00C661AC" w:rsidRPr="00661B41">
          <w:rPr>
            <w:rStyle w:val="Hyperlink"/>
            <w:b/>
            <w:webHidden/>
          </w:rPr>
          <w:fldChar w:fldCharType="end"/>
        </w:r>
      </w:hyperlink>
    </w:p>
    <w:p w14:paraId="7F230E65" w14:textId="7A48462D" w:rsidR="00C661AC" w:rsidRPr="00661B41" w:rsidRDefault="00590C69">
      <w:pPr>
        <w:pStyle w:val="TOC1"/>
        <w:rPr>
          <w:rStyle w:val="Hyperlink"/>
          <w:b/>
        </w:rPr>
      </w:pPr>
      <w:hyperlink w:anchor="_Toc146723143" w:history="1">
        <w:r w:rsidR="00C661AC" w:rsidRPr="00661B41">
          <w:rPr>
            <w:rStyle w:val="Hyperlink"/>
          </w:rPr>
          <w:t>Supplementary Table 18. Median Battery Capacity of BESs by Ship Size, Ship Type and Capacity Tier</w:t>
        </w:r>
        <w:r w:rsidR="00C661AC" w:rsidRPr="00661B41">
          <w:rPr>
            <w:rStyle w:val="Hyperlink"/>
            <w:webHidden/>
          </w:rPr>
          <w:tab/>
        </w:r>
        <w:r w:rsidR="00C661AC" w:rsidRPr="00661B41">
          <w:rPr>
            <w:rStyle w:val="Hyperlink"/>
            <w:b/>
            <w:webHidden/>
          </w:rPr>
          <w:fldChar w:fldCharType="begin"/>
        </w:r>
        <w:r w:rsidR="00C661AC" w:rsidRPr="00661B41">
          <w:rPr>
            <w:rStyle w:val="Hyperlink"/>
            <w:webHidden/>
          </w:rPr>
          <w:instrText xml:space="preserve"> PAGEREF _Toc146723143 \h </w:instrText>
        </w:r>
        <w:r w:rsidR="00C661AC" w:rsidRPr="00661B41">
          <w:rPr>
            <w:rStyle w:val="Hyperlink"/>
            <w:b/>
            <w:webHidden/>
          </w:rPr>
        </w:r>
        <w:r w:rsidR="00C661AC" w:rsidRPr="00661B41">
          <w:rPr>
            <w:rStyle w:val="Hyperlink"/>
            <w:b/>
            <w:webHidden/>
          </w:rPr>
          <w:fldChar w:fldCharType="separate"/>
        </w:r>
        <w:r w:rsidR="00C661AC" w:rsidRPr="00661B41">
          <w:rPr>
            <w:rStyle w:val="Hyperlink"/>
            <w:webHidden/>
          </w:rPr>
          <w:t>52</w:t>
        </w:r>
        <w:r w:rsidR="00C661AC" w:rsidRPr="00661B41">
          <w:rPr>
            <w:rStyle w:val="Hyperlink"/>
            <w:b/>
            <w:webHidden/>
          </w:rPr>
          <w:fldChar w:fldCharType="end"/>
        </w:r>
      </w:hyperlink>
    </w:p>
    <w:p w14:paraId="568B7B50" w14:textId="392CD243" w:rsidR="00B846CB" w:rsidRPr="00661B41" w:rsidRDefault="001113EA">
      <w:pPr>
        <w:pStyle w:val="TOC1"/>
        <w:rPr>
          <w:rStyle w:val="Hyperlink"/>
          <w:b/>
        </w:rPr>
      </w:pPr>
      <w:r w:rsidRPr="00661B41">
        <w:rPr>
          <w:rStyle w:val="Hyperlink"/>
          <w:b/>
        </w:rPr>
        <w:fldChar w:fldCharType="end"/>
      </w:r>
    </w:p>
    <w:bookmarkStart w:id="5" w:name="_Toc103228124"/>
    <w:bookmarkStart w:id="6" w:name="_Toc138986277"/>
    <w:p w14:paraId="41F39F2A" w14:textId="58EB6374" w:rsidR="009406BD" w:rsidRPr="00035F66" w:rsidRDefault="001B5582" w:rsidP="00035F66">
      <w:pPr>
        <w:pStyle w:val="TOC1"/>
        <w:rPr>
          <w:rStyle w:val="Hyperlink"/>
        </w:rPr>
      </w:pPr>
      <w:r w:rsidRPr="00035F66">
        <w:rPr>
          <w:rStyle w:val="Hyperlink"/>
        </w:rPr>
        <w:fldChar w:fldCharType="begin"/>
      </w:r>
      <w:r w:rsidRPr="00661B41">
        <w:rPr>
          <w:rStyle w:val="Hyperlink"/>
        </w:rPr>
        <w:instrText xml:space="preserve"> TOC \h \z \c "Figure" </w:instrText>
      </w:r>
      <w:r w:rsidRPr="00035F66">
        <w:rPr>
          <w:rStyle w:val="Hyperlink"/>
        </w:rPr>
        <w:fldChar w:fldCharType="separate"/>
      </w:r>
      <w:hyperlink w:anchor="_Toc148444182" w:history="1">
        <w:r w:rsidR="009406BD" w:rsidRPr="001101E3">
          <w:rPr>
            <w:rStyle w:val="Hyperlink"/>
          </w:rPr>
          <w:t>Supplementary Figure 1. Number of Ship Matches by Database and Method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_Toc148444182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53</w:t>
        </w:r>
        <w:r w:rsidR="009406BD" w:rsidRPr="00035F66">
          <w:rPr>
            <w:rStyle w:val="Hyperlink"/>
            <w:webHidden/>
          </w:rPr>
          <w:fldChar w:fldCharType="end"/>
        </w:r>
      </w:hyperlink>
    </w:p>
    <w:p w14:paraId="3A2DD6F0" w14:textId="5703C2B9" w:rsidR="009406BD" w:rsidRPr="00035F66" w:rsidRDefault="00590C69" w:rsidP="00035F66">
      <w:pPr>
        <w:pStyle w:val="TOC1"/>
        <w:rPr>
          <w:rStyle w:val="Hyperlink"/>
        </w:rPr>
      </w:pPr>
      <w:hyperlink w:anchor="_Toc148444183" w:history="1">
        <w:r w:rsidR="009406BD" w:rsidRPr="001101E3">
          <w:rPr>
            <w:rStyle w:val="Hyperlink"/>
          </w:rPr>
          <w:t>Supplementary Figure 2. Distribution of the AIS Analyzed Subset among Top 10 States by Ship Type and Cumulative Gross Tonnage (GT)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_Toc148444183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54</w:t>
        </w:r>
        <w:r w:rsidR="009406BD" w:rsidRPr="00035F66">
          <w:rPr>
            <w:rStyle w:val="Hyperlink"/>
            <w:webHidden/>
          </w:rPr>
          <w:fldChar w:fldCharType="end"/>
        </w:r>
      </w:hyperlink>
    </w:p>
    <w:p w14:paraId="0B9B965F" w14:textId="1F2E0391" w:rsidR="009406BD" w:rsidRPr="00035F66" w:rsidRDefault="00590C69" w:rsidP="00035F66">
      <w:pPr>
        <w:pStyle w:val="TOC1"/>
        <w:rPr>
          <w:rStyle w:val="Hyperlink"/>
        </w:rPr>
      </w:pPr>
      <w:hyperlink w:anchor="_Toc148444184" w:history="1">
        <w:r w:rsidR="009406BD" w:rsidRPr="001101E3">
          <w:rPr>
            <w:rStyle w:val="Hyperlink"/>
          </w:rPr>
          <w:t>Supplementary Figure 3. Count of Ships by Data Source</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_Toc148444184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55</w:t>
        </w:r>
        <w:r w:rsidR="009406BD" w:rsidRPr="00035F66">
          <w:rPr>
            <w:rStyle w:val="Hyperlink"/>
            <w:webHidden/>
          </w:rPr>
          <w:fldChar w:fldCharType="end"/>
        </w:r>
      </w:hyperlink>
    </w:p>
    <w:p w14:paraId="6AE4848A" w14:textId="6D0020D0" w:rsidR="009406BD" w:rsidRPr="00035F66" w:rsidRDefault="00590C69" w:rsidP="00035F66">
      <w:pPr>
        <w:pStyle w:val="TOC1"/>
        <w:rPr>
          <w:rStyle w:val="Hyperlink"/>
        </w:rPr>
      </w:pPr>
      <w:hyperlink w:anchor="_Toc148444185" w:history="1">
        <w:r w:rsidR="009406BD" w:rsidRPr="001101E3">
          <w:rPr>
            <w:rStyle w:val="Hyperlink"/>
          </w:rPr>
          <w:t>Supplementary Figure 4. Data Availability in the Domestic Fleet (6,323 ships with GT between 50-1000)</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_Toc148444185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56</w:t>
        </w:r>
        <w:r w:rsidR="009406BD" w:rsidRPr="00035F66">
          <w:rPr>
            <w:rStyle w:val="Hyperlink"/>
            <w:webHidden/>
          </w:rPr>
          <w:fldChar w:fldCharType="end"/>
        </w:r>
      </w:hyperlink>
    </w:p>
    <w:p w14:paraId="5BBD8DA7" w14:textId="21B5FCE6" w:rsidR="009406BD" w:rsidRPr="00035F66" w:rsidRDefault="00590C69" w:rsidP="00035F66">
      <w:pPr>
        <w:pStyle w:val="TOC1"/>
        <w:rPr>
          <w:rStyle w:val="Hyperlink"/>
        </w:rPr>
      </w:pPr>
      <w:hyperlink w:anchor="_Toc148444186" w:history="1">
        <w:r w:rsidR="009406BD" w:rsidRPr="001101E3">
          <w:rPr>
            <w:rStyle w:val="Hyperlink"/>
          </w:rPr>
          <w:t>Supplementary Figure 5. Estimation of IHS Max Speed Based on IHS Service Speed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_Toc148444186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57</w:t>
        </w:r>
        <w:r w:rsidR="009406BD" w:rsidRPr="00035F66">
          <w:rPr>
            <w:rStyle w:val="Hyperlink"/>
            <w:webHidden/>
          </w:rPr>
          <w:fldChar w:fldCharType="end"/>
        </w:r>
      </w:hyperlink>
    </w:p>
    <w:p w14:paraId="11F032B0" w14:textId="4FC951F3" w:rsidR="009406BD" w:rsidRPr="00035F66" w:rsidRDefault="00590C69" w:rsidP="00035F66">
      <w:pPr>
        <w:pStyle w:val="TOC1"/>
        <w:rPr>
          <w:rStyle w:val="Hyperlink"/>
        </w:rPr>
      </w:pPr>
      <w:hyperlink w:anchor="_Toc148444187" w:history="1">
        <w:r w:rsidR="009406BD" w:rsidRPr="001101E3">
          <w:rPr>
            <w:rStyle w:val="Hyperlink"/>
          </w:rPr>
          <w:t>Supplementary Figure 6. Estimation of Reference Speed Based on AIS Max Speed and AIS 95th Percentile Speed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_Toc148444187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58</w:t>
        </w:r>
        <w:r w:rsidR="009406BD" w:rsidRPr="00035F66">
          <w:rPr>
            <w:rStyle w:val="Hyperlink"/>
            <w:webHidden/>
          </w:rPr>
          <w:fldChar w:fldCharType="end"/>
        </w:r>
      </w:hyperlink>
    </w:p>
    <w:p w14:paraId="46D53672" w14:textId="7169F795" w:rsidR="009406BD" w:rsidRPr="00035F66" w:rsidRDefault="00590C69" w:rsidP="00035F66">
      <w:pPr>
        <w:pStyle w:val="TOC1"/>
        <w:rPr>
          <w:rStyle w:val="Hyperlink"/>
        </w:rPr>
      </w:pPr>
      <w:hyperlink w:anchor="_Toc148444188" w:history="1">
        <w:r w:rsidR="009406BD" w:rsidRPr="001101E3">
          <w:rPr>
            <w:rStyle w:val="Hyperlink"/>
          </w:rPr>
          <w:t>Supplementary Figure 7. Estimation of Main Engine Capacity Based on GT, Registered Length, and Reference Speed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_Toc148444188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59</w:t>
        </w:r>
        <w:r w:rsidR="009406BD" w:rsidRPr="00035F66">
          <w:rPr>
            <w:rStyle w:val="Hyperlink"/>
            <w:webHidden/>
          </w:rPr>
          <w:fldChar w:fldCharType="end"/>
        </w:r>
      </w:hyperlink>
    </w:p>
    <w:p w14:paraId="7C968934" w14:textId="345C147F" w:rsidR="009406BD" w:rsidRPr="00035F66" w:rsidRDefault="00590C69" w:rsidP="00035F66">
      <w:pPr>
        <w:pStyle w:val="TOC1"/>
        <w:rPr>
          <w:rStyle w:val="Hyperlink"/>
        </w:rPr>
      </w:pPr>
      <w:hyperlink w:anchor="_Toc148444189" w:history="1">
        <w:r w:rsidR="009406BD" w:rsidRPr="001101E3">
          <w:rPr>
            <w:rStyle w:val="Hyperlink"/>
          </w:rPr>
          <w:t>Supplementary Figure 8. Estimation of Displacement from GT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_Toc148444189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60</w:t>
        </w:r>
        <w:r w:rsidR="009406BD" w:rsidRPr="00035F66">
          <w:rPr>
            <w:rStyle w:val="Hyperlink"/>
            <w:webHidden/>
          </w:rPr>
          <w:fldChar w:fldCharType="end"/>
        </w:r>
      </w:hyperlink>
    </w:p>
    <w:p w14:paraId="361A8F45" w14:textId="0B686FE6" w:rsidR="009406BD" w:rsidRPr="00035F66" w:rsidRDefault="00590C69" w:rsidP="00035F66">
      <w:pPr>
        <w:pStyle w:val="TOC1"/>
        <w:rPr>
          <w:rStyle w:val="Hyperlink"/>
        </w:rPr>
      </w:pPr>
      <w:hyperlink w:anchor="_Toc148444190" w:history="1">
        <w:r w:rsidR="009406BD" w:rsidRPr="001101E3">
          <w:rPr>
            <w:rStyle w:val="Hyperlink"/>
          </w:rPr>
          <w:t>Supplementary Figure 9. A Conceptual Configuration of BES and SPC</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_Toc148444190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61</w:t>
        </w:r>
        <w:r w:rsidR="009406BD" w:rsidRPr="00035F66">
          <w:rPr>
            <w:rStyle w:val="Hyperlink"/>
            <w:webHidden/>
          </w:rPr>
          <w:fldChar w:fldCharType="end"/>
        </w:r>
      </w:hyperlink>
    </w:p>
    <w:p w14:paraId="33F71BD0" w14:textId="391D8824" w:rsidR="009406BD" w:rsidRPr="00035F66" w:rsidRDefault="00590C69" w:rsidP="00035F66">
      <w:pPr>
        <w:pStyle w:val="TOC1"/>
        <w:rPr>
          <w:rStyle w:val="Hyperlink"/>
        </w:rPr>
      </w:pPr>
      <w:hyperlink w:anchor="_Toc148444191" w:history="1">
        <w:r w:rsidR="009406BD" w:rsidRPr="001101E3">
          <w:rPr>
            <w:rStyle w:val="Hyperlink"/>
          </w:rPr>
          <w:t>Supplementary Figure 10. Electricity Flow during Battery Charging at Port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_Toc148444191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62</w:t>
        </w:r>
        <w:r w:rsidR="009406BD" w:rsidRPr="00035F66">
          <w:rPr>
            <w:rStyle w:val="Hyperlink"/>
            <w:webHidden/>
          </w:rPr>
          <w:fldChar w:fldCharType="end"/>
        </w:r>
      </w:hyperlink>
    </w:p>
    <w:p w14:paraId="64C559D6" w14:textId="4404F1EA" w:rsidR="009406BD" w:rsidRPr="00035F66" w:rsidRDefault="00590C69" w:rsidP="00035F66">
      <w:pPr>
        <w:pStyle w:val="TOC1"/>
        <w:rPr>
          <w:rStyle w:val="Hyperlink"/>
        </w:rPr>
      </w:pPr>
      <w:hyperlink w:anchor="_Toc148444193" w:history="1">
        <w:r w:rsidR="009406BD" w:rsidRPr="001101E3">
          <w:rPr>
            <w:rStyle w:val="Hyperlink"/>
          </w:rPr>
          <w:t>Supplementary Figure 12. SOG of Different Ship Types: (a) Passenger, (b) Tug (Coastal-Harbor)</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_Toc148444193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64</w:t>
        </w:r>
        <w:r w:rsidR="009406BD" w:rsidRPr="00035F66">
          <w:rPr>
            <w:rStyle w:val="Hyperlink"/>
            <w:webHidden/>
          </w:rPr>
          <w:fldChar w:fldCharType="end"/>
        </w:r>
      </w:hyperlink>
    </w:p>
    <w:p w14:paraId="0214593D" w14:textId="136FDBAB" w:rsidR="009406BD" w:rsidRPr="00035F66" w:rsidRDefault="00590C69" w:rsidP="00035F66">
      <w:pPr>
        <w:pStyle w:val="TOC1"/>
        <w:rPr>
          <w:rStyle w:val="Hyperlink"/>
        </w:rPr>
      </w:pPr>
      <w:hyperlink w:anchor="_Toc148444194" w:history="1">
        <w:r w:rsidR="009406BD" w:rsidRPr="001101E3">
          <w:rPr>
            <w:rStyle w:val="Hyperlink"/>
          </w:rPr>
          <w:t>Supplementary Figure 13. Examples of Distribution of Trip Energy</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_Toc148444194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65</w:t>
        </w:r>
        <w:r w:rsidR="009406BD" w:rsidRPr="00035F66">
          <w:rPr>
            <w:rStyle w:val="Hyperlink"/>
            <w:webHidden/>
          </w:rPr>
          <w:fldChar w:fldCharType="end"/>
        </w:r>
      </w:hyperlink>
    </w:p>
    <w:p w14:paraId="61B01B40" w14:textId="7DC8C82A" w:rsidR="009406BD" w:rsidRPr="00035F66" w:rsidRDefault="00590C69" w:rsidP="00035F66">
      <w:pPr>
        <w:pStyle w:val="TOC1"/>
        <w:rPr>
          <w:rStyle w:val="Hyperlink"/>
        </w:rPr>
      </w:pPr>
      <w:hyperlink w:anchor="_Toc148444195" w:history="1">
        <w:r w:rsidR="009406BD" w:rsidRPr="001101E3">
          <w:rPr>
            <w:rStyle w:val="Hyperlink"/>
          </w:rPr>
          <w:t>Supplementary Figure 14. Sum of Trip Energies for Two Ships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_Toc148444195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66</w:t>
        </w:r>
        <w:r w:rsidR="009406BD" w:rsidRPr="00035F66">
          <w:rPr>
            <w:rStyle w:val="Hyperlink"/>
            <w:webHidden/>
          </w:rPr>
          <w:fldChar w:fldCharType="end"/>
        </w:r>
      </w:hyperlink>
    </w:p>
    <w:p w14:paraId="3C1258E5" w14:textId="663B5ED9" w:rsidR="009406BD" w:rsidRPr="00035F66" w:rsidRDefault="00590C69" w:rsidP="00035F66">
      <w:pPr>
        <w:pStyle w:val="TOC1"/>
        <w:rPr>
          <w:rStyle w:val="Hyperlink"/>
        </w:rPr>
      </w:pPr>
      <w:hyperlink w:anchor="_Toc148444196" w:history="1">
        <w:r w:rsidR="009406BD" w:rsidRPr="001101E3">
          <w:rPr>
            <w:rStyle w:val="Hyperlink"/>
          </w:rPr>
          <w:t>Supplementary Figure 15. A Schematic Diagram of Battery Sizing with Degradation Reflected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_Toc148444196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67</w:t>
        </w:r>
        <w:r w:rsidR="009406BD" w:rsidRPr="00035F66">
          <w:rPr>
            <w:rStyle w:val="Hyperlink"/>
            <w:webHidden/>
          </w:rPr>
          <w:fldChar w:fldCharType="end"/>
        </w:r>
      </w:hyperlink>
    </w:p>
    <w:p w14:paraId="26E9103A" w14:textId="388E4153" w:rsidR="009406BD" w:rsidRPr="00035F66" w:rsidRDefault="00590C69" w:rsidP="00035F66">
      <w:pPr>
        <w:pStyle w:val="TOC1"/>
        <w:rPr>
          <w:rStyle w:val="Hyperlink"/>
        </w:rPr>
      </w:pPr>
      <w:hyperlink w:anchor="_Toc148444197" w:history="1">
        <w:r w:rsidR="009406BD" w:rsidRPr="001101E3">
          <w:rPr>
            <w:rStyle w:val="Hyperlink"/>
          </w:rPr>
          <w:t>Supplementary Figure 16. Effect of State of Charge on Calendar Degradation Rate</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_Toc148444197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68</w:t>
        </w:r>
        <w:r w:rsidR="009406BD" w:rsidRPr="00035F66">
          <w:rPr>
            <w:rStyle w:val="Hyperlink"/>
            <w:webHidden/>
          </w:rPr>
          <w:fldChar w:fldCharType="end"/>
        </w:r>
      </w:hyperlink>
    </w:p>
    <w:p w14:paraId="56203C0A" w14:textId="41925A20" w:rsidR="009406BD" w:rsidRPr="00035F66" w:rsidRDefault="00590C69" w:rsidP="00035F66">
      <w:pPr>
        <w:pStyle w:val="TOC1"/>
        <w:rPr>
          <w:rStyle w:val="Hyperlink"/>
        </w:rPr>
      </w:pPr>
      <w:hyperlink w:anchor="_Toc148444198" w:history="1">
        <w:r w:rsidR="009406BD" w:rsidRPr="001101E3">
          <w:rPr>
            <w:rStyle w:val="Hyperlink"/>
          </w:rPr>
          <w:t>Supplementary Figure 17. Battery Sizing and Usable Capacity: (a) Initial Battery Composition, (b) End of Life (EoL)</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_Toc148444198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69</w:t>
        </w:r>
        <w:r w:rsidR="009406BD" w:rsidRPr="00035F66">
          <w:rPr>
            <w:rStyle w:val="Hyperlink"/>
            <w:webHidden/>
          </w:rPr>
          <w:fldChar w:fldCharType="end"/>
        </w:r>
      </w:hyperlink>
    </w:p>
    <w:p w14:paraId="2DAC239A" w14:textId="0EA04319" w:rsidR="009406BD" w:rsidRPr="00035F66" w:rsidRDefault="00590C69" w:rsidP="00035F66">
      <w:pPr>
        <w:pStyle w:val="TOC1"/>
        <w:rPr>
          <w:rStyle w:val="Hyperlink"/>
        </w:rPr>
      </w:pPr>
      <w:hyperlink w:anchor="_Toc148444199" w:history="1">
        <w:r w:rsidR="009406BD" w:rsidRPr="001101E3">
          <w:rPr>
            <w:rStyle w:val="Hyperlink"/>
          </w:rPr>
          <w:t>Supplementary Figure 18. LCA of BESs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_Toc148444199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70</w:t>
        </w:r>
        <w:r w:rsidR="009406BD" w:rsidRPr="00035F66">
          <w:rPr>
            <w:rStyle w:val="Hyperlink"/>
            <w:webHidden/>
          </w:rPr>
          <w:fldChar w:fldCharType="end"/>
        </w:r>
      </w:hyperlink>
    </w:p>
    <w:p w14:paraId="3FDE87DD" w14:textId="5EE561F2" w:rsidR="009406BD" w:rsidRPr="00035F66" w:rsidRDefault="00590C69" w:rsidP="00035F66">
      <w:pPr>
        <w:pStyle w:val="TOC1"/>
        <w:rPr>
          <w:rStyle w:val="Hyperlink"/>
        </w:rPr>
      </w:pPr>
      <w:hyperlink w:anchor="_Toc148444200" w:history="1">
        <w:r w:rsidR="009406BD" w:rsidRPr="001101E3">
          <w:rPr>
            <w:rStyle w:val="Hyperlink"/>
          </w:rPr>
          <w:t>Supplementary Figure 19. Cumulative Distribution of Reference Trip Energy Demand</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_Toc148444200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71</w:t>
        </w:r>
        <w:r w:rsidR="009406BD" w:rsidRPr="00035F66">
          <w:rPr>
            <w:rStyle w:val="Hyperlink"/>
            <w:webHidden/>
          </w:rPr>
          <w:fldChar w:fldCharType="end"/>
        </w:r>
      </w:hyperlink>
    </w:p>
    <w:p w14:paraId="570EF69C" w14:textId="06FF6776" w:rsidR="009406BD" w:rsidRPr="00035F66" w:rsidRDefault="00590C69" w:rsidP="00035F66">
      <w:pPr>
        <w:pStyle w:val="TOC1"/>
        <w:rPr>
          <w:rStyle w:val="Hyperlink"/>
        </w:rPr>
      </w:pPr>
      <w:hyperlink w:anchor="_Toc148444201" w:history="1">
        <w:r w:rsidR="009406BD" w:rsidRPr="001101E3">
          <w:rPr>
            <w:rStyle w:val="Hyperlink"/>
          </w:rPr>
          <w:t>Supplementary Figure 20. Distribution of Ratio of Unserved Trip Energy by BES Capacity Tier (BESp99, BESp95, and BESp90)</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_Toc148444201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72</w:t>
        </w:r>
        <w:r w:rsidR="009406BD" w:rsidRPr="00035F66">
          <w:rPr>
            <w:rStyle w:val="Hyperlink"/>
            <w:webHidden/>
          </w:rPr>
          <w:fldChar w:fldCharType="end"/>
        </w:r>
      </w:hyperlink>
    </w:p>
    <w:p w14:paraId="7417A9E4" w14:textId="579E7C71" w:rsidR="009406BD" w:rsidRPr="00035F66" w:rsidRDefault="00590C69" w:rsidP="00035F66">
      <w:pPr>
        <w:pStyle w:val="TOC1"/>
        <w:rPr>
          <w:rStyle w:val="Hyperlink"/>
        </w:rPr>
      </w:pPr>
      <w:hyperlink w:anchor="_Toc148444202" w:history="1">
        <w:r w:rsidR="009406BD" w:rsidRPr="001101E3">
          <w:rPr>
            <w:rStyle w:val="Hyperlink"/>
          </w:rPr>
          <w:t>Supplementary Figure 21. Distribution of Unserved Trip Ratio by Ship Type for Capacity Tier BES p95</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_Toc148444202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73</w:t>
        </w:r>
        <w:r w:rsidR="009406BD" w:rsidRPr="00035F66">
          <w:rPr>
            <w:rStyle w:val="Hyperlink"/>
            <w:webHidden/>
          </w:rPr>
          <w:fldChar w:fldCharType="end"/>
        </w:r>
      </w:hyperlink>
    </w:p>
    <w:p w14:paraId="4ADD8D42" w14:textId="64B06356" w:rsidR="009406BD" w:rsidRPr="00035F66" w:rsidRDefault="00590C69" w:rsidP="00035F66">
      <w:pPr>
        <w:pStyle w:val="TOC1"/>
        <w:rPr>
          <w:rStyle w:val="Hyperlink"/>
        </w:rPr>
      </w:pPr>
      <w:hyperlink w:anchor="_Toc148444203" w:history="1">
        <w:r w:rsidR="009406BD" w:rsidRPr="001101E3">
          <w:rPr>
            <w:rStyle w:val="Hyperlink"/>
          </w:rPr>
          <w:t>Supplementary Figure 22. Average LCOT of ICE Ships and BESs in 2022 under an INT Cost Scenario</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_Toc148444203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74</w:t>
        </w:r>
        <w:r w:rsidR="009406BD" w:rsidRPr="00035F66">
          <w:rPr>
            <w:rStyle w:val="Hyperlink"/>
            <w:webHidden/>
          </w:rPr>
          <w:fldChar w:fldCharType="end"/>
        </w:r>
      </w:hyperlink>
    </w:p>
    <w:p w14:paraId="3080F984" w14:textId="36A840BC" w:rsidR="009406BD" w:rsidRPr="00035F66" w:rsidRDefault="00590C69" w:rsidP="00035F66">
      <w:pPr>
        <w:pStyle w:val="TOC1"/>
        <w:rPr>
          <w:rStyle w:val="Hyperlink"/>
        </w:rPr>
      </w:pPr>
      <w:hyperlink w:anchor="_Toc148444204" w:history="1">
        <w:r w:rsidR="009406BD" w:rsidRPr="001101E3">
          <w:rPr>
            <w:rStyle w:val="Hyperlink"/>
          </w:rPr>
          <w:t>Supplementary Figure 23. Average LCOT for ICE Ships and BESs in 2035 under a 95% Electricity Decarbonization by 2050 (DEC) Emission Scenario and INT Cost Scenario By Capacity Tier</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_Toc148444204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76</w:t>
        </w:r>
        <w:r w:rsidR="009406BD" w:rsidRPr="00035F66">
          <w:rPr>
            <w:rStyle w:val="Hyperlink"/>
            <w:webHidden/>
          </w:rPr>
          <w:fldChar w:fldCharType="end"/>
        </w:r>
      </w:hyperlink>
    </w:p>
    <w:p w14:paraId="5EF0FCF1" w14:textId="41E90928" w:rsidR="009406BD" w:rsidRPr="00035F66" w:rsidRDefault="00590C69" w:rsidP="00035F66">
      <w:pPr>
        <w:pStyle w:val="TOC1"/>
        <w:rPr>
          <w:rStyle w:val="Hyperlink"/>
        </w:rPr>
      </w:pPr>
      <w:hyperlink w:anchor="_Toc148444205" w:history="1">
        <w:r w:rsidR="009406BD" w:rsidRPr="001101E3">
          <w:rPr>
            <w:rStyle w:val="Hyperlink"/>
          </w:rPr>
          <w:t>Supplementary Figure 24. Average LCOT for ICE Ships and BESs in 2035 under a 95% Electricity Decarbonization by 2050 (DEC) Emission Scenario and INT Cost Scenario By Ship Type for BESs with Capacity Tier p99 (BESp99)</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_Toc148444205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77</w:t>
        </w:r>
        <w:r w:rsidR="009406BD" w:rsidRPr="00035F66">
          <w:rPr>
            <w:rStyle w:val="Hyperlink"/>
            <w:webHidden/>
          </w:rPr>
          <w:fldChar w:fldCharType="end"/>
        </w:r>
      </w:hyperlink>
    </w:p>
    <w:p w14:paraId="5E248809" w14:textId="1468B29F" w:rsidR="009406BD" w:rsidRPr="00035F66" w:rsidRDefault="00590C69" w:rsidP="00035F66">
      <w:pPr>
        <w:pStyle w:val="TOC1"/>
        <w:rPr>
          <w:rStyle w:val="Hyperlink"/>
        </w:rPr>
      </w:pPr>
      <w:hyperlink w:anchor="_Toc148444206" w:history="1">
        <w:r w:rsidR="009406BD" w:rsidRPr="001101E3">
          <w:rPr>
            <w:rStyle w:val="Hyperlink"/>
          </w:rPr>
          <w:t>Supplementary Figure 25. Average LCOT of ICE Ships and BESs in 2050 under a 95% Electricity Decarbonization by 2050 (DEC) Emission Scenario with (a) Intermediate (INT) and (b) Optimistic (OPT) Cost Assumptions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_Toc148444206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79</w:t>
        </w:r>
        <w:r w:rsidR="009406BD" w:rsidRPr="00035F66">
          <w:rPr>
            <w:rStyle w:val="Hyperlink"/>
            <w:webHidden/>
          </w:rPr>
          <w:fldChar w:fldCharType="end"/>
        </w:r>
      </w:hyperlink>
    </w:p>
    <w:p w14:paraId="3A839CFB" w14:textId="1BAB9B93" w:rsidR="009406BD" w:rsidRPr="00035F66" w:rsidRDefault="00590C69" w:rsidP="00035F66">
      <w:pPr>
        <w:pStyle w:val="TOC1"/>
        <w:rPr>
          <w:rStyle w:val="Hyperlink"/>
        </w:rPr>
      </w:pPr>
      <w:hyperlink w:anchor="_Toc148444207" w:history="1">
        <w:r w:rsidR="009406BD" w:rsidRPr="001101E3">
          <w:rPr>
            <w:rStyle w:val="Hyperlink"/>
          </w:rPr>
          <w:t>Supplementary Figure 26. Ratio of BES Weight to ICE Weight by BES Capacity Tier</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_Toc148444207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81</w:t>
        </w:r>
        <w:r w:rsidR="009406BD" w:rsidRPr="00035F66">
          <w:rPr>
            <w:rStyle w:val="Hyperlink"/>
            <w:webHidden/>
          </w:rPr>
          <w:fldChar w:fldCharType="end"/>
        </w:r>
      </w:hyperlink>
    </w:p>
    <w:p w14:paraId="662A2F9C" w14:textId="46D6EAA0" w:rsidR="009406BD" w:rsidRPr="00035F66" w:rsidRDefault="00590C69" w:rsidP="00035F66">
      <w:pPr>
        <w:pStyle w:val="TOC1"/>
        <w:rPr>
          <w:rStyle w:val="Hyperlink"/>
        </w:rPr>
      </w:pPr>
      <w:hyperlink w:anchor="_Toc148444208" w:history="1">
        <w:r w:rsidR="009406BD" w:rsidRPr="001101E3">
          <w:rPr>
            <w:rStyle w:val="Hyperlink"/>
          </w:rPr>
          <w:t>Supplementary Figure 27. Ratio of BES p99 Weight to ICE Weight by Ship Type</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_Toc148444208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82</w:t>
        </w:r>
        <w:r w:rsidR="009406BD" w:rsidRPr="00035F66">
          <w:rPr>
            <w:rStyle w:val="Hyperlink"/>
            <w:webHidden/>
          </w:rPr>
          <w:fldChar w:fldCharType="end"/>
        </w:r>
      </w:hyperlink>
    </w:p>
    <w:p w14:paraId="7B71591F" w14:textId="45BEE475" w:rsidR="009406BD" w:rsidRPr="00035F66" w:rsidRDefault="00590C69" w:rsidP="00035F66">
      <w:pPr>
        <w:pStyle w:val="TOC1"/>
        <w:rPr>
          <w:rStyle w:val="Hyperlink"/>
        </w:rPr>
      </w:pPr>
      <w:hyperlink w:anchor="_Toc148444209" w:history="1">
        <w:r w:rsidR="009406BD" w:rsidRPr="001101E3">
          <w:rPr>
            <w:rStyle w:val="Hyperlink"/>
          </w:rPr>
          <w:t>Supplementary Figure 28. Ratio of BES p99 Weight to ICE Weight by Ship Type under Multiple Battery Weight Reduction Scenarios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_Toc148444209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83</w:t>
        </w:r>
        <w:r w:rsidR="009406BD" w:rsidRPr="00035F66">
          <w:rPr>
            <w:rStyle w:val="Hyperlink"/>
            <w:webHidden/>
          </w:rPr>
          <w:fldChar w:fldCharType="end"/>
        </w:r>
      </w:hyperlink>
    </w:p>
    <w:p w14:paraId="4674F837" w14:textId="4AA8DBB5" w:rsidR="009406BD" w:rsidRPr="00035F66" w:rsidRDefault="00590C69" w:rsidP="00035F66">
      <w:pPr>
        <w:pStyle w:val="TOC1"/>
        <w:rPr>
          <w:rStyle w:val="Hyperlink"/>
        </w:rPr>
      </w:pPr>
      <w:hyperlink w:anchor="_Toc148444210" w:history="1">
        <w:r w:rsidR="009406BD" w:rsidRPr="001101E3">
          <w:rPr>
            <w:rStyle w:val="Hyperlink"/>
          </w:rPr>
          <w:t>Supplementary Figure 29. Distribution of the Ratio of CO</w:t>
        </w:r>
        <w:r w:rsidR="009406BD" w:rsidRPr="00035F66">
          <w:rPr>
            <w:rStyle w:val="Hyperlink"/>
          </w:rPr>
          <w:t>2</w:t>
        </w:r>
        <w:r w:rsidR="009406BD" w:rsidRPr="001101E3">
          <w:rPr>
            <w:rStyle w:val="Hyperlink"/>
          </w:rPr>
          <w:t>e Emission Decrease vs. ICE Ships with a Factor of 2 for Unserved Trips in 2035 under a 95% Decarbonization by 2050 (DEC) Scenario</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_Toc148444210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84</w:t>
        </w:r>
        <w:r w:rsidR="009406BD" w:rsidRPr="00035F66">
          <w:rPr>
            <w:rStyle w:val="Hyperlink"/>
            <w:webHidden/>
          </w:rPr>
          <w:fldChar w:fldCharType="end"/>
        </w:r>
      </w:hyperlink>
    </w:p>
    <w:p w14:paraId="10633CDC" w14:textId="2DDD4C4D" w:rsidR="009406BD" w:rsidRPr="00035F66" w:rsidRDefault="00590C69" w:rsidP="00035F66">
      <w:pPr>
        <w:pStyle w:val="TOC1"/>
        <w:rPr>
          <w:rStyle w:val="Hyperlink"/>
        </w:rPr>
      </w:pPr>
      <w:hyperlink w:anchor="_Toc148444211" w:history="1">
        <w:r w:rsidR="009406BD" w:rsidRPr="001101E3">
          <w:rPr>
            <w:rStyle w:val="Hyperlink"/>
          </w:rPr>
          <w:t>Supplementary Figure 30. Ratio of Supplied Charging Demand under Historical Activity-Based Charging (HAC) and Trip-Based Charging (TBC) at the Illinois International Port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_Toc148444211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85</w:t>
        </w:r>
        <w:r w:rsidR="009406BD" w:rsidRPr="00035F66">
          <w:rPr>
            <w:rStyle w:val="Hyperlink"/>
            <w:webHidden/>
          </w:rPr>
          <w:fldChar w:fldCharType="end"/>
        </w:r>
      </w:hyperlink>
    </w:p>
    <w:p w14:paraId="4A228675" w14:textId="6ADFFFE5" w:rsidR="009406BD" w:rsidRPr="00035F66" w:rsidRDefault="00590C69" w:rsidP="00035F66">
      <w:pPr>
        <w:pStyle w:val="TOC1"/>
        <w:rPr>
          <w:rStyle w:val="Hyperlink"/>
        </w:rPr>
      </w:pPr>
      <w:hyperlink w:anchor="_Toc148444212" w:history="1">
        <w:r w:rsidR="009406BD" w:rsidRPr="001101E3">
          <w:rPr>
            <w:rStyle w:val="Hyperlink"/>
          </w:rPr>
          <w:t>Supplementary Figure 31. Distribution of Power Requirements for SPCs under Historical Activity-based Charging (HAC) and Trip-Based Charging (TBC) at the Illinois International Port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_Toc148444212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87</w:t>
        </w:r>
        <w:r w:rsidR="009406BD" w:rsidRPr="00035F66">
          <w:rPr>
            <w:rStyle w:val="Hyperlink"/>
            <w:webHidden/>
          </w:rPr>
          <w:fldChar w:fldCharType="end"/>
        </w:r>
      </w:hyperlink>
    </w:p>
    <w:p w14:paraId="298D1BBC" w14:textId="1D46EA0F" w:rsidR="009406BD" w:rsidRPr="00035F66" w:rsidRDefault="00590C69" w:rsidP="00035F66">
      <w:pPr>
        <w:pStyle w:val="TOC1"/>
        <w:rPr>
          <w:rStyle w:val="Hyperlink"/>
        </w:rPr>
      </w:pPr>
      <w:hyperlink w:anchor="_Toc148444213" w:history="1">
        <w:r w:rsidR="009406BD" w:rsidRPr="001101E3">
          <w:rPr>
            <w:rStyle w:val="Hyperlink"/>
          </w:rPr>
          <w:t>Supplementary Figure 32. Distribution of Number of Required SPCs under Historical Activity-based Charging (HAC) and Trip-Based Charging (TBC) at the Illinois International Port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_Toc148444213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88</w:t>
        </w:r>
        <w:r w:rsidR="009406BD" w:rsidRPr="00035F66">
          <w:rPr>
            <w:rStyle w:val="Hyperlink"/>
            <w:webHidden/>
          </w:rPr>
          <w:fldChar w:fldCharType="end"/>
        </w:r>
      </w:hyperlink>
    </w:p>
    <w:p w14:paraId="256DBDFC" w14:textId="0173D3CA" w:rsidR="009406BD" w:rsidRPr="00035F66" w:rsidRDefault="00590C69" w:rsidP="00035F66">
      <w:pPr>
        <w:pStyle w:val="TOC1"/>
        <w:rPr>
          <w:rStyle w:val="Hyperlink"/>
        </w:rPr>
      </w:pPr>
      <w:hyperlink w:anchor="_Toc148444214" w:history="1">
        <w:r w:rsidR="009406BD" w:rsidRPr="001101E3">
          <w:rPr>
            <w:rStyle w:val="Hyperlink"/>
          </w:rPr>
          <w:t>Supplementary Figure 33. Count of Ships in the AIS Analyzed Subset, by Ship Type</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_Toc148444214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89</w:t>
        </w:r>
        <w:r w:rsidR="009406BD" w:rsidRPr="00035F66">
          <w:rPr>
            <w:rStyle w:val="Hyperlink"/>
            <w:webHidden/>
          </w:rPr>
          <w:fldChar w:fldCharType="end"/>
        </w:r>
      </w:hyperlink>
    </w:p>
    <w:p w14:paraId="7E1E3958" w14:textId="361679F8" w:rsidR="009406BD" w:rsidRPr="00035F66" w:rsidRDefault="00590C69" w:rsidP="00035F66">
      <w:pPr>
        <w:pStyle w:val="TOC1"/>
        <w:rPr>
          <w:rStyle w:val="Hyperlink"/>
        </w:rPr>
      </w:pPr>
      <w:hyperlink w:anchor="_Toc148444215" w:history="1">
        <w:r w:rsidR="009406BD" w:rsidRPr="001101E3">
          <w:rPr>
            <w:rStyle w:val="Hyperlink"/>
          </w:rPr>
          <w:t>Supplementary Figure 34. Distribution of Annual Travel Distance by Ship Type in the AIS Analyzed Subset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_Toc148444215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90</w:t>
        </w:r>
        <w:r w:rsidR="009406BD" w:rsidRPr="00035F66">
          <w:rPr>
            <w:rStyle w:val="Hyperlink"/>
            <w:webHidden/>
          </w:rPr>
          <w:fldChar w:fldCharType="end"/>
        </w:r>
      </w:hyperlink>
    </w:p>
    <w:p w14:paraId="688AEC23" w14:textId="74AFA5C4" w:rsidR="009406BD" w:rsidRPr="00035F66" w:rsidRDefault="00590C69" w:rsidP="00035F66">
      <w:pPr>
        <w:pStyle w:val="TOC1"/>
        <w:rPr>
          <w:rStyle w:val="Hyperlink"/>
        </w:rPr>
      </w:pPr>
      <w:hyperlink w:anchor="_Toc148444216" w:history="1">
        <w:r w:rsidR="009406BD" w:rsidRPr="001101E3">
          <w:rPr>
            <w:rStyle w:val="Hyperlink"/>
          </w:rPr>
          <w:t>Supplementary Figure 35. Locations and Domestic Commodity Shipments at 150 Major U.S. Ports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_Toc148444216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91</w:t>
        </w:r>
        <w:r w:rsidR="009406BD" w:rsidRPr="00035F66">
          <w:rPr>
            <w:rStyle w:val="Hyperlink"/>
            <w:webHidden/>
          </w:rPr>
          <w:fldChar w:fldCharType="end"/>
        </w:r>
      </w:hyperlink>
    </w:p>
    <w:p w14:paraId="3491EEA1" w14:textId="4D58DCF0" w:rsidR="009406BD" w:rsidRPr="00035F66" w:rsidRDefault="00590C69" w:rsidP="00035F66">
      <w:pPr>
        <w:pStyle w:val="TOC1"/>
        <w:rPr>
          <w:rStyle w:val="Hyperlink"/>
        </w:rPr>
      </w:pPr>
      <w:hyperlink w:anchor="_Toc148444217" w:history="1">
        <w:r w:rsidR="009406BD" w:rsidRPr="001101E3">
          <w:rPr>
            <w:rStyle w:val="Hyperlink"/>
          </w:rPr>
          <w:t>Supplementary Figure 36. Process for Estimating Ship Electrification Potential and GHG Emissions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_Toc148444217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92</w:t>
        </w:r>
        <w:r w:rsidR="009406BD" w:rsidRPr="00035F66">
          <w:rPr>
            <w:rStyle w:val="Hyperlink"/>
            <w:webHidden/>
          </w:rPr>
          <w:fldChar w:fldCharType="end"/>
        </w:r>
      </w:hyperlink>
    </w:p>
    <w:p w14:paraId="5D7C7040" w14:textId="42FFCFE4" w:rsidR="009406BD" w:rsidRPr="00035F66" w:rsidRDefault="00590C69" w:rsidP="00035F66">
      <w:pPr>
        <w:pStyle w:val="TOC1"/>
        <w:rPr>
          <w:rStyle w:val="Hyperlink"/>
        </w:rPr>
      </w:pPr>
      <w:hyperlink w:anchor="_Toc148444218" w:history="1">
        <w:r w:rsidR="009406BD" w:rsidRPr="001101E3">
          <w:rPr>
            <w:rStyle w:val="Hyperlink"/>
          </w:rPr>
          <w:t>Supplementary Figure 37. Design of the Maritime Battery Electrification Simulator (MariBES) Developed for This Study</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_Toc148444218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93</w:t>
        </w:r>
        <w:r w:rsidR="009406BD" w:rsidRPr="00035F66">
          <w:rPr>
            <w:rStyle w:val="Hyperlink"/>
            <w:webHidden/>
          </w:rPr>
          <w:fldChar w:fldCharType="end"/>
        </w:r>
      </w:hyperlink>
    </w:p>
    <w:p w14:paraId="09EB3852" w14:textId="709964E2" w:rsidR="009406BD" w:rsidRPr="00035F66" w:rsidRDefault="00590C69" w:rsidP="00035F66">
      <w:pPr>
        <w:pStyle w:val="TOC1"/>
        <w:rPr>
          <w:rStyle w:val="Hyperlink"/>
        </w:rPr>
      </w:pPr>
      <w:hyperlink w:anchor="_Toc148444219" w:history="1">
        <w:r w:rsidR="009406BD" w:rsidRPr="001101E3">
          <w:rPr>
            <w:rStyle w:val="Hyperlink"/>
          </w:rPr>
          <w:t>Supplementary Figure 38. Illustrative Passenger Ship: (a) Speed over Ground (SOG) and Moving/Chargeable State, (b) Battery Charging, Discharging, and SOC</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_Toc148444219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94</w:t>
        </w:r>
        <w:r w:rsidR="009406BD" w:rsidRPr="00035F66">
          <w:rPr>
            <w:rStyle w:val="Hyperlink"/>
            <w:webHidden/>
          </w:rPr>
          <w:fldChar w:fldCharType="end"/>
        </w:r>
      </w:hyperlink>
    </w:p>
    <w:p w14:paraId="1FDC58F0" w14:textId="1C6BE06C" w:rsidR="009406BD" w:rsidRPr="00035F66" w:rsidRDefault="00590C69" w:rsidP="00035F66">
      <w:pPr>
        <w:pStyle w:val="TOC1"/>
        <w:rPr>
          <w:rStyle w:val="Hyperlink"/>
        </w:rPr>
      </w:pPr>
      <w:hyperlink w:anchor="_Toc148444220" w:history="1">
        <w:r w:rsidR="009406BD" w:rsidRPr="001101E3">
          <w:rPr>
            <w:rStyle w:val="Hyperlink"/>
          </w:rPr>
          <w:t>Supplementary Figure 39. Conceptual Framework for Estimating BES Grid Charging Requirements</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_Toc148444220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95</w:t>
        </w:r>
        <w:r w:rsidR="009406BD" w:rsidRPr="00035F66">
          <w:rPr>
            <w:rStyle w:val="Hyperlink"/>
            <w:webHidden/>
          </w:rPr>
          <w:fldChar w:fldCharType="end"/>
        </w:r>
      </w:hyperlink>
    </w:p>
    <w:p w14:paraId="634CBD09" w14:textId="4096CC1F" w:rsidR="009406BD" w:rsidRDefault="00590C69" w:rsidP="00035F66">
      <w:pPr>
        <w:pStyle w:val="TOC1"/>
        <w:rPr>
          <w:rFonts w:cstheme="minorBidi"/>
          <w:szCs w:val="22"/>
          <w:lang w:eastAsia="ko-KR"/>
        </w:rPr>
      </w:pPr>
      <w:hyperlink w:anchor="_Toc148444221" w:history="1">
        <w:r w:rsidR="009406BD" w:rsidRPr="001101E3">
          <w:rPr>
            <w:rStyle w:val="Hyperlink"/>
          </w:rPr>
          <w:t>Supplementary Figure 40. CO</w:t>
        </w:r>
        <w:r w:rsidR="009406BD" w:rsidRPr="00035F66">
          <w:rPr>
            <w:rStyle w:val="Hyperlink"/>
          </w:rPr>
          <w:t>2</w:t>
        </w:r>
        <w:r w:rsidR="009406BD" w:rsidRPr="001101E3">
          <w:rPr>
            <w:rStyle w:val="Hyperlink"/>
          </w:rPr>
          <w:t>e Emissions from ICE Ships in the AIS Analyzed Subset</w:t>
        </w:r>
        <w:r w:rsidR="009406BD" w:rsidRPr="00035F66">
          <w:rPr>
            <w:rStyle w:val="Hyperlink"/>
            <w:webHidden/>
          </w:rPr>
          <w:tab/>
        </w:r>
        <w:r w:rsidR="009406BD" w:rsidRPr="00035F66">
          <w:rPr>
            <w:rStyle w:val="Hyperlink"/>
            <w:webHidden/>
          </w:rPr>
          <w:fldChar w:fldCharType="begin"/>
        </w:r>
        <w:r w:rsidR="009406BD" w:rsidRPr="00035F66">
          <w:rPr>
            <w:rStyle w:val="Hyperlink"/>
            <w:webHidden/>
          </w:rPr>
          <w:instrText xml:space="preserve"> PAGEREF _Toc148444221 \h </w:instrText>
        </w:r>
        <w:r w:rsidR="009406BD" w:rsidRPr="00035F66">
          <w:rPr>
            <w:rStyle w:val="Hyperlink"/>
            <w:webHidden/>
          </w:rPr>
        </w:r>
        <w:r w:rsidR="009406BD" w:rsidRPr="00035F66">
          <w:rPr>
            <w:rStyle w:val="Hyperlink"/>
            <w:webHidden/>
          </w:rPr>
          <w:fldChar w:fldCharType="separate"/>
        </w:r>
        <w:r w:rsidR="009406BD" w:rsidRPr="00035F66">
          <w:rPr>
            <w:rStyle w:val="Hyperlink"/>
            <w:webHidden/>
          </w:rPr>
          <w:t>96</w:t>
        </w:r>
        <w:r w:rsidR="009406BD" w:rsidRPr="00035F66">
          <w:rPr>
            <w:rStyle w:val="Hyperlink"/>
            <w:webHidden/>
          </w:rPr>
          <w:fldChar w:fldCharType="end"/>
        </w:r>
      </w:hyperlink>
    </w:p>
    <w:p w14:paraId="0B03A21C" w14:textId="79E8CA87" w:rsidR="00B81DEC" w:rsidRPr="00035F66" w:rsidRDefault="001B5582">
      <w:pPr>
        <w:pStyle w:val="TOC1"/>
        <w:rPr>
          <w:rStyle w:val="Hyperlink"/>
          <w:b/>
        </w:rPr>
      </w:pPr>
      <w:r w:rsidRPr="00035F66">
        <w:rPr>
          <w:rStyle w:val="Hyperlink"/>
        </w:rPr>
        <w:fldChar w:fldCharType="end"/>
      </w:r>
      <w:hyperlink w:anchor="_Toc146723125" w:history="1">
        <w:r w:rsidR="00E9359F" w:rsidRPr="00035F66">
          <w:rPr>
            <w:rStyle w:val="Hyperlink"/>
            <w:color w:val="auto"/>
            <w:u w:val="none"/>
          </w:rPr>
          <w:t>Supplementary References</w:t>
        </w:r>
        <w:r w:rsidR="00E9359F" w:rsidRPr="00035F66">
          <w:rPr>
            <w:rStyle w:val="Hyperlink"/>
            <w:webHidden/>
            <w:color w:val="auto"/>
            <w:u w:val="none"/>
          </w:rPr>
          <w:tab/>
        </w:r>
        <w:r w:rsidR="00E9359F" w:rsidRPr="00035F66">
          <w:rPr>
            <w:rStyle w:val="Hyperlink"/>
            <w:b/>
            <w:webHidden/>
            <w:color w:val="auto"/>
          </w:rPr>
          <w:fldChar w:fldCharType="begin"/>
        </w:r>
        <w:r w:rsidR="00E9359F" w:rsidRPr="00035F66">
          <w:rPr>
            <w:rStyle w:val="Hyperlink"/>
            <w:webHidden/>
            <w:color w:val="auto"/>
          </w:rPr>
          <w:instrText xml:space="preserve"> PAGEREF _Toc146723125 \h </w:instrText>
        </w:r>
        <w:r w:rsidR="00E9359F" w:rsidRPr="00035F66">
          <w:rPr>
            <w:rStyle w:val="Hyperlink"/>
            <w:b/>
            <w:webHidden/>
            <w:color w:val="auto"/>
          </w:rPr>
        </w:r>
        <w:r w:rsidR="00E9359F" w:rsidRPr="00035F66">
          <w:rPr>
            <w:rStyle w:val="Hyperlink"/>
            <w:b/>
            <w:webHidden/>
            <w:color w:val="auto"/>
          </w:rPr>
          <w:fldChar w:fldCharType="separate"/>
        </w:r>
        <w:r w:rsidR="00E9359F" w:rsidRPr="00035F66">
          <w:rPr>
            <w:rStyle w:val="Hyperlink"/>
            <w:webHidden/>
            <w:color w:val="auto"/>
          </w:rPr>
          <w:t>9</w:t>
        </w:r>
        <w:r w:rsidR="009406BD">
          <w:rPr>
            <w:rStyle w:val="Hyperlink"/>
            <w:webHidden/>
            <w:color w:val="auto"/>
          </w:rPr>
          <w:t>7</w:t>
        </w:r>
        <w:r w:rsidR="00E9359F" w:rsidRPr="00035F66">
          <w:rPr>
            <w:rStyle w:val="Hyperlink"/>
            <w:b/>
            <w:webHidden/>
            <w:color w:val="auto"/>
          </w:rPr>
          <w:fldChar w:fldCharType="end"/>
        </w:r>
      </w:hyperlink>
    </w:p>
    <w:p w14:paraId="66688979" w14:textId="39F9E9E2" w:rsidR="00183781" w:rsidRPr="00661B41" w:rsidRDefault="00183781">
      <w:pPr>
        <w:pStyle w:val="TOC1"/>
        <w:rPr>
          <w:rStyle w:val="Hyperlink"/>
          <w:b/>
        </w:rPr>
      </w:pPr>
      <w:r w:rsidRPr="00661B41">
        <w:rPr>
          <w:rStyle w:val="Hyperlink"/>
        </w:rPr>
        <w:br w:type="page"/>
      </w:r>
    </w:p>
    <w:p w14:paraId="7F66C9F4" w14:textId="40285598" w:rsidR="0024406D" w:rsidRDefault="00E545E7" w:rsidP="007A310F">
      <w:pPr>
        <w:pStyle w:val="Heading1"/>
        <w:numPr>
          <w:ilvl w:val="0"/>
          <w:numId w:val="0"/>
        </w:numPr>
        <w:spacing w:after="0"/>
        <w:rPr>
          <w:color w:val="1F497D" w:themeColor="text2"/>
        </w:rPr>
      </w:pPr>
      <w:bookmarkStart w:id="7" w:name="_Toc146544235"/>
      <w:bookmarkStart w:id="8" w:name="_Toc146723115"/>
      <w:r w:rsidRPr="00022BA7">
        <w:rPr>
          <w:color w:val="1F497D" w:themeColor="text2"/>
        </w:rPr>
        <w:lastRenderedPageBreak/>
        <w:t>List of Acronyms</w:t>
      </w:r>
      <w:bookmarkEnd w:id="5"/>
      <w:bookmarkEnd w:id="6"/>
      <w:bookmarkEnd w:id="7"/>
      <w:bookmarkEnd w:id="8"/>
    </w:p>
    <w:tbl>
      <w:tblPr>
        <w:tblW w:w="7312" w:type="dxa"/>
        <w:tblLook w:val="04A0" w:firstRow="1" w:lastRow="0" w:firstColumn="1" w:lastColumn="0" w:noHBand="0" w:noVBand="1"/>
      </w:tblPr>
      <w:tblGrid>
        <w:gridCol w:w="2340"/>
        <w:gridCol w:w="4972"/>
      </w:tblGrid>
      <w:tr w:rsidR="0049495F" w:rsidRPr="00022BA7" w14:paraId="28D1C196" w14:textId="52AC6143" w:rsidTr="00032A37">
        <w:trPr>
          <w:trHeight w:val="302"/>
        </w:trPr>
        <w:tc>
          <w:tcPr>
            <w:tcW w:w="2340" w:type="dxa"/>
            <w:tcBorders>
              <w:top w:val="nil"/>
              <w:left w:val="nil"/>
              <w:bottom w:val="nil"/>
              <w:right w:val="nil"/>
            </w:tcBorders>
            <w:shd w:val="clear" w:color="auto" w:fill="auto"/>
            <w:noWrap/>
            <w:vAlign w:val="center"/>
            <w:hideMark/>
          </w:tcPr>
          <w:p w14:paraId="3550D08B" w14:textId="37F12ADF" w:rsidR="0049495F" w:rsidRPr="007A310F" w:rsidRDefault="0049495F" w:rsidP="0049495F">
            <w:pPr>
              <w:rPr>
                <w:sz w:val="20"/>
                <w:szCs w:val="20"/>
              </w:rPr>
            </w:pPr>
            <w:r>
              <w:rPr>
                <w:color w:val="000000"/>
              </w:rPr>
              <w:t>AC</w:t>
            </w:r>
          </w:p>
        </w:tc>
        <w:tc>
          <w:tcPr>
            <w:tcW w:w="4972" w:type="dxa"/>
            <w:tcBorders>
              <w:top w:val="nil"/>
              <w:left w:val="nil"/>
              <w:bottom w:val="nil"/>
              <w:right w:val="nil"/>
            </w:tcBorders>
            <w:shd w:val="clear" w:color="auto" w:fill="auto"/>
            <w:noWrap/>
            <w:vAlign w:val="center"/>
            <w:hideMark/>
          </w:tcPr>
          <w:p w14:paraId="785D27EE" w14:textId="24A46B12" w:rsidR="0049495F" w:rsidRPr="007A310F" w:rsidRDefault="0049495F" w:rsidP="0049495F">
            <w:pPr>
              <w:rPr>
                <w:sz w:val="20"/>
                <w:szCs w:val="20"/>
              </w:rPr>
            </w:pPr>
            <w:r>
              <w:rPr>
                <w:color w:val="000000"/>
              </w:rPr>
              <w:t>Alternating Current</w:t>
            </w:r>
          </w:p>
        </w:tc>
      </w:tr>
      <w:tr w:rsidR="0049495F" w:rsidRPr="00022BA7" w14:paraId="1EB3AB79" w14:textId="74D7516F" w:rsidTr="00032A37">
        <w:trPr>
          <w:trHeight w:val="302"/>
        </w:trPr>
        <w:tc>
          <w:tcPr>
            <w:tcW w:w="2340" w:type="dxa"/>
            <w:tcBorders>
              <w:top w:val="nil"/>
              <w:left w:val="nil"/>
              <w:bottom w:val="nil"/>
              <w:right w:val="nil"/>
            </w:tcBorders>
            <w:shd w:val="clear" w:color="auto" w:fill="auto"/>
            <w:noWrap/>
            <w:vAlign w:val="center"/>
            <w:hideMark/>
          </w:tcPr>
          <w:p w14:paraId="11FC4F2B" w14:textId="65B8A1CB" w:rsidR="0049495F" w:rsidRPr="007A310F" w:rsidRDefault="0049495F" w:rsidP="0049495F">
            <w:pPr>
              <w:rPr>
                <w:sz w:val="20"/>
                <w:szCs w:val="20"/>
              </w:rPr>
            </w:pPr>
            <w:r>
              <w:rPr>
                <w:color w:val="000000"/>
              </w:rPr>
              <w:t>ATB</w:t>
            </w:r>
          </w:p>
        </w:tc>
        <w:tc>
          <w:tcPr>
            <w:tcW w:w="4972" w:type="dxa"/>
            <w:tcBorders>
              <w:top w:val="nil"/>
              <w:left w:val="nil"/>
              <w:bottom w:val="nil"/>
              <w:right w:val="nil"/>
            </w:tcBorders>
            <w:shd w:val="clear" w:color="auto" w:fill="auto"/>
            <w:noWrap/>
            <w:vAlign w:val="center"/>
            <w:hideMark/>
          </w:tcPr>
          <w:p w14:paraId="1775D687" w14:textId="341A6D13" w:rsidR="0049495F" w:rsidRPr="007A310F" w:rsidRDefault="0049495F" w:rsidP="0049495F">
            <w:pPr>
              <w:rPr>
                <w:sz w:val="20"/>
                <w:szCs w:val="20"/>
              </w:rPr>
            </w:pPr>
            <w:r>
              <w:rPr>
                <w:color w:val="000000"/>
              </w:rPr>
              <w:t>Articulated Tug Barges</w:t>
            </w:r>
          </w:p>
        </w:tc>
      </w:tr>
      <w:tr w:rsidR="0049495F" w:rsidRPr="00022BA7" w14:paraId="0DEA1F70" w14:textId="626AD8F0" w:rsidTr="00032A37">
        <w:trPr>
          <w:trHeight w:val="302"/>
        </w:trPr>
        <w:tc>
          <w:tcPr>
            <w:tcW w:w="2340" w:type="dxa"/>
            <w:tcBorders>
              <w:top w:val="nil"/>
              <w:left w:val="nil"/>
              <w:bottom w:val="nil"/>
              <w:right w:val="nil"/>
            </w:tcBorders>
            <w:shd w:val="clear" w:color="auto" w:fill="auto"/>
            <w:noWrap/>
            <w:vAlign w:val="center"/>
            <w:hideMark/>
          </w:tcPr>
          <w:p w14:paraId="6DC5FDCC" w14:textId="7B73BAE4" w:rsidR="0049495F" w:rsidRPr="007A310F" w:rsidRDefault="0049495F" w:rsidP="0049495F">
            <w:pPr>
              <w:rPr>
                <w:sz w:val="20"/>
                <w:szCs w:val="20"/>
              </w:rPr>
            </w:pPr>
            <w:r>
              <w:rPr>
                <w:color w:val="000000"/>
              </w:rPr>
              <w:t>AIS</w:t>
            </w:r>
          </w:p>
        </w:tc>
        <w:tc>
          <w:tcPr>
            <w:tcW w:w="4972" w:type="dxa"/>
            <w:tcBorders>
              <w:top w:val="nil"/>
              <w:left w:val="nil"/>
              <w:bottom w:val="nil"/>
              <w:right w:val="nil"/>
            </w:tcBorders>
            <w:shd w:val="clear" w:color="auto" w:fill="auto"/>
            <w:noWrap/>
            <w:vAlign w:val="center"/>
            <w:hideMark/>
          </w:tcPr>
          <w:p w14:paraId="5FA667D4" w14:textId="1E9F5ACB" w:rsidR="0049495F" w:rsidRPr="007A310F" w:rsidRDefault="0049495F" w:rsidP="0049495F">
            <w:pPr>
              <w:rPr>
                <w:sz w:val="20"/>
                <w:szCs w:val="20"/>
              </w:rPr>
            </w:pPr>
            <w:r>
              <w:rPr>
                <w:color w:val="000000"/>
              </w:rPr>
              <w:t>Automatic Identification System</w:t>
            </w:r>
          </w:p>
        </w:tc>
      </w:tr>
      <w:tr w:rsidR="0049495F" w:rsidRPr="00022BA7" w14:paraId="0CCDBF47" w14:textId="54128129" w:rsidTr="00032A37">
        <w:trPr>
          <w:trHeight w:val="302"/>
        </w:trPr>
        <w:tc>
          <w:tcPr>
            <w:tcW w:w="2340" w:type="dxa"/>
            <w:tcBorders>
              <w:top w:val="nil"/>
              <w:left w:val="nil"/>
              <w:bottom w:val="nil"/>
              <w:right w:val="nil"/>
            </w:tcBorders>
            <w:shd w:val="clear" w:color="auto" w:fill="auto"/>
            <w:noWrap/>
            <w:vAlign w:val="center"/>
            <w:hideMark/>
          </w:tcPr>
          <w:p w14:paraId="69C4C2FB" w14:textId="0D05825F" w:rsidR="0049495F" w:rsidRPr="007A310F" w:rsidRDefault="0049495F" w:rsidP="0049495F">
            <w:pPr>
              <w:rPr>
                <w:sz w:val="20"/>
                <w:szCs w:val="20"/>
              </w:rPr>
            </w:pPr>
            <w:r>
              <w:rPr>
                <w:color w:val="000000"/>
              </w:rPr>
              <w:t>BES</w:t>
            </w:r>
          </w:p>
        </w:tc>
        <w:tc>
          <w:tcPr>
            <w:tcW w:w="4972" w:type="dxa"/>
            <w:tcBorders>
              <w:top w:val="nil"/>
              <w:left w:val="nil"/>
              <w:bottom w:val="nil"/>
              <w:right w:val="nil"/>
            </w:tcBorders>
            <w:shd w:val="clear" w:color="auto" w:fill="auto"/>
            <w:noWrap/>
            <w:vAlign w:val="center"/>
            <w:hideMark/>
          </w:tcPr>
          <w:p w14:paraId="3C791956" w14:textId="5254BA18" w:rsidR="0049495F" w:rsidRPr="007A310F" w:rsidRDefault="0049495F" w:rsidP="0049495F">
            <w:pPr>
              <w:rPr>
                <w:sz w:val="20"/>
                <w:szCs w:val="20"/>
              </w:rPr>
            </w:pPr>
            <w:r>
              <w:rPr>
                <w:color w:val="000000"/>
              </w:rPr>
              <w:t>Battery</w:t>
            </w:r>
            <w:r w:rsidR="00114DAF">
              <w:rPr>
                <w:color w:val="000000"/>
              </w:rPr>
              <w:t>-</w:t>
            </w:r>
            <w:r>
              <w:rPr>
                <w:color w:val="000000"/>
              </w:rPr>
              <w:t>Electric Ship</w:t>
            </w:r>
          </w:p>
        </w:tc>
      </w:tr>
      <w:tr w:rsidR="0049495F" w:rsidRPr="00022BA7" w14:paraId="49CF1B1E" w14:textId="0289A4F4" w:rsidTr="00032A37">
        <w:trPr>
          <w:trHeight w:val="302"/>
        </w:trPr>
        <w:tc>
          <w:tcPr>
            <w:tcW w:w="2340" w:type="dxa"/>
            <w:tcBorders>
              <w:top w:val="nil"/>
              <w:left w:val="nil"/>
              <w:bottom w:val="nil"/>
              <w:right w:val="nil"/>
            </w:tcBorders>
            <w:shd w:val="clear" w:color="auto" w:fill="auto"/>
            <w:noWrap/>
            <w:vAlign w:val="center"/>
            <w:hideMark/>
          </w:tcPr>
          <w:p w14:paraId="4C2FC1C3" w14:textId="2F229A7A" w:rsidR="0049495F" w:rsidRPr="007A310F" w:rsidRDefault="0049495F" w:rsidP="0049495F">
            <w:pPr>
              <w:rPr>
                <w:sz w:val="20"/>
                <w:szCs w:val="20"/>
              </w:rPr>
            </w:pPr>
            <w:r>
              <w:rPr>
                <w:color w:val="000000"/>
              </w:rPr>
              <w:t>BOEM</w:t>
            </w:r>
          </w:p>
        </w:tc>
        <w:tc>
          <w:tcPr>
            <w:tcW w:w="4972" w:type="dxa"/>
            <w:tcBorders>
              <w:top w:val="nil"/>
              <w:left w:val="nil"/>
              <w:bottom w:val="nil"/>
              <w:right w:val="nil"/>
            </w:tcBorders>
            <w:shd w:val="clear" w:color="auto" w:fill="auto"/>
            <w:noWrap/>
            <w:vAlign w:val="center"/>
            <w:hideMark/>
          </w:tcPr>
          <w:p w14:paraId="5F292DCE" w14:textId="06263345" w:rsidR="0049495F" w:rsidRPr="007A310F" w:rsidRDefault="0049495F" w:rsidP="0049495F">
            <w:pPr>
              <w:rPr>
                <w:sz w:val="20"/>
                <w:szCs w:val="20"/>
              </w:rPr>
            </w:pPr>
            <w:r>
              <w:rPr>
                <w:color w:val="000000"/>
              </w:rPr>
              <w:t>Bureau of Ocean Energy Management</w:t>
            </w:r>
          </w:p>
        </w:tc>
      </w:tr>
      <w:tr w:rsidR="0049495F" w:rsidRPr="00022BA7" w14:paraId="5A2E3587" w14:textId="7602138A" w:rsidTr="00032A37">
        <w:trPr>
          <w:trHeight w:val="302"/>
        </w:trPr>
        <w:tc>
          <w:tcPr>
            <w:tcW w:w="2340" w:type="dxa"/>
            <w:tcBorders>
              <w:top w:val="nil"/>
              <w:left w:val="nil"/>
              <w:bottom w:val="nil"/>
              <w:right w:val="nil"/>
            </w:tcBorders>
            <w:shd w:val="clear" w:color="auto" w:fill="auto"/>
            <w:noWrap/>
            <w:vAlign w:val="center"/>
            <w:hideMark/>
          </w:tcPr>
          <w:p w14:paraId="29501B3A" w14:textId="43424AEA" w:rsidR="0049495F" w:rsidRPr="007A310F" w:rsidRDefault="0049495F" w:rsidP="0049495F">
            <w:pPr>
              <w:rPr>
                <w:sz w:val="20"/>
                <w:szCs w:val="20"/>
              </w:rPr>
            </w:pPr>
            <w:r>
              <w:rPr>
                <w:color w:val="000000"/>
              </w:rPr>
              <w:t>CO</w:t>
            </w:r>
            <w:r>
              <w:rPr>
                <w:color w:val="000000"/>
                <w:vertAlign w:val="subscript"/>
              </w:rPr>
              <w:t>2</w:t>
            </w:r>
            <w:r>
              <w:rPr>
                <w:color w:val="000000"/>
              </w:rPr>
              <w:t>e</w:t>
            </w:r>
          </w:p>
        </w:tc>
        <w:tc>
          <w:tcPr>
            <w:tcW w:w="4972" w:type="dxa"/>
            <w:tcBorders>
              <w:top w:val="nil"/>
              <w:left w:val="nil"/>
              <w:bottom w:val="nil"/>
              <w:right w:val="nil"/>
            </w:tcBorders>
            <w:shd w:val="clear" w:color="auto" w:fill="auto"/>
            <w:noWrap/>
            <w:vAlign w:val="center"/>
            <w:hideMark/>
          </w:tcPr>
          <w:p w14:paraId="013144EF" w14:textId="10891548" w:rsidR="0049495F" w:rsidRPr="007A310F" w:rsidRDefault="0049495F" w:rsidP="0049495F">
            <w:pPr>
              <w:rPr>
                <w:sz w:val="20"/>
                <w:szCs w:val="20"/>
              </w:rPr>
            </w:pPr>
            <w:r>
              <w:rPr>
                <w:color w:val="000000"/>
              </w:rPr>
              <w:t>Carbon dioxide equivalent</w:t>
            </w:r>
          </w:p>
        </w:tc>
      </w:tr>
      <w:tr w:rsidR="0049495F" w:rsidRPr="00022BA7" w14:paraId="4037B1D1" w14:textId="4B673B3C" w:rsidTr="00032A37">
        <w:trPr>
          <w:trHeight w:val="302"/>
        </w:trPr>
        <w:tc>
          <w:tcPr>
            <w:tcW w:w="2340" w:type="dxa"/>
            <w:tcBorders>
              <w:top w:val="nil"/>
              <w:left w:val="nil"/>
              <w:bottom w:val="nil"/>
              <w:right w:val="nil"/>
            </w:tcBorders>
            <w:shd w:val="clear" w:color="auto" w:fill="auto"/>
            <w:noWrap/>
            <w:vAlign w:val="center"/>
            <w:hideMark/>
          </w:tcPr>
          <w:p w14:paraId="39C8586E" w14:textId="5244FC66" w:rsidR="0049495F" w:rsidRPr="007A310F" w:rsidRDefault="0049495F" w:rsidP="0049495F">
            <w:pPr>
              <w:rPr>
                <w:sz w:val="20"/>
                <w:szCs w:val="20"/>
              </w:rPr>
            </w:pPr>
            <w:r>
              <w:rPr>
                <w:color w:val="000000"/>
              </w:rPr>
              <w:t>DC</w:t>
            </w:r>
          </w:p>
        </w:tc>
        <w:tc>
          <w:tcPr>
            <w:tcW w:w="4972" w:type="dxa"/>
            <w:tcBorders>
              <w:top w:val="nil"/>
              <w:left w:val="nil"/>
              <w:bottom w:val="nil"/>
              <w:right w:val="nil"/>
            </w:tcBorders>
            <w:shd w:val="clear" w:color="auto" w:fill="auto"/>
            <w:noWrap/>
            <w:vAlign w:val="center"/>
            <w:hideMark/>
          </w:tcPr>
          <w:p w14:paraId="55F557D7" w14:textId="2F32D020" w:rsidR="0049495F" w:rsidRPr="007A310F" w:rsidRDefault="0049495F" w:rsidP="0049495F">
            <w:pPr>
              <w:rPr>
                <w:sz w:val="20"/>
                <w:szCs w:val="20"/>
              </w:rPr>
            </w:pPr>
            <w:r>
              <w:rPr>
                <w:color w:val="000000"/>
              </w:rPr>
              <w:t>Direct Current</w:t>
            </w:r>
          </w:p>
        </w:tc>
      </w:tr>
      <w:tr w:rsidR="0049495F" w:rsidRPr="00022BA7" w14:paraId="50370981" w14:textId="4BCFF7F8" w:rsidTr="00032A37">
        <w:trPr>
          <w:trHeight w:val="302"/>
        </w:trPr>
        <w:tc>
          <w:tcPr>
            <w:tcW w:w="2340" w:type="dxa"/>
            <w:tcBorders>
              <w:top w:val="nil"/>
              <w:left w:val="nil"/>
              <w:bottom w:val="nil"/>
              <w:right w:val="nil"/>
            </w:tcBorders>
            <w:shd w:val="clear" w:color="auto" w:fill="auto"/>
            <w:noWrap/>
            <w:vAlign w:val="center"/>
            <w:hideMark/>
          </w:tcPr>
          <w:p w14:paraId="33AD692E" w14:textId="1E4D3BE4" w:rsidR="0049495F" w:rsidRPr="007A310F" w:rsidRDefault="0049495F" w:rsidP="0049495F">
            <w:pPr>
              <w:rPr>
                <w:sz w:val="20"/>
                <w:szCs w:val="20"/>
              </w:rPr>
            </w:pPr>
            <w:r>
              <w:rPr>
                <w:color w:val="000000"/>
              </w:rPr>
              <w:t>GHG</w:t>
            </w:r>
          </w:p>
        </w:tc>
        <w:tc>
          <w:tcPr>
            <w:tcW w:w="4972" w:type="dxa"/>
            <w:tcBorders>
              <w:top w:val="nil"/>
              <w:left w:val="nil"/>
              <w:bottom w:val="nil"/>
              <w:right w:val="nil"/>
            </w:tcBorders>
            <w:shd w:val="clear" w:color="auto" w:fill="auto"/>
            <w:noWrap/>
            <w:vAlign w:val="center"/>
            <w:hideMark/>
          </w:tcPr>
          <w:p w14:paraId="1EA8E3C7" w14:textId="46DA9D43" w:rsidR="0049495F" w:rsidRPr="00B84F31" w:rsidRDefault="0049495F" w:rsidP="0049495F">
            <w:pPr>
              <w:rPr>
                <w:strike/>
                <w:sz w:val="20"/>
                <w:szCs w:val="20"/>
              </w:rPr>
            </w:pPr>
            <w:r>
              <w:rPr>
                <w:color w:val="000000"/>
              </w:rPr>
              <w:t>Greenhouse Gas</w:t>
            </w:r>
          </w:p>
        </w:tc>
      </w:tr>
      <w:tr w:rsidR="0049495F" w:rsidRPr="00022BA7" w14:paraId="1FC655EC" w14:textId="5BD1F31E" w:rsidTr="00032A37">
        <w:trPr>
          <w:trHeight w:val="302"/>
        </w:trPr>
        <w:tc>
          <w:tcPr>
            <w:tcW w:w="2340" w:type="dxa"/>
            <w:tcBorders>
              <w:top w:val="nil"/>
              <w:left w:val="nil"/>
              <w:bottom w:val="nil"/>
              <w:right w:val="nil"/>
            </w:tcBorders>
            <w:shd w:val="clear" w:color="auto" w:fill="auto"/>
            <w:noWrap/>
            <w:vAlign w:val="center"/>
            <w:hideMark/>
          </w:tcPr>
          <w:p w14:paraId="6A748D40" w14:textId="411E4C3F" w:rsidR="0049495F" w:rsidRPr="007A310F" w:rsidRDefault="0049495F" w:rsidP="0049495F">
            <w:pPr>
              <w:rPr>
                <w:sz w:val="20"/>
                <w:szCs w:val="20"/>
              </w:rPr>
            </w:pPr>
            <w:r>
              <w:rPr>
                <w:color w:val="000000"/>
              </w:rPr>
              <w:t>GT</w:t>
            </w:r>
          </w:p>
        </w:tc>
        <w:tc>
          <w:tcPr>
            <w:tcW w:w="4972" w:type="dxa"/>
            <w:tcBorders>
              <w:top w:val="nil"/>
              <w:left w:val="nil"/>
              <w:bottom w:val="nil"/>
              <w:right w:val="nil"/>
            </w:tcBorders>
            <w:shd w:val="clear" w:color="auto" w:fill="auto"/>
            <w:noWrap/>
            <w:vAlign w:val="center"/>
            <w:hideMark/>
          </w:tcPr>
          <w:p w14:paraId="145BC5F7" w14:textId="74BB9863" w:rsidR="0049495F" w:rsidRPr="00B84F31" w:rsidRDefault="0049495F" w:rsidP="0049495F">
            <w:pPr>
              <w:rPr>
                <w:strike/>
                <w:sz w:val="20"/>
                <w:szCs w:val="20"/>
              </w:rPr>
            </w:pPr>
            <w:r>
              <w:rPr>
                <w:color w:val="000000"/>
              </w:rPr>
              <w:t>Gross Tonnage</w:t>
            </w:r>
          </w:p>
        </w:tc>
      </w:tr>
      <w:tr w:rsidR="0049495F" w:rsidRPr="00022BA7" w14:paraId="38B261BE" w14:textId="2281FC54" w:rsidTr="00032A37">
        <w:trPr>
          <w:trHeight w:val="302"/>
        </w:trPr>
        <w:tc>
          <w:tcPr>
            <w:tcW w:w="2340" w:type="dxa"/>
            <w:tcBorders>
              <w:top w:val="nil"/>
              <w:left w:val="nil"/>
              <w:bottom w:val="nil"/>
              <w:right w:val="nil"/>
            </w:tcBorders>
            <w:shd w:val="clear" w:color="auto" w:fill="auto"/>
            <w:noWrap/>
            <w:vAlign w:val="center"/>
            <w:hideMark/>
          </w:tcPr>
          <w:p w14:paraId="16DAF343" w14:textId="6A06D8D8" w:rsidR="0049495F" w:rsidRPr="007A310F" w:rsidRDefault="0049495F" w:rsidP="0049495F">
            <w:pPr>
              <w:rPr>
                <w:sz w:val="20"/>
                <w:szCs w:val="20"/>
              </w:rPr>
            </w:pPr>
            <w:r>
              <w:rPr>
                <w:color w:val="000000"/>
              </w:rPr>
              <w:t>IHS</w:t>
            </w:r>
          </w:p>
        </w:tc>
        <w:tc>
          <w:tcPr>
            <w:tcW w:w="4972" w:type="dxa"/>
            <w:tcBorders>
              <w:top w:val="nil"/>
              <w:left w:val="nil"/>
              <w:bottom w:val="nil"/>
              <w:right w:val="nil"/>
            </w:tcBorders>
            <w:shd w:val="clear" w:color="auto" w:fill="auto"/>
            <w:noWrap/>
            <w:vAlign w:val="center"/>
            <w:hideMark/>
          </w:tcPr>
          <w:p w14:paraId="68B3117A" w14:textId="2B2E1901" w:rsidR="0049495F" w:rsidRPr="007A310F" w:rsidRDefault="0049495F" w:rsidP="0049495F">
            <w:pPr>
              <w:rPr>
                <w:sz w:val="20"/>
                <w:szCs w:val="20"/>
              </w:rPr>
            </w:pPr>
            <w:r>
              <w:rPr>
                <w:color w:val="000000"/>
              </w:rPr>
              <w:t>Information Handling Services</w:t>
            </w:r>
          </w:p>
        </w:tc>
      </w:tr>
      <w:tr w:rsidR="0049495F" w:rsidRPr="00022BA7" w14:paraId="1C3981B1" w14:textId="7E5B6B18" w:rsidTr="00032A37">
        <w:trPr>
          <w:trHeight w:val="302"/>
        </w:trPr>
        <w:tc>
          <w:tcPr>
            <w:tcW w:w="2340" w:type="dxa"/>
            <w:tcBorders>
              <w:top w:val="nil"/>
              <w:left w:val="nil"/>
              <w:bottom w:val="nil"/>
              <w:right w:val="nil"/>
            </w:tcBorders>
            <w:shd w:val="clear" w:color="auto" w:fill="auto"/>
            <w:noWrap/>
            <w:vAlign w:val="center"/>
            <w:hideMark/>
          </w:tcPr>
          <w:p w14:paraId="2E5C897F" w14:textId="4A194300" w:rsidR="0049495F" w:rsidRPr="007A310F" w:rsidRDefault="0049495F" w:rsidP="0049495F">
            <w:pPr>
              <w:rPr>
                <w:sz w:val="20"/>
                <w:szCs w:val="20"/>
              </w:rPr>
            </w:pPr>
            <w:r>
              <w:rPr>
                <w:color w:val="000000"/>
              </w:rPr>
              <w:t>ICE</w:t>
            </w:r>
          </w:p>
        </w:tc>
        <w:tc>
          <w:tcPr>
            <w:tcW w:w="4972" w:type="dxa"/>
            <w:tcBorders>
              <w:top w:val="nil"/>
              <w:left w:val="nil"/>
              <w:bottom w:val="nil"/>
              <w:right w:val="nil"/>
            </w:tcBorders>
            <w:shd w:val="clear" w:color="auto" w:fill="auto"/>
            <w:noWrap/>
            <w:vAlign w:val="center"/>
            <w:hideMark/>
          </w:tcPr>
          <w:p w14:paraId="2F138DF3" w14:textId="2AFB1B84" w:rsidR="0049495F" w:rsidRPr="007A310F" w:rsidRDefault="0049495F" w:rsidP="0049495F">
            <w:pPr>
              <w:rPr>
                <w:sz w:val="20"/>
                <w:szCs w:val="20"/>
              </w:rPr>
            </w:pPr>
            <w:r>
              <w:rPr>
                <w:color w:val="000000"/>
              </w:rPr>
              <w:t>Internal Combustion Engine</w:t>
            </w:r>
          </w:p>
        </w:tc>
      </w:tr>
      <w:tr w:rsidR="0049495F" w:rsidRPr="00022BA7" w14:paraId="38DFF542" w14:textId="3C14F832" w:rsidTr="00032A37">
        <w:trPr>
          <w:trHeight w:val="302"/>
        </w:trPr>
        <w:tc>
          <w:tcPr>
            <w:tcW w:w="2340" w:type="dxa"/>
            <w:tcBorders>
              <w:top w:val="nil"/>
              <w:left w:val="nil"/>
              <w:bottom w:val="nil"/>
              <w:right w:val="nil"/>
            </w:tcBorders>
            <w:shd w:val="clear" w:color="auto" w:fill="auto"/>
            <w:noWrap/>
            <w:vAlign w:val="center"/>
          </w:tcPr>
          <w:p w14:paraId="6791FC65" w14:textId="6F738BB8" w:rsidR="0049495F" w:rsidRPr="007A310F" w:rsidRDefault="0049495F" w:rsidP="0049495F">
            <w:pPr>
              <w:rPr>
                <w:sz w:val="20"/>
                <w:szCs w:val="20"/>
              </w:rPr>
            </w:pPr>
            <w:r>
              <w:rPr>
                <w:color w:val="000000"/>
              </w:rPr>
              <w:t>IMO</w:t>
            </w:r>
          </w:p>
        </w:tc>
        <w:tc>
          <w:tcPr>
            <w:tcW w:w="4972" w:type="dxa"/>
            <w:tcBorders>
              <w:top w:val="nil"/>
              <w:left w:val="nil"/>
              <w:bottom w:val="nil"/>
              <w:right w:val="nil"/>
            </w:tcBorders>
            <w:shd w:val="clear" w:color="auto" w:fill="auto"/>
            <w:noWrap/>
            <w:vAlign w:val="center"/>
          </w:tcPr>
          <w:p w14:paraId="668C8BE6" w14:textId="7F09F550" w:rsidR="0049495F" w:rsidRPr="007A310F" w:rsidRDefault="0049495F" w:rsidP="0049495F">
            <w:pPr>
              <w:rPr>
                <w:sz w:val="20"/>
                <w:szCs w:val="20"/>
              </w:rPr>
            </w:pPr>
            <w:r>
              <w:rPr>
                <w:color w:val="000000"/>
              </w:rPr>
              <w:t>International Maritime Organization</w:t>
            </w:r>
          </w:p>
        </w:tc>
      </w:tr>
      <w:tr w:rsidR="0049495F" w:rsidRPr="00022BA7" w14:paraId="1DF5398F" w14:textId="22A3CD47" w:rsidTr="00032A37">
        <w:trPr>
          <w:trHeight w:val="302"/>
        </w:trPr>
        <w:tc>
          <w:tcPr>
            <w:tcW w:w="2340" w:type="dxa"/>
            <w:tcBorders>
              <w:top w:val="nil"/>
              <w:left w:val="nil"/>
              <w:bottom w:val="nil"/>
              <w:right w:val="nil"/>
            </w:tcBorders>
            <w:shd w:val="clear" w:color="auto" w:fill="auto"/>
            <w:noWrap/>
            <w:vAlign w:val="center"/>
            <w:hideMark/>
          </w:tcPr>
          <w:p w14:paraId="653111AE" w14:textId="2682A2DD" w:rsidR="0049495F" w:rsidRPr="007A310F" w:rsidRDefault="0049495F" w:rsidP="0049495F">
            <w:pPr>
              <w:rPr>
                <w:sz w:val="20"/>
                <w:szCs w:val="20"/>
              </w:rPr>
            </w:pPr>
            <w:r>
              <w:rPr>
                <w:color w:val="000000"/>
              </w:rPr>
              <w:t>km</w:t>
            </w:r>
          </w:p>
        </w:tc>
        <w:tc>
          <w:tcPr>
            <w:tcW w:w="4972" w:type="dxa"/>
            <w:tcBorders>
              <w:top w:val="nil"/>
              <w:left w:val="nil"/>
              <w:bottom w:val="nil"/>
              <w:right w:val="nil"/>
            </w:tcBorders>
            <w:shd w:val="clear" w:color="auto" w:fill="auto"/>
            <w:noWrap/>
            <w:vAlign w:val="center"/>
            <w:hideMark/>
          </w:tcPr>
          <w:p w14:paraId="26802AC3" w14:textId="57F9BBBB" w:rsidR="0049495F" w:rsidRPr="007A310F" w:rsidRDefault="0049495F" w:rsidP="0049495F">
            <w:pPr>
              <w:rPr>
                <w:sz w:val="20"/>
                <w:szCs w:val="20"/>
              </w:rPr>
            </w:pPr>
            <w:r>
              <w:rPr>
                <w:color w:val="000000"/>
              </w:rPr>
              <w:t>Kilometer</w:t>
            </w:r>
          </w:p>
        </w:tc>
      </w:tr>
      <w:tr w:rsidR="0049495F" w:rsidRPr="00022BA7" w14:paraId="5FA06998" w14:textId="652D3C56" w:rsidTr="00032A37">
        <w:trPr>
          <w:trHeight w:val="302"/>
        </w:trPr>
        <w:tc>
          <w:tcPr>
            <w:tcW w:w="2340" w:type="dxa"/>
            <w:tcBorders>
              <w:top w:val="nil"/>
              <w:left w:val="nil"/>
              <w:bottom w:val="nil"/>
              <w:right w:val="nil"/>
            </w:tcBorders>
            <w:shd w:val="clear" w:color="auto" w:fill="auto"/>
            <w:noWrap/>
            <w:vAlign w:val="center"/>
            <w:hideMark/>
          </w:tcPr>
          <w:p w14:paraId="63ADD7B2" w14:textId="7E53CE85" w:rsidR="0049495F" w:rsidRPr="007A310F" w:rsidRDefault="0049495F" w:rsidP="0049495F">
            <w:pPr>
              <w:rPr>
                <w:sz w:val="20"/>
                <w:szCs w:val="20"/>
              </w:rPr>
            </w:pPr>
            <w:r>
              <w:rPr>
                <w:color w:val="000000"/>
              </w:rPr>
              <w:t>kW/GW/TW</w:t>
            </w:r>
          </w:p>
        </w:tc>
        <w:tc>
          <w:tcPr>
            <w:tcW w:w="4972" w:type="dxa"/>
            <w:tcBorders>
              <w:top w:val="nil"/>
              <w:left w:val="nil"/>
              <w:bottom w:val="nil"/>
              <w:right w:val="nil"/>
            </w:tcBorders>
            <w:shd w:val="clear" w:color="auto" w:fill="auto"/>
            <w:noWrap/>
            <w:vAlign w:val="center"/>
            <w:hideMark/>
          </w:tcPr>
          <w:p w14:paraId="1F38C313" w14:textId="17710082" w:rsidR="0049495F" w:rsidRPr="007A310F" w:rsidRDefault="0049495F" w:rsidP="0049495F">
            <w:pPr>
              <w:rPr>
                <w:sz w:val="20"/>
                <w:szCs w:val="20"/>
              </w:rPr>
            </w:pPr>
            <w:r>
              <w:rPr>
                <w:color w:val="000000"/>
              </w:rPr>
              <w:t>kilowatt/Gigawatt/Terawatt(s)</w:t>
            </w:r>
          </w:p>
        </w:tc>
      </w:tr>
      <w:tr w:rsidR="0049495F" w:rsidRPr="00022BA7" w14:paraId="08A3F554" w14:textId="2187F29F" w:rsidTr="00032A37">
        <w:trPr>
          <w:trHeight w:val="302"/>
        </w:trPr>
        <w:tc>
          <w:tcPr>
            <w:tcW w:w="2340" w:type="dxa"/>
            <w:tcBorders>
              <w:top w:val="nil"/>
              <w:left w:val="nil"/>
              <w:bottom w:val="nil"/>
              <w:right w:val="nil"/>
            </w:tcBorders>
            <w:shd w:val="clear" w:color="auto" w:fill="auto"/>
            <w:noWrap/>
            <w:vAlign w:val="center"/>
            <w:hideMark/>
          </w:tcPr>
          <w:p w14:paraId="27FFE72E" w14:textId="6424644D" w:rsidR="0049495F" w:rsidRPr="007A310F" w:rsidRDefault="0049495F" w:rsidP="0049495F">
            <w:pPr>
              <w:rPr>
                <w:sz w:val="20"/>
                <w:szCs w:val="20"/>
              </w:rPr>
            </w:pPr>
            <w:r>
              <w:rPr>
                <w:color w:val="000000"/>
              </w:rPr>
              <w:t>kWh/GWh/</w:t>
            </w:r>
            <w:proofErr w:type="spellStart"/>
            <w:r>
              <w:rPr>
                <w:color w:val="000000"/>
              </w:rPr>
              <w:t>TWh</w:t>
            </w:r>
            <w:proofErr w:type="spellEnd"/>
          </w:p>
        </w:tc>
        <w:tc>
          <w:tcPr>
            <w:tcW w:w="4972" w:type="dxa"/>
            <w:tcBorders>
              <w:top w:val="nil"/>
              <w:left w:val="nil"/>
              <w:bottom w:val="nil"/>
              <w:right w:val="nil"/>
            </w:tcBorders>
            <w:shd w:val="clear" w:color="auto" w:fill="auto"/>
            <w:noWrap/>
            <w:vAlign w:val="center"/>
            <w:hideMark/>
          </w:tcPr>
          <w:p w14:paraId="1F5485F6" w14:textId="2EDAF8CF" w:rsidR="0049495F" w:rsidRPr="007A310F" w:rsidRDefault="0049495F" w:rsidP="0049495F">
            <w:pPr>
              <w:rPr>
                <w:sz w:val="20"/>
                <w:szCs w:val="20"/>
              </w:rPr>
            </w:pPr>
            <w:r>
              <w:rPr>
                <w:color w:val="000000"/>
              </w:rPr>
              <w:t>kilowatt/Gigawatt/Terawatt-hour(s)</w:t>
            </w:r>
          </w:p>
        </w:tc>
      </w:tr>
      <w:tr w:rsidR="0049495F" w:rsidRPr="00022BA7" w14:paraId="3C9832F5" w14:textId="616E6990" w:rsidTr="00032A37">
        <w:trPr>
          <w:trHeight w:val="302"/>
        </w:trPr>
        <w:tc>
          <w:tcPr>
            <w:tcW w:w="2340" w:type="dxa"/>
            <w:tcBorders>
              <w:top w:val="nil"/>
              <w:left w:val="nil"/>
              <w:bottom w:val="nil"/>
              <w:right w:val="nil"/>
            </w:tcBorders>
            <w:shd w:val="clear" w:color="auto" w:fill="auto"/>
            <w:noWrap/>
            <w:vAlign w:val="center"/>
          </w:tcPr>
          <w:p w14:paraId="5A35DEB9" w14:textId="23337E2E" w:rsidR="0049495F" w:rsidRPr="007A310F" w:rsidRDefault="0049495F" w:rsidP="0049495F">
            <w:pPr>
              <w:rPr>
                <w:sz w:val="20"/>
                <w:szCs w:val="20"/>
              </w:rPr>
            </w:pPr>
            <w:r>
              <w:rPr>
                <w:color w:val="000000"/>
              </w:rPr>
              <w:t>LCOT</w:t>
            </w:r>
          </w:p>
        </w:tc>
        <w:tc>
          <w:tcPr>
            <w:tcW w:w="4972" w:type="dxa"/>
            <w:tcBorders>
              <w:top w:val="nil"/>
              <w:left w:val="nil"/>
              <w:bottom w:val="nil"/>
              <w:right w:val="nil"/>
            </w:tcBorders>
            <w:shd w:val="clear" w:color="auto" w:fill="auto"/>
            <w:noWrap/>
            <w:vAlign w:val="center"/>
          </w:tcPr>
          <w:p w14:paraId="5FAE4BA0" w14:textId="03EE20D6" w:rsidR="0049495F" w:rsidRPr="007A310F" w:rsidRDefault="0049495F" w:rsidP="0049495F">
            <w:pPr>
              <w:rPr>
                <w:sz w:val="20"/>
                <w:szCs w:val="20"/>
              </w:rPr>
            </w:pPr>
            <w:r>
              <w:rPr>
                <w:color w:val="000000"/>
              </w:rPr>
              <w:t>Levelized Cost of Transportation</w:t>
            </w:r>
          </w:p>
        </w:tc>
      </w:tr>
      <w:tr w:rsidR="0049495F" w:rsidRPr="00022BA7" w14:paraId="58D34405" w14:textId="0E25B22B" w:rsidTr="00032A37">
        <w:trPr>
          <w:trHeight w:val="302"/>
        </w:trPr>
        <w:tc>
          <w:tcPr>
            <w:tcW w:w="2340" w:type="dxa"/>
            <w:tcBorders>
              <w:top w:val="nil"/>
              <w:left w:val="nil"/>
              <w:bottom w:val="nil"/>
              <w:right w:val="nil"/>
            </w:tcBorders>
            <w:shd w:val="clear" w:color="auto" w:fill="auto"/>
            <w:noWrap/>
            <w:vAlign w:val="center"/>
          </w:tcPr>
          <w:p w14:paraId="391821D3" w14:textId="6EF85B80" w:rsidR="0049495F" w:rsidRPr="007A310F" w:rsidRDefault="0049495F" w:rsidP="0049495F">
            <w:pPr>
              <w:rPr>
                <w:sz w:val="20"/>
                <w:szCs w:val="20"/>
              </w:rPr>
            </w:pPr>
            <w:r>
              <w:rPr>
                <w:color w:val="000000"/>
              </w:rPr>
              <w:t>LCA</w:t>
            </w:r>
          </w:p>
        </w:tc>
        <w:tc>
          <w:tcPr>
            <w:tcW w:w="4972" w:type="dxa"/>
            <w:tcBorders>
              <w:top w:val="nil"/>
              <w:left w:val="nil"/>
              <w:bottom w:val="nil"/>
              <w:right w:val="nil"/>
            </w:tcBorders>
            <w:shd w:val="clear" w:color="auto" w:fill="auto"/>
            <w:noWrap/>
            <w:vAlign w:val="center"/>
          </w:tcPr>
          <w:p w14:paraId="6DD67F01" w14:textId="199F44F9" w:rsidR="0049495F" w:rsidRPr="007A310F" w:rsidRDefault="0049495F" w:rsidP="0049495F">
            <w:pPr>
              <w:rPr>
                <w:sz w:val="20"/>
                <w:szCs w:val="20"/>
              </w:rPr>
            </w:pPr>
            <w:r>
              <w:rPr>
                <w:color w:val="000000"/>
              </w:rPr>
              <w:t>Life Cycle Analysis</w:t>
            </w:r>
          </w:p>
        </w:tc>
      </w:tr>
      <w:tr w:rsidR="0049495F" w:rsidRPr="00022BA7" w14:paraId="285AD98A" w14:textId="160AA179" w:rsidTr="00032A37">
        <w:trPr>
          <w:trHeight w:val="302"/>
        </w:trPr>
        <w:tc>
          <w:tcPr>
            <w:tcW w:w="2340" w:type="dxa"/>
            <w:tcBorders>
              <w:top w:val="nil"/>
              <w:left w:val="nil"/>
              <w:bottom w:val="nil"/>
              <w:right w:val="nil"/>
            </w:tcBorders>
            <w:shd w:val="clear" w:color="auto" w:fill="auto"/>
            <w:noWrap/>
            <w:vAlign w:val="center"/>
            <w:hideMark/>
          </w:tcPr>
          <w:p w14:paraId="15074B85" w14:textId="056090F3" w:rsidR="0049495F" w:rsidRPr="007A310F" w:rsidRDefault="0049495F" w:rsidP="0049495F">
            <w:pPr>
              <w:rPr>
                <w:sz w:val="20"/>
                <w:szCs w:val="20"/>
              </w:rPr>
            </w:pPr>
            <w:r>
              <w:rPr>
                <w:color w:val="000000"/>
              </w:rPr>
              <w:t>MDO</w:t>
            </w:r>
          </w:p>
        </w:tc>
        <w:tc>
          <w:tcPr>
            <w:tcW w:w="4972" w:type="dxa"/>
            <w:tcBorders>
              <w:top w:val="nil"/>
              <w:left w:val="nil"/>
              <w:bottom w:val="nil"/>
              <w:right w:val="nil"/>
            </w:tcBorders>
            <w:shd w:val="clear" w:color="auto" w:fill="auto"/>
            <w:noWrap/>
            <w:vAlign w:val="center"/>
            <w:hideMark/>
          </w:tcPr>
          <w:p w14:paraId="53E8E30A" w14:textId="391FDA68" w:rsidR="0049495F" w:rsidRPr="007A310F" w:rsidRDefault="0049495F" w:rsidP="0049495F">
            <w:pPr>
              <w:rPr>
                <w:sz w:val="20"/>
                <w:szCs w:val="20"/>
              </w:rPr>
            </w:pPr>
            <w:r>
              <w:rPr>
                <w:color w:val="000000"/>
              </w:rPr>
              <w:t>Marine Diesel Oil</w:t>
            </w:r>
          </w:p>
        </w:tc>
      </w:tr>
      <w:tr w:rsidR="0049495F" w:rsidRPr="00022BA7" w14:paraId="219EBE80" w14:textId="3C29D364" w:rsidTr="00032A37">
        <w:trPr>
          <w:trHeight w:val="302"/>
        </w:trPr>
        <w:tc>
          <w:tcPr>
            <w:tcW w:w="2340" w:type="dxa"/>
            <w:tcBorders>
              <w:top w:val="nil"/>
              <w:left w:val="nil"/>
              <w:bottom w:val="nil"/>
              <w:right w:val="nil"/>
            </w:tcBorders>
            <w:shd w:val="clear" w:color="auto" w:fill="auto"/>
            <w:noWrap/>
            <w:vAlign w:val="center"/>
            <w:hideMark/>
          </w:tcPr>
          <w:p w14:paraId="405853FB" w14:textId="519401EE" w:rsidR="0049495F" w:rsidRPr="007A310F" w:rsidRDefault="0049495F" w:rsidP="0049495F">
            <w:pPr>
              <w:rPr>
                <w:sz w:val="20"/>
                <w:szCs w:val="20"/>
              </w:rPr>
            </w:pPr>
            <w:r>
              <w:rPr>
                <w:color w:val="000000"/>
              </w:rPr>
              <w:t>MMSI</w:t>
            </w:r>
          </w:p>
        </w:tc>
        <w:tc>
          <w:tcPr>
            <w:tcW w:w="4972" w:type="dxa"/>
            <w:tcBorders>
              <w:top w:val="nil"/>
              <w:left w:val="nil"/>
              <w:bottom w:val="nil"/>
              <w:right w:val="nil"/>
            </w:tcBorders>
            <w:shd w:val="clear" w:color="auto" w:fill="auto"/>
            <w:noWrap/>
            <w:vAlign w:val="center"/>
            <w:hideMark/>
          </w:tcPr>
          <w:p w14:paraId="179A9DA7" w14:textId="44278BC5" w:rsidR="0049495F" w:rsidRPr="007A310F" w:rsidRDefault="0049495F" w:rsidP="0049495F">
            <w:pPr>
              <w:rPr>
                <w:sz w:val="20"/>
                <w:szCs w:val="20"/>
              </w:rPr>
            </w:pPr>
            <w:r>
              <w:rPr>
                <w:color w:val="000000"/>
              </w:rPr>
              <w:t>Maritime Mobile Service Identity</w:t>
            </w:r>
          </w:p>
        </w:tc>
      </w:tr>
      <w:tr w:rsidR="0049495F" w:rsidRPr="00022BA7" w14:paraId="4DBF86C0" w14:textId="4F6AD00A" w:rsidTr="00032A37">
        <w:trPr>
          <w:trHeight w:val="302"/>
        </w:trPr>
        <w:tc>
          <w:tcPr>
            <w:tcW w:w="2340" w:type="dxa"/>
            <w:tcBorders>
              <w:top w:val="nil"/>
              <w:left w:val="nil"/>
              <w:bottom w:val="nil"/>
              <w:right w:val="nil"/>
            </w:tcBorders>
            <w:shd w:val="clear" w:color="auto" w:fill="auto"/>
            <w:noWrap/>
            <w:vAlign w:val="center"/>
            <w:hideMark/>
          </w:tcPr>
          <w:p w14:paraId="61FEFC21" w14:textId="2110269B" w:rsidR="0049495F" w:rsidRPr="007A310F" w:rsidRDefault="0049495F" w:rsidP="0049495F">
            <w:pPr>
              <w:rPr>
                <w:sz w:val="20"/>
                <w:szCs w:val="20"/>
              </w:rPr>
            </w:pPr>
            <w:r>
              <w:rPr>
                <w:color w:val="000000"/>
              </w:rPr>
              <w:t>NOAA</w:t>
            </w:r>
          </w:p>
        </w:tc>
        <w:tc>
          <w:tcPr>
            <w:tcW w:w="4972" w:type="dxa"/>
            <w:tcBorders>
              <w:top w:val="nil"/>
              <w:left w:val="nil"/>
              <w:bottom w:val="nil"/>
              <w:right w:val="nil"/>
            </w:tcBorders>
            <w:shd w:val="clear" w:color="auto" w:fill="auto"/>
            <w:noWrap/>
            <w:vAlign w:val="center"/>
            <w:hideMark/>
          </w:tcPr>
          <w:p w14:paraId="0E1B70B5" w14:textId="09A30E5E" w:rsidR="0049495F" w:rsidRPr="007A310F" w:rsidRDefault="0049495F" w:rsidP="0049495F">
            <w:pPr>
              <w:rPr>
                <w:sz w:val="20"/>
                <w:szCs w:val="20"/>
              </w:rPr>
            </w:pPr>
            <w:r>
              <w:rPr>
                <w:color w:val="000000"/>
              </w:rPr>
              <w:t>National Oceanic and Atmospheric Administration</w:t>
            </w:r>
          </w:p>
        </w:tc>
      </w:tr>
      <w:tr w:rsidR="0049495F" w:rsidRPr="00022BA7" w14:paraId="7760D7C6" w14:textId="7038BEBE" w:rsidTr="00D72E83">
        <w:trPr>
          <w:trHeight w:val="302"/>
        </w:trPr>
        <w:tc>
          <w:tcPr>
            <w:tcW w:w="2340" w:type="dxa"/>
            <w:tcBorders>
              <w:top w:val="nil"/>
              <w:left w:val="nil"/>
              <w:bottom w:val="nil"/>
              <w:right w:val="nil"/>
            </w:tcBorders>
            <w:shd w:val="clear" w:color="auto" w:fill="auto"/>
            <w:noWrap/>
            <w:vAlign w:val="center"/>
          </w:tcPr>
          <w:p w14:paraId="7B1ACAF3" w14:textId="7701383D" w:rsidR="0049495F" w:rsidRPr="007A310F" w:rsidRDefault="0049495F" w:rsidP="0049495F">
            <w:pPr>
              <w:rPr>
                <w:color w:val="000000"/>
                <w:sz w:val="20"/>
                <w:szCs w:val="20"/>
              </w:rPr>
            </w:pPr>
            <w:r>
              <w:rPr>
                <w:color w:val="000000"/>
              </w:rPr>
              <w:t>NREL</w:t>
            </w:r>
          </w:p>
        </w:tc>
        <w:tc>
          <w:tcPr>
            <w:tcW w:w="4972" w:type="dxa"/>
            <w:tcBorders>
              <w:top w:val="nil"/>
              <w:left w:val="nil"/>
              <w:bottom w:val="nil"/>
              <w:right w:val="nil"/>
            </w:tcBorders>
            <w:shd w:val="clear" w:color="auto" w:fill="auto"/>
            <w:noWrap/>
            <w:vAlign w:val="center"/>
          </w:tcPr>
          <w:p w14:paraId="4DE8CF2D" w14:textId="2B301F97" w:rsidR="0049495F" w:rsidRPr="007A310F" w:rsidRDefault="0049495F" w:rsidP="0049495F">
            <w:pPr>
              <w:rPr>
                <w:color w:val="000000"/>
                <w:sz w:val="20"/>
                <w:szCs w:val="20"/>
              </w:rPr>
            </w:pPr>
            <w:r>
              <w:rPr>
                <w:color w:val="000000"/>
              </w:rPr>
              <w:t>National Renewable Energy Laboratory</w:t>
            </w:r>
          </w:p>
        </w:tc>
      </w:tr>
      <w:tr w:rsidR="0049495F" w:rsidRPr="00022BA7" w14:paraId="4B8998DF" w14:textId="03C5F37D" w:rsidTr="00D72E83">
        <w:trPr>
          <w:trHeight w:val="302"/>
        </w:trPr>
        <w:tc>
          <w:tcPr>
            <w:tcW w:w="2340" w:type="dxa"/>
            <w:tcBorders>
              <w:top w:val="nil"/>
              <w:left w:val="nil"/>
              <w:bottom w:val="nil"/>
              <w:right w:val="nil"/>
            </w:tcBorders>
            <w:shd w:val="clear" w:color="auto" w:fill="auto"/>
            <w:noWrap/>
            <w:vAlign w:val="center"/>
          </w:tcPr>
          <w:p w14:paraId="2C791558" w14:textId="6015B219" w:rsidR="0049495F" w:rsidRPr="007A310F" w:rsidRDefault="0049495F" w:rsidP="0049495F">
            <w:pPr>
              <w:rPr>
                <w:color w:val="000000"/>
                <w:sz w:val="20"/>
                <w:szCs w:val="20"/>
              </w:rPr>
            </w:pPr>
            <w:r>
              <w:rPr>
                <w:color w:val="000000"/>
              </w:rPr>
              <w:t>NTS</w:t>
            </w:r>
          </w:p>
        </w:tc>
        <w:tc>
          <w:tcPr>
            <w:tcW w:w="4972" w:type="dxa"/>
            <w:tcBorders>
              <w:top w:val="nil"/>
              <w:left w:val="nil"/>
              <w:bottom w:val="nil"/>
              <w:right w:val="nil"/>
            </w:tcBorders>
            <w:shd w:val="clear" w:color="auto" w:fill="auto"/>
            <w:noWrap/>
            <w:vAlign w:val="center"/>
          </w:tcPr>
          <w:p w14:paraId="3C34AACF" w14:textId="2F05922F" w:rsidR="0049495F" w:rsidRPr="007A310F" w:rsidRDefault="0049495F" w:rsidP="0049495F">
            <w:pPr>
              <w:rPr>
                <w:color w:val="000000"/>
                <w:sz w:val="20"/>
                <w:szCs w:val="20"/>
              </w:rPr>
            </w:pPr>
            <w:r>
              <w:rPr>
                <w:color w:val="000000"/>
              </w:rPr>
              <w:t>National Transportation Statistics</w:t>
            </w:r>
          </w:p>
        </w:tc>
      </w:tr>
      <w:tr w:rsidR="0049495F" w:rsidRPr="00022BA7" w14:paraId="094AE677" w14:textId="4477ECEE" w:rsidTr="00D72E83">
        <w:trPr>
          <w:trHeight w:val="302"/>
        </w:trPr>
        <w:tc>
          <w:tcPr>
            <w:tcW w:w="2340" w:type="dxa"/>
            <w:tcBorders>
              <w:top w:val="nil"/>
              <w:left w:val="nil"/>
              <w:bottom w:val="nil"/>
              <w:right w:val="nil"/>
            </w:tcBorders>
            <w:shd w:val="clear" w:color="auto" w:fill="auto"/>
            <w:noWrap/>
            <w:vAlign w:val="center"/>
          </w:tcPr>
          <w:p w14:paraId="216D0AB2" w14:textId="06FD1FEF" w:rsidR="0049495F" w:rsidRPr="007A310F" w:rsidRDefault="0049495F" w:rsidP="0049495F">
            <w:pPr>
              <w:rPr>
                <w:color w:val="000000"/>
                <w:sz w:val="20"/>
                <w:szCs w:val="20"/>
              </w:rPr>
            </w:pPr>
            <w:r>
              <w:rPr>
                <w:color w:val="000000"/>
              </w:rPr>
              <w:t>NMC</w:t>
            </w:r>
          </w:p>
        </w:tc>
        <w:tc>
          <w:tcPr>
            <w:tcW w:w="4972" w:type="dxa"/>
            <w:tcBorders>
              <w:top w:val="nil"/>
              <w:left w:val="nil"/>
              <w:bottom w:val="nil"/>
              <w:right w:val="nil"/>
            </w:tcBorders>
            <w:shd w:val="clear" w:color="auto" w:fill="auto"/>
            <w:noWrap/>
            <w:vAlign w:val="center"/>
          </w:tcPr>
          <w:p w14:paraId="6F401AA4" w14:textId="2E9FD33F" w:rsidR="0049495F" w:rsidRPr="007A310F" w:rsidRDefault="0049495F" w:rsidP="0049495F">
            <w:pPr>
              <w:rPr>
                <w:color w:val="000000"/>
                <w:sz w:val="20"/>
                <w:szCs w:val="20"/>
              </w:rPr>
            </w:pPr>
            <w:r>
              <w:rPr>
                <w:color w:val="000000"/>
              </w:rPr>
              <w:t xml:space="preserve">nickel manganese cobalt oxide </w:t>
            </w:r>
          </w:p>
        </w:tc>
      </w:tr>
      <w:tr w:rsidR="0049495F" w:rsidRPr="00022BA7" w14:paraId="15A6C7A4" w14:textId="5862D087" w:rsidTr="00D72E83">
        <w:trPr>
          <w:trHeight w:val="302"/>
        </w:trPr>
        <w:tc>
          <w:tcPr>
            <w:tcW w:w="2340" w:type="dxa"/>
            <w:tcBorders>
              <w:top w:val="nil"/>
              <w:left w:val="nil"/>
              <w:bottom w:val="nil"/>
              <w:right w:val="nil"/>
            </w:tcBorders>
            <w:shd w:val="clear" w:color="auto" w:fill="auto"/>
            <w:noWrap/>
            <w:vAlign w:val="center"/>
          </w:tcPr>
          <w:p w14:paraId="50AC0DA4" w14:textId="02983743" w:rsidR="0049495F" w:rsidRPr="007A310F" w:rsidRDefault="0049495F" w:rsidP="0049495F">
            <w:pPr>
              <w:rPr>
                <w:color w:val="000000"/>
                <w:sz w:val="20"/>
                <w:szCs w:val="20"/>
              </w:rPr>
            </w:pPr>
            <w:r>
              <w:rPr>
                <w:color w:val="000000"/>
              </w:rPr>
              <w:t>NO</w:t>
            </w:r>
            <w:r>
              <w:rPr>
                <w:color w:val="000000"/>
                <w:vertAlign w:val="subscript"/>
              </w:rPr>
              <w:t>x</w:t>
            </w:r>
          </w:p>
        </w:tc>
        <w:tc>
          <w:tcPr>
            <w:tcW w:w="4972" w:type="dxa"/>
            <w:tcBorders>
              <w:top w:val="nil"/>
              <w:left w:val="nil"/>
              <w:bottom w:val="nil"/>
              <w:right w:val="nil"/>
            </w:tcBorders>
            <w:shd w:val="clear" w:color="auto" w:fill="auto"/>
            <w:noWrap/>
            <w:vAlign w:val="center"/>
          </w:tcPr>
          <w:p w14:paraId="739426F0" w14:textId="42C69C31" w:rsidR="0049495F" w:rsidRPr="007A310F" w:rsidRDefault="0049495F" w:rsidP="0049495F">
            <w:pPr>
              <w:rPr>
                <w:color w:val="000000"/>
                <w:sz w:val="20"/>
                <w:szCs w:val="20"/>
              </w:rPr>
            </w:pPr>
            <w:r>
              <w:rPr>
                <w:color w:val="000000"/>
              </w:rPr>
              <w:t>Nitrogen Oxides</w:t>
            </w:r>
          </w:p>
        </w:tc>
      </w:tr>
      <w:tr w:rsidR="0049495F" w:rsidRPr="00022BA7" w14:paraId="724AD124" w14:textId="1737D935" w:rsidTr="00D72E83">
        <w:trPr>
          <w:trHeight w:val="302"/>
        </w:trPr>
        <w:tc>
          <w:tcPr>
            <w:tcW w:w="2340" w:type="dxa"/>
            <w:tcBorders>
              <w:top w:val="nil"/>
              <w:left w:val="nil"/>
              <w:bottom w:val="nil"/>
              <w:right w:val="nil"/>
            </w:tcBorders>
            <w:shd w:val="clear" w:color="auto" w:fill="auto"/>
            <w:noWrap/>
            <w:vAlign w:val="center"/>
          </w:tcPr>
          <w:p w14:paraId="3F490687" w14:textId="685043C5" w:rsidR="0049495F" w:rsidRPr="007A310F" w:rsidRDefault="0049495F" w:rsidP="0049495F">
            <w:pPr>
              <w:rPr>
                <w:color w:val="000000"/>
                <w:sz w:val="20"/>
                <w:szCs w:val="20"/>
              </w:rPr>
            </w:pPr>
            <w:r>
              <w:rPr>
                <w:color w:val="000000"/>
              </w:rPr>
              <w:t>SLB</w:t>
            </w:r>
          </w:p>
        </w:tc>
        <w:tc>
          <w:tcPr>
            <w:tcW w:w="4972" w:type="dxa"/>
            <w:tcBorders>
              <w:top w:val="nil"/>
              <w:left w:val="nil"/>
              <w:bottom w:val="nil"/>
              <w:right w:val="nil"/>
            </w:tcBorders>
            <w:shd w:val="clear" w:color="auto" w:fill="auto"/>
            <w:noWrap/>
            <w:vAlign w:val="center"/>
          </w:tcPr>
          <w:p w14:paraId="6F8C3E9C" w14:textId="6EC50403" w:rsidR="0049495F" w:rsidRPr="007A310F" w:rsidRDefault="0049495F" w:rsidP="0049495F">
            <w:pPr>
              <w:rPr>
                <w:color w:val="000000"/>
                <w:sz w:val="20"/>
                <w:szCs w:val="20"/>
              </w:rPr>
            </w:pPr>
            <w:r>
              <w:rPr>
                <w:color w:val="000000"/>
              </w:rPr>
              <w:t>Second-Life Battery</w:t>
            </w:r>
          </w:p>
        </w:tc>
      </w:tr>
      <w:tr w:rsidR="0049495F" w:rsidRPr="00022BA7" w14:paraId="00958F16" w14:textId="0579DE66" w:rsidTr="00D72E83">
        <w:trPr>
          <w:trHeight w:val="302"/>
        </w:trPr>
        <w:tc>
          <w:tcPr>
            <w:tcW w:w="2340" w:type="dxa"/>
            <w:tcBorders>
              <w:top w:val="nil"/>
              <w:left w:val="nil"/>
              <w:bottom w:val="nil"/>
              <w:right w:val="nil"/>
            </w:tcBorders>
            <w:shd w:val="clear" w:color="auto" w:fill="auto"/>
            <w:noWrap/>
            <w:vAlign w:val="center"/>
          </w:tcPr>
          <w:p w14:paraId="12792CF0" w14:textId="62BDA22F" w:rsidR="0049495F" w:rsidRPr="007A310F" w:rsidRDefault="0049495F" w:rsidP="0049495F">
            <w:pPr>
              <w:rPr>
                <w:color w:val="000000"/>
                <w:sz w:val="20"/>
                <w:szCs w:val="20"/>
              </w:rPr>
            </w:pPr>
            <w:r>
              <w:rPr>
                <w:color w:val="000000"/>
              </w:rPr>
              <w:t>SPC</w:t>
            </w:r>
          </w:p>
        </w:tc>
        <w:tc>
          <w:tcPr>
            <w:tcW w:w="4972" w:type="dxa"/>
            <w:tcBorders>
              <w:top w:val="nil"/>
              <w:left w:val="nil"/>
              <w:bottom w:val="nil"/>
              <w:right w:val="nil"/>
            </w:tcBorders>
            <w:shd w:val="clear" w:color="auto" w:fill="auto"/>
            <w:noWrap/>
            <w:vAlign w:val="center"/>
          </w:tcPr>
          <w:p w14:paraId="4DBDACA8" w14:textId="4F1576C2" w:rsidR="0049495F" w:rsidRPr="007A310F" w:rsidRDefault="0049495F" w:rsidP="0049495F">
            <w:pPr>
              <w:rPr>
                <w:color w:val="000000"/>
                <w:sz w:val="20"/>
                <w:szCs w:val="20"/>
              </w:rPr>
            </w:pPr>
            <w:r>
              <w:rPr>
                <w:color w:val="000000"/>
              </w:rPr>
              <w:t>Shore Power Connection</w:t>
            </w:r>
          </w:p>
        </w:tc>
      </w:tr>
      <w:tr w:rsidR="0049495F" w:rsidRPr="00022BA7" w14:paraId="02149D49" w14:textId="3ECBC8EB" w:rsidTr="00032A37">
        <w:trPr>
          <w:trHeight w:val="302"/>
        </w:trPr>
        <w:tc>
          <w:tcPr>
            <w:tcW w:w="2340" w:type="dxa"/>
            <w:tcBorders>
              <w:top w:val="nil"/>
              <w:left w:val="nil"/>
              <w:bottom w:val="nil"/>
              <w:right w:val="nil"/>
            </w:tcBorders>
            <w:shd w:val="clear" w:color="auto" w:fill="auto"/>
            <w:noWrap/>
            <w:vAlign w:val="center"/>
            <w:hideMark/>
          </w:tcPr>
          <w:p w14:paraId="47A15A07" w14:textId="05F80E2C" w:rsidR="0049495F" w:rsidRPr="007A310F" w:rsidRDefault="0049495F" w:rsidP="0049495F">
            <w:pPr>
              <w:rPr>
                <w:sz w:val="20"/>
                <w:szCs w:val="20"/>
              </w:rPr>
            </w:pPr>
            <w:r>
              <w:rPr>
                <w:color w:val="000000"/>
              </w:rPr>
              <w:t>SOG</w:t>
            </w:r>
          </w:p>
        </w:tc>
        <w:tc>
          <w:tcPr>
            <w:tcW w:w="4972" w:type="dxa"/>
            <w:tcBorders>
              <w:top w:val="nil"/>
              <w:left w:val="nil"/>
              <w:bottom w:val="nil"/>
              <w:right w:val="nil"/>
            </w:tcBorders>
            <w:shd w:val="clear" w:color="auto" w:fill="auto"/>
            <w:noWrap/>
            <w:vAlign w:val="center"/>
            <w:hideMark/>
          </w:tcPr>
          <w:p w14:paraId="14079610" w14:textId="142A88B8" w:rsidR="0049495F" w:rsidRPr="007A310F" w:rsidRDefault="0049495F" w:rsidP="0049495F">
            <w:pPr>
              <w:rPr>
                <w:sz w:val="20"/>
                <w:szCs w:val="20"/>
              </w:rPr>
            </w:pPr>
            <w:r>
              <w:rPr>
                <w:color w:val="000000"/>
              </w:rPr>
              <w:t>Speed Over Ground</w:t>
            </w:r>
          </w:p>
        </w:tc>
      </w:tr>
      <w:tr w:rsidR="0049495F" w:rsidRPr="00022BA7" w14:paraId="3BFB482F" w14:textId="61BA2515" w:rsidTr="00032A37">
        <w:trPr>
          <w:trHeight w:val="302"/>
        </w:trPr>
        <w:tc>
          <w:tcPr>
            <w:tcW w:w="2340" w:type="dxa"/>
            <w:tcBorders>
              <w:top w:val="nil"/>
              <w:left w:val="nil"/>
              <w:bottom w:val="nil"/>
              <w:right w:val="nil"/>
            </w:tcBorders>
            <w:shd w:val="clear" w:color="auto" w:fill="auto"/>
            <w:noWrap/>
            <w:vAlign w:val="center"/>
            <w:hideMark/>
          </w:tcPr>
          <w:p w14:paraId="61B988A5" w14:textId="48C0EB2F" w:rsidR="0049495F" w:rsidRPr="007A310F" w:rsidRDefault="0049495F" w:rsidP="0049495F">
            <w:pPr>
              <w:rPr>
                <w:sz w:val="20"/>
                <w:szCs w:val="20"/>
              </w:rPr>
            </w:pPr>
            <w:proofErr w:type="spellStart"/>
            <w:r>
              <w:rPr>
                <w:color w:val="000000"/>
              </w:rPr>
              <w:t>SO</w:t>
            </w:r>
            <w:r>
              <w:rPr>
                <w:color w:val="000000"/>
                <w:vertAlign w:val="subscript"/>
              </w:rPr>
              <w:t>x</w:t>
            </w:r>
            <w:proofErr w:type="spellEnd"/>
          </w:p>
        </w:tc>
        <w:tc>
          <w:tcPr>
            <w:tcW w:w="4972" w:type="dxa"/>
            <w:tcBorders>
              <w:top w:val="nil"/>
              <w:left w:val="nil"/>
              <w:bottom w:val="nil"/>
              <w:right w:val="nil"/>
            </w:tcBorders>
            <w:shd w:val="clear" w:color="auto" w:fill="auto"/>
            <w:noWrap/>
            <w:vAlign w:val="center"/>
            <w:hideMark/>
          </w:tcPr>
          <w:p w14:paraId="25BC1841" w14:textId="477B56B4" w:rsidR="0049495F" w:rsidRPr="007A310F" w:rsidRDefault="0049495F" w:rsidP="0049495F">
            <w:pPr>
              <w:rPr>
                <w:sz w:val="20"/>
                <w:szCs w:val="20"/>
              </w:rPr>
            </w:pPr>
            <w:r>
              <w:rPr>
                <w:color w:val="000000"/>
              </w:rPr>
              <w:t xml:space="preserve">Sulfur Oxides </w:t>
            </w:r>
          </w:p>
        </w:tc>
      </w:tr>
      <w:tr w:rsidR="0049495F" w:rsidRPr="00022BA7" w14:paraId="04DA0534" w14:textId="1E3A7ED6" w:rsidTr="00032A37">
        <w:trPr>
          <w:trHeight w:val="302"/>
        </w:trPr>
        <w:tc>
          <w:tcPr>
            <w:tcW w:w="2340" w:type="dxa"/>
            <w:tcBorders>
              <w:top w:val="nil"/>
              <w:left w:val="nil"/>
              <w:bottom w:val="nil"/>
              <w:right w:val="nil"/>
            </w:tcBorders>
            <w:shd w:val="clear" w:color="auto" w:fill="auto"/>
            <w:noWrap/>
            <w:vAlign w:val="center"/>
            <w:hideMark/>
          </w:tcPr>
          <w:p w14:paraId="320D135C" w14:textId="188D403A" w:rsidR="0049495F" w:rsidRPr="007A310F" w:rsidRDefault="0049495F" w:rsidP="0049495F">
            <w:pPr>
              <w:rPr>
                <w:sz w:val="20"/>
                <w:szCs w:val="20"/>
              </w:rPr>
            </w:pPr>
            <w:r>
              <w:rPr>
                <w:color w:val="000000"/>
              </w:rPr>
              <w:t>USACE</w:t>
            </w:r>
          </w:p>
        </w:tc>
        <w:tc>
          <w:tcPr>
            <w:tcW w:w="4972" w:type="dxa"/>
            <w:tcBorders>
              <w:top w:val="nil"/>
              <w:left w:val="nil"/>
              <w:bottom w:val="nil"/>
              <w:right w:val="nil"/>
            </w:tcBorders>
            <w:shd w:val="clear" w:color="auto" w:fill="auto"/>
            <w:noWrap/>
            <w:vAlign w:val="center"/>
            <w:hideMark/>
          </w:tcPr>
          <w:p w14:paraId="3AAC738F" w14:textId="6F8A0DA6" w:rsidR="0049495F" w:rsidRPr="007A310F" w:rsidRDefault="0049495F" w:rsidP="0049495F">
            <w:pPr>
              <w:rPr>
                <w:sz w:val="20"/>
                <w:szCs w:val="20"/>
              </w:rPr>
            </w:pPr>
            <w:r>
              <w:rPr>
                <w:color w:val="000000"/>
              </w:rPr>
              <w:t>U.S. Army Corps of Engineers</w:t>
            </w:r>
          </w:p>
        </w:tc>
      </w:tr>
      <w:tr w:rsidR="0049495F" w:rsidRPr="00022BA7" w14:paraId="4C533B97" w14:textId="345AB1DD" w:rsidTr="00032A37">
        <w:trPr>
          <w:trHeight w:val="302"/>
        </w:trPr>
        <w:tc>
          <w:tcPr>
            <w:tcW w:w="2340" w:type="dxa"/>
            <w:tcBorders>
              <w:top w:val="nil"/>
              <w:left w:val="nil"/>
              <w:bottom w:val="nil"/>
              <w:right w:val="nil"/>
            </w:tcBorders>
            <w:shd w:val="clear" w:color="auto" w:fill="auto"/>
            <w:noWrap/>
            <w:vAlign w:val="center"/>
            <w:hideMark/>
          </w:tcPr>
          <w:p w14:paraId="3B063D9C" w14:textId="0D41ACBE" w:rsidR="0049495F" w:rsidRPr="007A310F" w:rsidRDefault="0049495F" w:rsidP="0049495F">
            <w:pPr>
              <w:rPr>
                <w:sz w:val="20"/>
                <w:szCs w:val="20"/>
              </w:rPr>
            </w:pPr>
            <w:r>
              <w:rPr>
                <w:color w:val="000000"/>
              </w:rPr>
              <w:t>USCG</w:t>
            </w:r>
          </w:p>
        </w:tc>
        <w:tc>
          <w:tcPr>
            <w:tcW w:w="4972" w:type="dxa"/>
            <w:tcBorders>
              <w:top w:val="nil"/>
              <w:left w:val="nil"/>
              <w:bottom w:val="nil"/>
              <w:right w:val="nil"/>
            </w:tcBorders>
            <w:shd w:val="clear" w:color="auto" w:fill="auto"/>
            <w:noWrap/>
            <w:vAlign w:val="center"/>
            <w:hideMark/>
          </w:tcPr>
          <w:p w14:paraId="79765978" w14:textId="131F5709" w:rsidR="0049495F" w:rsidRPr="007A310F" w:rsidRDefault="0049495F" w:rsidP="0049495F">
            <w:pPr>
              <w:rPr>
                <w:sz w:val="20"/>
                <w:szCs w:val="20"/>
              </w:rPr>
            </w:pPr>
            <w:r>
              <w:rPr>
                <w:color w:val="000000"/>
              </w:rPr>
              <w:t>U.S. Coast Guard</w:t>
            </w:r>
          </w:p>
        </w:tc>
      </w:tr>
      <w:tr w:rsidR="0049495F" w:rsidRPr="00022BA7" w14:paraId="289D2746" w14:textId="2AE811B2" w:rsidTr="00032A37">
        <w:trPr>
          <w:trHeight w:val="302"/>
        </w:trPr>
        <w:tc>
          <w:tcPr>
            <w:tcW w:w="2340" w:type="dxa"/>
            <w:tcBorders>
              <w:top w:val="nil"/>
              <w:left w:val="nil"/>
              <w:bottom w:val="nil"/>
              <w:right w:val="nil"/>
            </w:tcBorders>
            <w:shd w:val="clear" w:color="auto" w:fill="auto"/>
            <w:noWrap/>
            <w:vAlign w:val="center"/>
          </w:tcPr>
          <w:p w14:paraId="6BE2B935" w14:textId="687D1C13" w:rsidR="0049495F" w:rsidRPr="00B84F31" w:rsidRDefault="0049495F" w:rsidP="0049495F">
            <w:pPr>
              <w:rPr>
                <w:strike/>
                <w:sz w:val="20"/>
                <w:szCs w:val="20"/>
              </w:rPr>
            </w:pPr>
            <w:r>
              <w:rPr>
                <w:color w:val="000000"/>
              </w:rPr>
              <w:t>ULSD</w:t>
            </w:r>
          </w:p>
        </w:tc>
        <w:tc>
          <w:tcPr>
            <w:tcW w:w="4972" w:type="dxa"/>
            <w:tcBorders>
              <w:top w:val="nil"/>
              <w:left w:val="nil"/>
              <w:bottom w:val="nil"/>
              <w:right w:val="nil"/>
            </w:tcBorders>
            <w:shd w:val="clear" w:color="auto" w:fill="auto"/>
            <w:noWrap/>
            <w:vAlign w:val="center"/>
          </w:tcPr>
          <w:p w14:paraId="73E80F3A" w14:textId="3324EEC0" w:rsidR="0049495F" w:rsidRPr="00B84F31" w:rsidRDefault="0049495F" w:rsidP="0049495F">
            <w:pPr>
              <w:rPr>
                <w:strike/>
                <w:sz w:val="20"/>
                <w:szCs w:val="20"/>
              </w:rPr>
            </w:pPr>
            <w:proofErr w:type="spellStart"/>
            <w:r>
              <w:rPr>
                <w:color w:val="000000"/>
              </w:rPr>
              <w:t>Ultra Low</w:t>
            </w:r>
            <w:proofErr w:type="spellEnd"/>
            <w:r>
              <w:rPr>
                <w:color w:val="000000"/>
              </w:rPr>
              <w:t xml:space="preserve"> Sulfur Diesel</w:t>
            </w:r>
          </w:p>
        </w:tc>
      </w:tr>
    </w:tbl>
    <w:p w14:paraId="02DB4A30" w14:textId="77777777" w:rsidR="00EA2019" w:rsidRDefault="00EA2019" w:rsidP="00EA2019">
      <w:pPr>
        <w:widowControl/>
        <w:spacing w:line="240" w:lineRule="auto"/>
        <w:rPr>
          <w:color w:val="1F497D" w:themeColor="text2"/>
        </w:rPr>
      </w:pPr>
      <w:bookmarkStart w:id="9" w:name="_Toc138986278"/>
    </w:p>
    <w:p w14:paraId="2067BB1C" w14:textId="77777777" w:rsidR="00B2702F" w:rsidRDefault="00B2702F">
      <w:pPr>
        <w:widowControl/>
        <w:spacing w:line="240" w:lineRule="auto"/>
        <w:rPr>
          <w:rFonts w:cs="Times New Roman"/>
          <w:b/>
          <w:color w:val="1F497D" w:themeColor="text2"/>
          <w:sz w:val="32"/>
          <w:szCs w:val="24"/>
        </w:rPr>
      </w:pPr>
      <w:r>
        <w:rPr>
          <w:color w:val="1F497D" w:themeColor="text2"/>
        </w:rPr>
        <w:br w:type="page"/>
      </w:r>
    </w:p>
    <w:p w14:paraId="78BFE45D" w14:textId="602348F1" w:rsidR="00B771E9" w:rsidRDefault="00B771E9" w:rsidP="00BD7EB5">
      <w:pPr>
        <w:pStyle w:val="Heading1"/>
        <w:numPr>
          <w:ilvl w:val="0"/>
          <w:numId w:val="0"/>
        </w:numPr>
        <w:rPr>
          <w:color w:val="1F497D" w:themeColor="text2"/>
        </w:rPr>
      </w:pPr>
      <w:bookmarkStart w:id="10" w:name="_Toc144383962"/>
      <w:bookmarkStart w:id="11" w:name="_Toc144384062"/>
      <w:bookmarkStart w:id="12" w:name="_Toc144388593"/>
      <w:bookmarkStart w:id="13" w:name="_Toc144390169"/>
      <w:bookmarkStart w:id="14" w:name="_Toc144383963"/>
      <w:bookmarkStart w:id="15" w:name="_Toc144384063"/>
      <w:bookmarkStart w:id="16" w:name="_Toc144388594"/>
      <w:bookmarkStart w:id="17" w:name="_Toc144390170"/>
      <w:bookmarkStart w:id="18" w:name="_Toc144383964"/>
      <w:bookmarkStart w:id="19" w:name="_Toc144384064"/>
      <w:bookmarkStart w:id="20" w:name="_Toc144388595"/>
      <w:bookmarkStart w:id="21" w:name="_Toc144390171"/>
      <w:bookmarkStart w:id="22" w:name="_Toc144383965"/>
      <w:bookmarkStart w:id="23" w:name="_Toc144384065"/>
      <w:bookmarkStart w:id="24" w:name="_Toc144388596"/>
      <w:bookmarkStart w:id="25" w:name="_Toc144390172"/>
      <w:bookmarkStart w:id="26" w:name="_Toc144383966"/>
      <w:bookmarkStart w:id="27" w:name="_Toc144384066"/>
      <w:bookmarkStart w:id="28" w:name="_Toc144388597"/>
      <w:bookmarkStart w:id="29" w:name="_Toc144390173"/>
      <w:bookmarkStart w:id="30" w:name="_Toc144383967"/>
      <w:bookmarkStart w:id="31" w:name="_Toc144384067"/>
      <w:bookmarkStart w:id="32" w:name="_Toc144388598"/>
      <w:bookmarkStart w:id="33" w:name="_Toc144390174"/>
      <w:bookmarkStart w:id="34" w:name="_Toc144383968"/>
      <w:bookmarkStart w:id="35" w:name="_Toc144384068"/>
      <w:bookmarkStart w:id="36" w:name="_Toc144388599"/>
      <w:bookmarkStart w:id="37" w:name="_Toc144390175"/>
      <w:bookmarkStart w:id="38" w:name="_Toc144383969"/>
      <w:bookmarkStart w:id="39" w:name="_Toc144384069"/>
      <w:bookmarkStart w:id="40" w:name="_Toc144388600"/>
      <w:bookmarkStart w:id="41" w:name="_Toc144390176"/>
      <w:bookmarkStart w:id="42" w:name="_Toc144383970"/>
      <w:bookmarkStart w:id="43" w:name="_Toc144384070"/>
      <w:bookmarkStart w:id="44" w:name="_Toc144388601"/>
      <w:bookmarkStart w:id="45" w:name="_Toc144390177"/>
      <w:bookmarkStart w:id="46" w:name="_Toc144383971"/>
      <w:bookmarkStart w:id="47" w:name="_Toc144384071"/>
      <w:bookmarkStart w:id="48" w:name="_Toc144388602"/>
      <w:bookmarkStart w:id="49" w:name="_Toc144390178"/>
      <w:bookmarkStart w:id="50" w:name="_Toc140834080"/>
      <w:bookmarkStart w:id="51" w:name="_Toc140858392"/>
      <w:bookmarkStart w:id="52" w:name="_Toc140834083"/>
      <w:bookmarkStart w:id="53" w:name="_Toc138986308"/>
      <w:bookmarkStart w:id="54" w:name="_Toc139894135"/>
      <w:bookmarkStart w:id="55" w:name="_Toc138986318"/>
      <w:bookmarkStart w:id="56" w:name="_Toc139894145"/>
      <w:bookmarkStart w:id="57" w:name="_Toc140834097"/>
      <w:bookmarkStart w:id="58" w:name="_Toc138986319"/>
      <w:bookmarkStart w:id="59" w:name="_Toc139894146"/>
      <w:bookmarkStart w:id="60" w:name="_Toc140834098"/>
      <w:bookmarkStart w:id="61" w:name="_Toc140834110"/>
      <w:bookmarkStart w:id="62" w:name="_Toc146544236"/>
      <w:bookmarkStart w:id="63" w:name="_Toc146723116"/>
      <w:bookmarkStart w:id="64" w:name="_Toc138986335"/>
      <w:bookmarkStart w:id="65" w:name="_Ref144857508"/>
      <w:bookmarkStart w:id="66" w:name="_Ref144857539"/>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Pr>
          <w:color w:val="1F497D" w:themeColor="text2"/>
        </w:rPr>
        <w:lastRenderedPageBreak/>
        <w:t>Supplementary Notes</w:t>
      </w:r>
      <w:bookmarkEnd w:id="62"/>
      <w:bookmarkEnd w:id="63"/>
    </w:p>
    <w:p w14:paraId="5B615361" w14:textId="2FEB80FB" w:rsidR="008E53AC" w:rsidRPr="00022BA7" w:rsidRDefault="00B771E9" w:rsidP="00BD7EB5">
      <w:pPr>
        <w:pStyle w:val="Heading1"/>
        <w:numPr>
          <w:ilvl w:val="0"/>
          <w:numId w:val="0"/>
        </w:numPr>
        <w:rPr>
          <w:color w:val="1F497D" w:themeColor="text2"/>
        </w:rPr>
      </w:pPr>
      <w:bookmarkStart w:id="67" w:name="_Toc146723117"/>
      <w:r>
        <w:rPr>
          <w:color w:val="1F497D" w:themeColor="text2"/>
        </w:rPr>
        <w:t xml:space="preserve">Supplementary Note 1: </w:t>
      </w:r>
      <w:r w:rsidR="008E53AC" w:rsidRPr="00022BA7">
        <w:rPr>
          <w:color w:val="1F497D" w:themeColor="text2"/>
        </w:rPr>
        <w:t>Method</w:t>
      </w:r>
      <w:r w:rsidR="001519A4" w:rsidRPr="00022BA7">
        <w:rPr>
          <w:color w:val="1F497D" w:themeColor="text2"/>
        </w:rPr>
        <w:t>s for</w:t>
      </w:r>
      <w:r w:rsidR="008E53AC" w:rsidRPr="00022BA7">
        <w:rPr>
          <w:color w:val="1F497D" w:themeColor="text2"/>
        </w:rPr>
        <w:t xml:space="preserve"> Integrating </w:t>
      </w:r>
      <w:r w:rsidR="00CC606C" w:rsidRPr="00022BA7">
        <w:rPr>
          <w:color w:val="1F497D" w:themeColor="text2"/>
        </w:rPr>
        <w:t>Multiple</w:t>
      </w:r>
      <w:r w:rsidR="008E53AC" w:rsidRPr="00022BA7">
        <w:rPr>
          <w:color w:val="1F497D" w:themeColor="text2"/>
        </w:rPr>
        <w:t xml:space="preserve"> </w:t>
      </w:r>
      <w:r w:rsidR="00E022DE">
        <w:rPr>
          <w:color w:val="1F497D" w:themeColor="text2"/>
        </w:rPr>
        <w:t xml:space="preserve">Ship </w:t>
      </w:r>
      <w:r w:rsidR="005064AD" w:rsidRPr="00022BA7">
        <w:rPr>
          <w:color w:val="1F497D" w:themeColor="text2"/>
        </w:rPr>
        <w:t>Databases</w:t>
      </w:r>
      <w:bookmarkEnd w:id="64"/>
      <w:bookmarkEnd w:id="65"/>
      <w:bookmarkEnd w:id="66"/>
      <w:bookmarkEnd w:id="67"/>
    </w:p>
    <w:p w14:paraId="7BD135BF" w14:textId="048D3D4A" w:rsidR="001E7601" w:rsidRPr="00022BA7" w:rsidRDefault="001E7601" w:rsidP="001E7601">
      <w:pPr>
        <w:spacing w:after="240"/>
      </w:pPr>
      <w:bookmarkStart w:id="68" w:name="_Ref133914554"/>
      <w:r w:rsidRPr="00022BA7">
        <w:t xml:space="preserve">We utilized three types of data to analyze ship activities: 1) stock and technical specifications of vessels, 2) </w:t>
      </w:r>
      <w:r w:rsidR="001F3F19">
        <w:rPr>
          <w:color w:val="000000"/>
        </w:rPr>
        <w:t>Automatic Identification System</w:t>
      </w:r>
      <w:r w:rsidR="001F3F19" w:rsidRPr="00022BA7">
        <w:t xml:space="preserve"> </w:t>
      </w:r>
      <w:r w:rsidR="001F3F19">
        <w:t>(</w:t>
      </w:r>
      <w:r w:rsidRPr="00022BA7">
        <w:t>AIS</w:t>
      </w:r>
      <w:r w:rsidR="001F3F19">
        <w:t>)</w:t>
      </w:r>
      <w:r w:rsidRPr="00022BA7">
        <w:t xml:space="preserve"> vessel location data, and 3) port location data. The vessel stock and specification data were integrated from four data sources: </w:t>
      </w:r>
    </w:p>
    <w:p w14:paraId="2407CDEF" w14:textId="5E667684" w:rsidR="001E7601" w:rsidRPr="00022BA7" w:rsidRDefault="001E7601" w:rsidP="001E7601">
      <w:pPr>
        <w:pStyle w:val="ListParagraph"/>
        <w:numPr>
          <w:ilvl w:val="0"/>
          <w:numId w:val="35"/>
        </w:numPr>
      </w:pPr>
      <w:r w:rsidRPr="00022BA7">
        <w:t>U.S. Coast Guard</w:t>
      </w:r>
      <w:r w:rsidR="00B14453">
        <w:fldChar w:fldCharType="begin"/>
      </w:r>
      <w:r w:rsidR="00B14453">
        <w:instrText xml:space="preserve"> ADDIN ZOTERO_ITEM CSL_CITATION {"citationID":"6geLrDdM","properties":{"formattedCitation":"\\super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B14453">
        <w:fldChar w:fldCharType="separate"/>
      </w:r>
      <w:r w:rsidR="00B14453" w:rsidRPr="00B14453">
        <w:rPr>
          <w:rFonts w:cs="Times New Roman"/>
          <w:szCs w:val="24"/>
          <w:vertAlign w:val="superscript"/>
        </w:rPr>
        <w:t>1</w:t>
      </w:r>
      <w:r w:rsidR="00B14453">
        <w:fldChar w:fldCharType="end"/>
      </w:r>
      <w:r w:rsidRPr="00022BA7">
        <w:t xml:space="preserve"> </w:t>
      </w:r>
    </w:p>
    <w:p w14:paraId="5A7412E1" w14:textId="2762ADBE" w:rsidR="001E7601" w:rsidRPr="00022BA7" w:rsidRDefault="001E7601" w:rsidP="001E7601">
      <w:pPr>
        <w:pStyle w:val="ListParagraph"/>
        <w:numPr>
          <w:ilvl w:val="0"/>
          <w:numId w:val="35"/>
        </w:numPr>
      </w:pPr>
      <w:r w:rsidRPr="00022BA7">
        <w:t>U.S. Army Corps of Engineers</w:t>
      </w:r>
      <w:r w:rsidR="00B14453">
        <w:fldChar w:fldCharType="begin"/>
      </w:r>
      <w:r w:rsidR="00B14453">
        <w:instrText xml:space="preserve"> ADDIN ZOTERO_ITEM CSL_CITATION {"citationID":"m43niU89","properties":{"formattedCitation":"\\super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B14453">
        <w:fldChar w:fldCharType="separate"/>
      </w:r>
      <w:r w:rsidR="00B14453" w:rsidRPr="00B14453">
        <w:rPr>
          <w:rFonts w:cs="Times New Roman"/>
          <w:szCs w:val="24"/>
          <w:vertAlign w:val="superscript"/>
        </w:rPr>
        <w:t>2</w:t>
      </w:r>
      <w:r w:rsidR="00B14453">
        <w:fldChar w:fldCharType="end"/>
      </w:r>
      <w:r w:rsidRPr="00022BA7">
        <w:t xml:space="preserve"> </w:t>
      </w:r>
    </w:p>
    <w:p w14:paraId="32051F66" w14:textId="5AA28204" w:rsidR="001E7601" w:rsidRPr="00022BA7" w:rsidRDefault="001E7601" w:rsidP="001E7601">
      <w:pPr>
        <w:pStyle w:val="ListParagraph"/>
        <w:numPr>
          <w:ilvl w:val="0"/>
          <w:numId w:val="35"/>
        </w:numPr>
      </w:pPr>
      <w:r>
        <w:t>IHS Markit</w:t>
      </w:r>
      <w:r w:rsidR="00B14453">
        <w:fldChar w:fldCharType="begin"/>
      </w:r>
      <w:r w:rsidR="00B14453">
        <w:instrText xml:space="preserve"> ADDIN ZOTERO_ITEM CSL_CITATION {"citationID":"OXAUAs1l","properties":{"formattedCitation":"\\super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B14453">
        <w:fldChar w:fldCharType="separate"/>
      </w:r>
      <w:r w:rsidR="00B14453" w:rsidRPr="00B14453">
        <w:rPr>
          <w:rFonts w:cs="Times New Roman"/>
          <w:szCs w:val="24"/>
          <w:vertAlign w:val="superscript"/>
        </w:rPr>
        <w:t>3</w:t>
      </w:r>
      <w:r w:rsidR="00B14453">
        <w:fldChar w:fldCharType="end"/>
      </w:r>
      <w:r w:rsidRPr="00022BA7">
        <w:t xml:space="preserve"> </w:t>
      </w:r>
    </w:p>
    <w:p w14:paraId="50A69080" w14:textId="77777777" w:rsidR="001E7601" w:rsidRPr="00022BA7" w:rsidRDefault="001E7601" w:rsidP="001E7601"/>
    <w:p w14:paraId="21025FD6" w14:textId="1773F9B2" w:rsidR="001E7601" w:rsidRPr="00022BA7" w:rsidRDefault="001E7601" w:rsidP="001E7601">
      <w:r w:rsidRPr="00022BA7">
        <w:t>This integrated dataset contains multiple unique ship identifiers, gross tonnage (GT), length, main engine capacity, auxiliary engine capacity, maximum speed, and registered state</w:t>
      </w:r>
      <w:r w:rsidR="00C86525">
        <w:t xml:space="preserve"> where the GT </w:t>
      </w:r>
      <w:r w:rsidR="00C86525" w:rsidRPr="00643229">
        <w:rPr>
          <w:rFonts w:cs="Times New Roman"/>
          <w:lang w:eastAsia="ko-KR"/>
        </w:rPr>
        <w:t xml:space="preserve">is </w:t>
      </w:r>
      <w:r w:rsidR="00C86525">
        <w:rPr>
          <w:rFonts w:cs="Times New Roman"/>
          <w:lang w:eastAsia="ko-KR"/>
        </w:rPr>
        <w:t>a nonlinear measurement of a ship’s internal volumes, derived from its volume rather than its weight</w:t>
      </w:r>
      <w:r w:rsidR="00C86525" w:rsidRPr="00643229">
        <w:rPr>
          <w:rFonts w:cs="Times New Roman"/>
          <w:lang w:eastAsia="ko-KR"/>
        </w:rPr>
        <w:t>.</w:t>
      </w:r>
      <w:r w:rsidRPr="00022BA7">
        <w:t xml:space="preserve"> The second dataset, AIS data, refers to a collection of information transmitted by vessels and collected by AIS receivers in real time. Each AIS data point includes the vessel</w:t>
      </w:r>
      <w:r w:rsidR="00190F27">
        <w:t>’</w:t>
      </w:r>
      <w:r w:rsidRPr="00022BA7">
        <w:t xml:space="preserve">s unique identifier, coordinates, and speed over ground (SOG), and the corresponding timestamps. </w:t>
      </w:r>
      <w:r>
        <w:t xml:space="preserve">The </w:t>
      </w:r>
      <w:r w:rsidRPr="00022BA7">
        <w:t>National Oceanic and Atmospheric Administration (NOAA) and Bureau of Ocean Energy Management (BOEM) have facilitated the public availability of AIS data collected through the U.S. Coast Guard</w:t>
      </w:r>
      <w:r w:rsidR="00190F27">
        <w:t>’</w:t>
      </w:r>
      <w:r w:rsidRPr="00022BA7">
        <w:t>s (USCG) national network of AIS receivers</w:t>
      </w:r>
      <w:r w:rsidR="001C732C">
        <w:t>.</w:t>
      </w:r>
      <w:r w:rsidR="0071180F">
        <w:fldChar w:fldCharType="begin"/>
      </w:r>
      <w:r w:rsidR="0071180F">
        <w:instrText xml:space="preserve"> ADDIN ZOTERO_ITEM CSL_CITATION {"citationID":"Jlf0pqQ3","properties":{"formattedCitation":"\\super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71180F">
        <w:fldChar w:fldCharType="separate"/>
      </w:r>
      <w:r w:rsidR="0071180F" w:rsidRPr="0071180F">
        <w:rPr>
          <w:rFonts w:cs="Times New Roman"/>
          <w:szCs w:val="24"/>
          <w:vertAlign w:val="superscript"/>
        </w:rPr>
        <w:t>4</w:t>
      </w:r>
      <w:r w:rsidR="0071180F">
        <w:fldChar w:fldCharType="end"/>
      </w:r>
      <w:r w:rsidRPr="00022BA7">
        <w:t xml:space="preserve"> For our study, we used 2021 data from the AIS data pool and extracted AIS data for each target vessel. We combined the AIS data with port data, which includes coordinates of 150 major ports in the U.S. to analyze port activity. Detailed descriptions of each dataset are provided below.</w:t>
      </w:r>
    </w:p>
    <w:p w14:paraId="73234658" w14:textId="77777777" w:rsidR="001E7601" w:rsidRPr="00022BA7" w:rsidRDefault="001E7601" w:rsidP="001E7601">
      <w:pPr>
        <w:spacing w:line="276" w:lineRule="auto"/>
      </w:pPr>
    </w:p>
    <w:p w14:paraId="2B4E8140" w14:textId="77777777" w:rsidR="001E7601" w:rsidRPr="00022BA7" w:rsidRDefault="001E7601" w:rsidP="001E7601">
      <w:pPr>
        <w:spacing w:line="276" w:lineRule="auto"/>
      </w:pPr>
      <w:r w:rsidRPr="00022BA7">
        <w:t>We made a ship database containing 6,323 ships by integrating ship data from four different ship databases, each with its own limitations as follows:</w:t>
      </w:r>
    </w:p>
    <w:p w14:paraId="7DC141A6" w14:textId="77777777" w:rsidR="001E7601" w:rsidRPr="00022BA7" w:rsidRDefault="001E7601" w:rsidP="001E7601">
      <w:pPr>
        <w:pStyle w:val="ListParagraph"/>
        <w:widowControl/>
        <w:numPr>
          <w:ilvl w:val="0"/>
          <w:numId w:val="37"/>
        </w:numPr>
        <w:spacing w:after="160" w:line="276" w:lineRule="auto"/>
        <w:ind w:left="720" w:right="0"/>
        <w:jc w:val="both"/>
      </w:pPr>
      <w:r w:rsidRPr="00022BA7">
        <w:t>USCG: Although it provides detailed information on ship activities, it is deficient in providing ship specifications such as engine capacities and maximum speed.</w:t>
      </w:r>
    </w:p>
    <w:p w14:paraId="7A006F7E" w14:textId="77777777" w:rsidR="001E7601" w:rsidRPr="00022BA7" w:rsidRDefault="001E7601" w:rsidP="001E7601">
      <w:pPr>
        <w:pStyle w:val="ListParagraph"/>
        <w:widowControl/>
        <w:numPr>
          <w:ilvl w:val="0"/>
          <w:numId w:val="37"/>
        </w:numPr>
        <w:spacing w:after="160" w:line="276" w:lineRule="auto"/>
        <w:ind w:left="720" w:right="0"/>
        <w:jc w:val="both"/>
      </w:pPr>
      <w:r w:rsidRPr="00022BA7">
        <w:t>USACE: This database only classifies self-propelled and tug vessels, and the ship specifications provided are incomplete.</w:t>
      </w:r>
    </w:p>
    <w:p w14:paraId="7DC22E14" w14:textId="77777777" w:rsidR="001E7601" w:rsidRPr="00022BA7" w:rsidRDefault="001E7601" w:rsidP="001E7601">
      <w:pPr>
        <w:pStyle w:val="ListParagraph"/>
        <w:widowControl/>
        <w:numPr>
          <w:ilvl w:val="0"/>
          <w:numId w:val="37"/>
        </w:numPr>
        <w:spacing w:after="160" w:line="276" w:lineRule="auto"/>
        <w:ind w:left="720" w:right="0"/>
        <w:jc w:val="both"/>
      </w:pPr>
      <w:r w:rsidRPr="00022BA7">
        <w:t>IHS: This database only covers ships with GT greater than 100 and provides incomplete ship specifications.</w:t>
      </w:r>
    </w:p>
    <w:p w14:paraId="1D6EB878" w14:textId="77777777" w:rsidR="001E7601" w:rsidRPr="00022BA7" w:rsidRDefault="001E7601" w:rsidP="001E7601">
      <w:pPr>
        <w:pStyle w:val="ListParagraph"/>
        <w:widowControl/>
        <w:numPr>
          <w:ilvl w:val="0"/>
          <w:numId w:val="37"/>
        </w:numPr>
        <w:spacing w:after="160" w:line="276" w:lineRule="auto"/>
        <w:ind w:left="720" w:right="0"/>
        <w:jc w:val="both"/>
      </w:pPr>
      <w:r w:rsidRPr="00022BA7">
        <w:t xml:space="preserve">AIS: This database only provides activity-focused data, such as location and movement, and </w:t>
      </w:r>
      <w:r>
        <w:t>rarely</w:t>
      </w:r>
      <w:r w:rsidRPr="00022BA7">
        <w:t xml:space="preserve"> provide</w:t>
      </w:r>
      <w:r>
        <w:t>s</w:t>
      </w:r>
      <w:r w:rsidRPr="00022BA7">
        <w:t xml:space="preserve"> ship specifications.</w:t>
      </w:r>
    </w:p>
    <w:p w14:paraId="0B3778F3" w14:textId="573EE65F" w:rsidR="001E7601" w:rsidRPr="00022BA7" w:rsidRDefault="001E7601" w:rsidP="0023502A">
      <w:pPr>
        <w:spacing w:after="240"/>
      </w:pPr>
      <w:r w:rsidRPr="00022BA7">
        <w:t>There were 3,323 match</w:t>
      </w:r>
      <w:r>
        <w:t>e</w:t>
      </w:r>
      <w:r w:rsidRPr="00022BA7">
        <w:t>s between the ship list from the AIS data with the USCG-USACE-IHS integrated dataset. As shown in</w:t>
      </w:r>
      <w:r w:rsidR="00697E73">
        <w:t xml:space="preserve"> </w:t>
      </w:r>
      <w:r w:rsidR="00697E73">
        <w:fldChar w:fldCharType="begin"/>
      </w:r>
      <w:r w:rsidR="00697E73">
        <w:instrText xml:space="preserve"> REF _Ref144851730 \h </w:instrText>
      </w:r>
      <w:r w:rsidR="00697E73">
        <w:fldChar w:fldCharType="separate"/>
      </w:r>
      <w:r w:rsidR="00C661AC">
        <w:t xml:space="preserve">Supplementary </w:t>
      </w:r>
      <w:r w:rsidR="00C661AC" w:rsidRPr="00022BA7">
        <w:t xml:space="preserve">Figure </w:t>
      </w:r>
      <w:r w:rsidR="00C661AC">
        <w:rPr>
          <w:noProof/>
        </w:rPr>
        <w:t>1</w:t>
      </w:r>
      <w:r w:rsidR="00697E73">
        <w:fldChar w:fldCharType="end"/>
      </w:r>
      <w:r w:rsidRPr="00022BA7">
        <w:t xml:space="preserve">, only 1,139 </w:t>
      </w:r>
      <w:r w:rsidR="00E42AA1">
        <w:t xml:space="preserve">ship </w:t>
      </w:r>
      <w:r w:rsidRPr="00022BA7">
        <w:t>match</w:t>
      </w:r>
      <w:r>
        <w:t>e</w:t>
      </w:r>
      <w:r w:rsidRPr="00022BA7">
        <w:t>s (34% of all AIS match</w:t>
      </w:r>
      <w:r>
        <w:t>e</w:t>
      </w:r>
      <w:r w:rsidRPr="00022BA7">
        <w:t>s) are based on Maritime Mobile Service Identity (MMSI)</w:t>
      </w:r>
      <w:r w:rsidR="00555B2A">
        <w:t xml:space="preserve"> where </w:t>
      </w:r>
      <w:r w:rsidR="00555B2A" w:rsidRPr="00EE1F87">
        <w:rPr>
          <w:rFonts w:cs="Times New Roman"/>
        </w:rPr>
        <w:t>MMSIs are a set of nine-digit numerical identifiers utilized in maritime digital selective calling, AIS, and some other equipment to distinguish and uniquely designate a ship</w:t>
      </w:r>
      <w:r w:rsidR="001C732C">
        <w:rPr>
          <w:rFonts w:cs="Times New Roman"/>
        </w:rPr>
        <w:t>.</w:t>
      </w:r>
      <w:r w:rsidR="00056D60">
        <w:rPr>
          <w:rFonts w:cs="Times New Roman"/>
        </w:rPr>
        <w:fldChar w:fldCharType="begin"/>
      </w:r>
      <w:r w:rsidR="0071180F">
        <w:rPr>
          <w:rFonts w:cs="Times New Roman"/>
        </w:rPr>
        <w:instrText xml:space="preserve"> ADDIN ZOTERO_ITEM CSL_CITATION {"citationID":"WipXDg1c","properties":{"formattedCitation":"\\super 5\\nosupersub{}","plainCitation":"5","noteIndex":0},"citationItems":[{"id":237,"uris":["http://zotero.org/users/12468222/items/68WNTHLW"],"itemData":{"id":237,"type":"webpage","container-title":"Federal Communications Commission","title":"Maritime Mobile Service Identities - MMSI","URL":"https://www.fcc.gov/wireless/bureau-divisions/mobility-division/maritime-mobile/ship-radio-stations/maritime-mobile","author":[{"literal":"Federal Communications Commission"}],"accessed":{"date-parts":[["2023",9,26]]},"issued":{"date-parts":[["2022"]]}}}],"schema":"https://github.com/citation-style-language/schema/raw/master/csl-citation.json"} </w:instrText>
      </w:r>
      <w:r w:rsidR="00056D60">
        <w:rPr>
          <w:rFonts w:cs="Times New Roman"/>
        </w:rPr>
        <w:fldChar w:fldCharType="separate"/>
      </w:r>
      <w:r w:rsidR="0071180F" w:rsidRPr="0071180F">
        <w:rPr>
          <w:rFonts w:cs="Times New Roman"/>
          <w:szCs w:val="24"/>
          <w:vertAlign w:val="superscript"/>
        </w:rPr>
        <w:t>5</w:t>
      </w:r>
      <w:r w:rsidR="00056D60">
        <w:rPr>
          <w:rFonts w:cs="Times New Roman"/>
        </w:rPr>
        <w:fldChar w:fldCharType="end"/>
      </w:r>
      <w:r w:rsidRPr="00022BA7">
        <w:t xml:space="preserve"> Beyond that, 2,183 ships (66% of all AIS match</w:t>
      </w:r>
      <w:r>
        <w:t>e</w:t>
      </w:r>
      <w:r w:rsidRPr="00022BA7">
        <w:t>s) were matched based on ship name verified with call sign, showing the value of this approach in the absence of MMSI</w:t>
      </w:r>
      <w:r w:rsidRPr="00022BA7" w:rsidDel="00560F7A">
        <w:t xml:space="preserve"> </w:t>
      </w:r>
      <w:r w:rsidRPr="00022BA7">
        <w:t>data.</w:t>
      </w:r>
      <w:r w:rsidR="005A6CEA" w:rsidRPr="005A6CEA">
        <w:rPr>
          <w:noProof/>
        </w:rPr>
        <w:t xml:space="preserve"> </w:t>
      </w:r>
    </w:p>
    <w:p w14:paraId="6A27B4A0" w14:textId="77777777" w:rsidR="001E7601" w:rsidRPr="00022BA7" w:rsidRDefault="001E7601" w:rsidP="001E7601"/>
    <w:p w14:paraId="6A108A0C" w14:textId="70C0E4A2" w:rsidR="001E7601" w:rsidRPr="00022BA7" w:rsidRDefault="001E7601" w:rsidP="00095008">
      <w:pPr>
        <w:pStyle w:val="Heading3"/>
      </w:pPr>
      <w:r w:rsidRPr="00022BA7">
        <w:t xml:space="preserve">Ships in </w:t>
      </w:r>
      <w:r>
        <w:t>S</w:t>
      </w:r>
      <w:r w:rsidRPr="00022BA7">
        <w:t>cope</w:t>
      </w:r>
    </w:p>
    <w:p w14:paraId="33DD8364" w14:textId="06A49CFF" w:rsidR="001E7601" w:rsidRPr="00E6303B" w:rsidRDefault="001E7601" w:rsidP="001E7601">
      <w:r w:rsidRPr="00E6303B">
        <w:t>Our study specifically targets self-propelled U.S. flag ships with GT between 50 and 1000. The ship types considered in this study encompass tankers, general cargo, and passenger ships, as well as three types of tugs: Coastal-Harbor tugs, Inland-Push Boat tugs, and articulated tug barge (ATB) tugs. Ship type mapping from initial data sources is available in</w:t>
      </w:r>
      <w:r w:rsidR="006C6132" w:rsidRPr="00E6303B">
        <w:t xml:space="preserve"> </w:t>
      </w:r>
      <w:r w:rsidR="00875B32">
        <w:fldChar w:fldCharType="begin"/>
      </w:r>
      <w:r w:rsidR="00875B32">
        <w:instrText xml:space="preserve"> REF _Ref141671649 \h </w:instrText>
      </w:r>
      <w:r w:rsidR="00875B32">
        <w:fldChar w:fldCharType="separate"/>
      </w:r>
      <w:r w:rsidR="00C661AC">
        <w:t xml:space="preserve">Supplementary </w:t>
      </w:r>
      <w:r w:rsidR="00C661AC" w:rsidRPr="00022BA7">
        <w:t xml:space="preserve">Table </w:t>
      </w:r>
      <w:r w:rsidR="00C661AC">
        <w:rPr>
          <w:noProof/>
        </w:rPr>
        <w:t>1</w:t>
      </w:r>
      <w:r w:rsidR="00875B32">
        <w:fldChar w:fldCharType="end"/>
      </w:r>
      <w:r w:rsidR="001177E9">
        <w:t xml:space="preserve"> and </w:t>
      </w:r>
      <w:r w:rsidR="00875B32">
        <w:fldChar w:fldCharType="begin"/>
      </w:r>
      <w:r w:rsidR="00875B32">
        <w:instrText xml:space="preserve"> REF _Ref146542157 \h </w:instrText>
      </w:r>
      <w:r w:rsidR="00875B32">
        <w:fldChar w:fldCharType="separate"/>
      </w:r>
      <w:r w:rsidR="00C661AC">
        <w:t xml:space="preserve">Supplementary </w:t>
      </w:r>
      <w:r w:rsidR="00C661AC" w:rsidRPr="00022BA7">
        <w:t xml:space="preserve">Table </w:t>
      </w:r>
      <w:r w:rsidR="00C661AC">
        <w:rPr>
          <w:noProof/>
        </w:rPr>
        <w:t>2</w:t>
      </w:r>
      <w:r w:rsidR="00875B32">
        <w:fldChar w:fldCharType="end"/>
      </w:r>
      <w:r w:rsidR="00875B32">
        <w:t xml:space="preserve"> </w:t>
      </w:r>
      <w:r w:rsidR="00957F20" w:rsidRPr="00E6303B">
        <w:t xml:space="preserve">earlier </w:t>
      </w:r>
      <w:r w:rsidR="006661AA" w:rsidRPr="00E6303B">
        <w:t>in this document</w:t>
      </w:r>
      <w:r w:rsidRPr="00E6303B">
        <w:t xml:space="preserve">. </w:t>
      </w:r>
      <w:r w:rsidR="00697E73" w:rsidRPr="00E6303B">
        <w:fldChar w:fldCharType="begin"/>
      </w:r>
      <w:r w:rsidR="00697E73" w:rsidRPr="00E6303B">
        <w:instrText xml:space="preserve"> REF _Ref144851764 \h </w:instrText>
      </w:r>
      <w:r w:rsidR="00E6303B" w:rsidRPr="00E6303B">
        <w:instrText xml:space="preserve"> \* MERGEFORMAT </w:instrText>
      </w:r>
      <w:r w:rsidR="00697E73" w:rsidRPr="00E6303B">
        <w:fldChar w:fldCharType="separate"/>
      </w:r>
      <w:r w:rsidR="00C661AC">
        <w:t xml:space="preserve">Supplementary </w:t>
      </w:r>
      <w:r w:rsidR="00C661AC" w:rsidRPr="00022BA7">
        <w:t xml:space="preserve">Table </w:t>
      </w:r>
      <w:r w:rsidR="00C661AC">
        <w:rPr>
          <w:noProof/>
        </w:rPr>
        <w:t>3</w:t>
      </w:r>
      <w:r w:rsidR="00697E73" w:rsidRPr="00E6303B">
        <w:fldChar w:fldCharType="end"/>
      </w:r>
      <w:r w:rsidR="00697E73" w:rsidRPr="00E6303B">
        <w:t xml:space="preserve"> </w:t>
      </w:r>
      <w:r w:rsidRPr="00E6303B">
        <w:t>shows number of ships by the source of ship data. In most previous emission studies, the commercially available IHS ship list serves as the initial reference due to its convenience in providing comprehensive and well-organized specifications for ships from different countries</w:t>
      </w:r>
      <w:r w:rsidR="001C732C">
        <w:t>.</w:t>
      </w:r>
      <w:r w:rsidR="00AD0029">
        <w:fldChar w:fldCharType="begin"/>
      </w:r>
      <w:r w:rsidR="00AD0029">
        <w:instrText xml:space="preserve"> ADDIN ZOTERO_ITEM CSL_CITATION {"citationID":"H4KLetTr","properties":{"formattedCitation":"\\super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AD0029">
        <w:fldChar w:fldCharType="separate"/>
      </w:r>
      <w:r w:rsidR="00AD0029" w:rsidRPr="00845C8F">
        <w:rPr>
          <w:rFonts w:cs="Times New Roman"/>
          <w:szCs w:val="24"/>
          <w:vertAlign w:val="superscript"/>
        </w:rPr>
        <w:t>3</w:t>
      </w:r>
      <w:r w:rsidR="00AD0029">
        <w:fldChar w:fldCharType="end"/>
      </w:r>
      <w:r w:rsidRPr="00E6303B">
        <w:t xml:space="preserve"> However, the IHS-listed ships – 171 passenger ships and 1,501 tugs – account for less than 25% of the ships contained in other publicly available databases. According to the 50</w:t>
      </w:r>
      <w:r w:rsidRPr="00E6303B">
        <w:rPr>
          <w:vertAlign w:val="superscript"/>
        </w:rPr>
        <w:t>th</w:t>
      </w:r>
      <w:r w:rsidRPr="00E6303B">
        <w:t xml:space="preserve"> National Transportation Statistics (</w:t>
      </w:r>
      <w:r w:rsidRPr="00035F66">
        <w:t>NTS), there are 1,721 passenger ships and 6,203 tugs</w:t>
      </w:r>
      <w:r w:rsidR="001C732C" w:rsidRPr="00035F66">
        <w:t>.</w:t>
      </w:r>
      <w:r w:rsidR="00C61E16" w:rsidRPr="00035F66">
        <w:fldChar w:fldCharType="begin"/>
      </w:r>
      <w:r w:rsidR="00C61E16" w:rsidRPr="00035F66">
        <w:instrText xml:space="preserve"> ADDIN ZOTERO_ITEM CSL_CITATION {"citationID":"qt2ZGPZ6","properties":{"formattedCitation":"\\super 6\\nosupersub{}","plainCitation":"6","noteIndex":0},"citationItems":[{"id":293,"uris":["http://zotero.org/users/12468222/items/2CTH82BG"],"itemData":{"id":293,"type":"report","publisher":"U.S. Department of Transportation","title":"50th Anniversary Edition of the National Transportation Statistics.","URL":"https://www.bts.gov/sites/bts.dot.gov/files/2021-12/NTS-50th-complete-11-30-2021.pdf","author":[{"literal":"U.S. Department of Transportation"}],"issued":{"date-parts":[["2021"]]}}}],"schema":"https://github.com/citation-style-language/schema/raw/master/csl-citation.json"} </w:instrText>
      </w:r>
      <w:r w:rsidR="00C61E16" w:rsidRPr="00035F66">
        <w:fldChar w:fldCharType="separate"/>
      </w:r>
      <w:r w:rsidR="00C61E16" w:rsidRPr="00035F66">
        <w:rPr>
          <w:rFonts w:cs="Times New Roman"/>
          <w:szCs w:val="24"/>
          <w:vertAlign w:val="superscript"/>
        </w:rPr>
        <w:t>6</w:t>
      </w:r>
      <w:r w:rsidR="00C61E16" w:rsidRPr="00035F66">
        <w:fldChar w:fldCharType="end"/>
      </w:r>
      <w:r w:rsidRPr="00035F66">
        <w:t xml:space="preserve"> Furthermore</w:t>
      </w:r>
      <w:r w:rsidRPr="00E6303B">
        <w:t>, when counting ships with 50-1000 GT and narrowing them to those where AIS data are available, the number of IHS-listed ships decreases further, to 108 passenger ships and 1,201 tugs – only 6.3% and 19.4% of the ships in NTS. Therefore, these limited IHS numbers are insufficient as samples to represent the entirety of U.S. ships.</w:t>
      </w:r>
    </w:p>
    <w:p w14:paraId="7CDC9646" w14:textId="77777777" w:rsidR="00B074E0" w:rsidRPr="00022BA7" w:rsidRDefault="00B074E0" w:rsidP="001E7601"/>
    <w:p w14:paraId="1696B0C9" w14:textId="48E5809D" w:rsidR="001E7601" w:rsidRPr="00022BA7" w:rsidRDefault="001E7601" w:rsidP="001E7601">
      <w:r w:rsidRPr="00022BA7">
        <w:t>To expand the pool of ships available for analysis, we conducted a comprehensive integration of four ship lists obtained from the following sources: IHS (2021)</w:t>
      </w:r>
      <w:r w:rsidR="00845C8F">
        <w:fldChar w:fldCharType="begin"/>
      </w:r>
      <w:r w:rsidR="00C61E16">
        <w:instrText xml:space="preserve"> ADDIN ZOTERO_ITEM CSL_CITATION {"citationID":"HPKkGh0P","properties":{"formattedCitation":"\\super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845C8F">
        <w:fldChar w:fldCharType="separate"/>
      </w:r>
      <w:r w:rsidR="00845C8F" w:rsidRPr="00845C8F">
        <w:rPr>
          <w:rFonts w:cs="Times New Roman"/>
          <w:szCs w:val="24"/>
          <w:vertAlign w:val="superscript"/>
        </w:rPr>
        <w:t>3</w:t>
      </w:r>
      <w:r w:rsidR="00845C8F">
        <w:fldChar w:fldCharType="end"/>
      </w:r>
      <w:r w:rsidRPr="00022BA7">
        <w:t>, USACE (2021)</w:t>
      </w:r>
      <w:r w:rsidR="00845C8F">
        <w:fldChar w:fldCharType="begin"/>
      </w:r>
      <w:r w:rsidR="00845C8F">
        <w:instrText xml:space="preserve"> ADDIN ZOTERO_ITEM CSL_CITATION {"citationID":"HVZ7vIPw","properties":{"formattedCitation":"\\super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845C8F">
        <w:fldChar w:fldCharType="separate"/>
      </w:r>
      <w:r w:rsidR="00845C8F" w:rsidRPr="00845C8F">
        <w:rPr>
          <w:rFonts w:cs="Times New Roman"/>
          <w:szCs w:val="24"/>
          <w:vertAlign w:val="superscript"/>
        </w:rPr>
        <w:t>2</w:t>
      </w:r>
      <w:r w:rsidR="00845C8F">
        <w:fldChar w:fldCharType="end"/>
      </w:r>
      <w:r w:rsidRPr="00022BA7">
        <w:t>, USCG (2021)</w:t>
      </w:r>
      <w:r w:rsidR="00845C8F">
        <w:fldChar w:fldCharType="begin"/>
      </w:r>
      <w:r w:rsidR="00845C8F">
        <w:instrText xml:space="preserve"> ADDIN ZOTERO_ITEM CSL_CITATION {"citationID":"9UE6dZn5","properties":{"formattedCitation":"\\super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845C8F">
        <w:fldChar w:fldCharType="separate"/>
      </w:r>
      <w:r w:rsidR="00845C8F" w:rsidRPr="00845C8F">
        <w:rPr>
          <w:rFonts w:cs="Times New Roman"/>
          <w:szCs w:val="24"/>
          <w:vertAlign w:val="superscript"/>
        </w:rPr>
        <w:t>1</w:t>
      </w:r>
      <w:r w:rsidR="00845C8F">
        <w:fldChar w:fldCharType="end"/>
      </w:r>
      <w:r w:rsidRPr="00022BA7">
        <w:t>, and a data set extracted from AIS</w:t>
      </w:r>
      <w:r w:rsidR="00096CB2">
        <w:fldChar w:fldCharType="begin"/>
      </w:r>
      <w:r w:rsidR="00096CB2">
        <w:instrText xml:space="preserve"> ADDIN ZOTERO_ITEM CSL_CITATION {"citationID":"3gB9Ii9L","properties":{"formattedCitation":"\\super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096CB2">
        <w:fldChar w:fldCharType="separate"/>
      </w:r>
      <w:r w:rsidR="00096CB2" w:rsidRPr="00096CB2">
        <w:rPr>
          <w:rFonts w:cs="Times New Roman"/>
          <w:szCs w:val="24"/>
          <w:vertAlign w:val="superscript"/>
        </w:rPr>
        <w:t>4</w:t>
      </w:r>
      <w:r w:rsidR="00096CB2">
        <w:fldChar w:fldCharType="end"/>
      </w:r>
      <w:r w:rsidRPr="00022BA7">
        <w:t xml:space="preserve">. </w:t>
      </w:r>
      <w:r>
        <w:t>M</w:t>
      </w:r>
      <w:r w:rsidRPr="00022BA7">
        <w:t xml:space="preserve">ethods we used to integrate datasets are </w:t>
      </w:r>
      <w:r>
        <w:t>described</w:t>
      </w:r>
      <w:r w:rsidRPr="00022BA7">
        <w:t xml:space="preserve"> in </w:t>
      </w:r>
      <w:r>
        <w:t xml:space="preserve">detail in </w:t>
      </w:r>
      <w:r w:rsidRPr="00022BA7">
        <w:t xml:space="preserve">Appendix B. The total number of ships in this integrated list amounts to 11,686. (Notably, the USCG list includes ships with GT less than 50, contributing to a higher count of ships compared to the other sources.) When comparing only tugboats, the 5,985 tugs align closely with the 6,203 tugs from NTS. Examining the integrated list further, we </w:t>
      </w:r>
      <w:r>
        <w:t>found</w:t>
      </w:r>
      <w:r w:rsidRPr="00022BA7">
        <w:t xml:space="preserve"> a total of 5,414 passenger ships, more than three times the figure reported by NTS. This disparity can be attributed to the inclusion of small vessels with GT below 50, which number 3,610 ships (66.7% of the total). As most of these small vessels lack AIS data, ships with GT less than 50 are excluded from the analysis. Finally, the number of ships identified as targets for </w:t>
      </w:r>
      <w:r>
        <w:t xml:space="preserve">our </w:t>
      </w:r>
      <w:r w:rsidR="00890508">
        <w:t>battery-electric ship (</w:t>
      </w:r>
      <w:r w:rsidRPr="00022BA7">
        <w:t>BES</w:t>
      </w:r>
      <w:r w:rsidR="00890508">
        <w:t>)</w:t>
      </w:r>
      <w:r w:rsidRPr="00022BA7">
        <w:t xml:space="preserve"> potential study is 2,722. These ships </w:t>
      </w:r>
      <w:r>
        <w:t>have</w:t>
      </w:r>
      <w:r w:rsidRPr="00022BA7">
        <w:t xml:space="preserve"> annual travel distance</w:t>
      </w:r>
      <w:r>
        <w:t>s</w:t>
      </w:r>
      <w:r w:rsidRPr="00022BA7">
        <w:t xml:space="preserve"> </w:t>
      </w:r>
      <w:r>
        <w:t>greater</w:t>
      </w:r>
      <w:r w:rsidRPr="00022BA7">
        <w:t xml:space="preserve"> than 1,500 km</w:t>
      </w:r>
      <w:r>
        <w:t>,</w:t>
      </w:r>
      <w:r w:rsidRPr="00022BA7">
        <w:t xml:space="preserve"> based on </w:t>
      </w:r>
      <w:r>
        <w:t>2021</w:t>
      </w:r>
      <w:r w:rsidRPr="00022BA7">
        <w:t xml:space="preserve"> AIS data</w:t>
      </w:r>
      <w:r w:rsidR="000105B8">
        <w:fldChar w:fldCharType="begin"/>
      </w:r>
      <w:r w:rsidR="000105B8">
        <w:instrText xml:space="preserve"> ADDIN ZOTERO_ITEM CSL_CITATION {"citationID":"qpTK8H2X","properties":{"formattedCitation":"\\super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0105B8">
        <w:fldChar w:fldCharType="separate"/>
      </w:r>
      <w:r w:rsidR="000105B8" w:rsidRPr="000105B8">
        <w:rPr>
          <w:rFonts w:cs="Times New Roman"/>
          <w:szCs w:val="24"/>
          <w:vertAlign w:val="superscript"/>
        </w:rPr>
        <w:t>4</w:t>
      </w:r>
      <w:r w:rsidR="000105B8">
        <w:fldChar w:fldCharType="end"/>
      </w:r>
      <w:r w:rsidRPr="00022BA7">
        <w:t xml:space="preserve">. This sample represents 43% of the total ships within the 50-1000 GT range in the integrated list and corresponds to 34% of the total ships reported by NTS. </w:t>
      </w:r>
    </w:p>
    <w:p w14:paraId="2E08D2E8" w14:textId="77777777" w:rsidR="001E7601" w:rsidRPr="00022BA7" w:rsidRDefault="001E7601" w:rsidP="001E7601"/>
    <w:p w14:paraId="238FD77D" w14:textId="0C7B1101" w:rsidR="001E7601" w:rsidRDefault="001E7601" w:rsidP="001E7601">
      <w:r w:rsidRPr="00022BA7">
        <w:t xml:space="preserve">From this point forward, the term </w:t>
      </w:r>
      <w:r w:rsidR="00190F27">
        <w:t>“</w:t>
      </w:r>
      <w:r w:rsidRPr="00022BA7">
        <w:t>Integrated Ship Database</w:t>
      </w:r>
      <w:r w:rsidR="00190F27">
        <w:t>”</w:t>
      </w:r>
      <w:r w:rsidRPr="00022BA7">
        <w:t xml:space="preserve"> indicates the comprehensive list of 11,687 ships. </w:t>
      </w:r>
      <w:r w:rsidR="00190F27">
        <w:t>“</w:t>
      </w:r>
      <w:r w:rsidRPr="00022BA7">
        <w:t>Domestic Fleet</w:t>
      </w:r>
      <w:r w:rsidR="00190F27">
        <w:t>”</w:t>
      </w:r>
      <w:r w:rsidRPr="00022BA7">
        <w:t xml:space="preserve"> is used to designate the 6,323 ships that have a GT ranging between 50 and 1,000. Meanwhile, </w:t>
      </w:r>
      <w:r w:rsidR="00190F27">
        <w:t>“</w:t>
      </w:r>
      <w:r w:rsidRPr="00022BA7">
        <w:t>AIS Analyzed Subset</w:t>
      </w:r>
      <w:r w:rsidR="00190F27">
        <w:t>”</w:t>
      </w:r>
      <w:r w:rsidRPr="00022BA7">
        <w:t xml:space="preserve"> denotes the subset of 2,722 ships that </w:t>
      </w:r>
      <w:r>
        <w:t>traveled</w:t>
      </w:r>
      <w:r w:rsidRPr="00022BA7">
        <w:t xml:space="preserve"> more than 1,500 km in 2021, </w:t>
      </w:r>
      <w:r>
        <w:t>based on</w:t>
      </w:r>
      <w:r w:rsidRPr="00022BA7">
        <w:t xml:space="preserve"> AIS data</w:t>
      </w:r>
      <w:r w:rsidR="002F7C3F">
        <w:fldChar w:fldCharType="begin"/>
      </w:r>
      <w:r w:rsidR="00961E40">
        <w:instrText xml:space="preserve"> ADDIN ZOTERO_ITEM CSL_CITATION {"citationID":"qzwsAFdn","properties":{"formattedCitation":"\\super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2F7C3F">
        <w:fldChar w:fldCharType="separate"/>
      </w:r>
      <w:r w:rsidR="002F7C3F" w:rsidRPr="00096CB2">
        <w:rPr>
          <w:rFonts w:cs="Times New Roman"/>
          <w:szCs w:val="24"/>
          <w:vertAlign w:val="superscript"/>
        </w:rPr>
        <w:t>4</w:t>
      </w:r>
      <w:r w:rsidR="002F7C3F">
        <w:fldChar w:fldCharType="end"/>
      </w:r>
      <w:r w:rsidRPr="00022BA7">
        <w:t>.</w:t>
      </w:r>
    </w:p>
    <w:p w14:paraId="314DF1FE" w14:textId="77777777" w:rsidR="001E7601" w:rsidRPr="00022BA7" w:rsidRDefault="001E7601" w:rsidP="001E7601"/>
    <w:p w14:paraId="16496D00" w14:textId="42397694" w:rsidR="001E7601" w:rsidRDefault="0077207E" w:rsidP="001E7601">
      <w:r>
        <w:fldChar w:fldCharType="begin"/>
      </w:r>
      <w:r>
        <w:instrText xml:space="preserve"> REF _Ref144851810 \h </w:instrText>
      </w:r>
      <w:r>
        <w:fldChar w:fldCharType="separate"/>
      </w:r>
      <w:r w:rsidR="00C661AC">
        <w:t xml:space="preserve">Supplementary </w:t>
      </w:r>
      <w:r w:rsidR="00C661AC" w:rsidRPr="00022BA7">
        <w:t xml:space="preserve">Table </w:t>
      </w:r>
      <w:r w:rsidR="00C661AC">
        <w:rPr>
          <w:noProof/>
        </w:rPr>
        <w:t>4</w:t>
      </w:r>
      <w:r>
        <w:fldChar w:fldCharType="end"/>
      </w:r>
      <w:r>
        <w:t xml:space="preserve"> </w:t>
      </w:r>
      <w:r w:rsidR="001E7601" w:rsidRPr="00022BA7">
        <w:t xml:space="preserve">displays the average </w:t>
      </w:r>
      <w:r w:rsidR="001E7601">
        <w:t>GT</w:t>
      </w:r>
      <w:r w:rsidR="001E7601" w:rsidRPr="00022BA7">
        <w:t xml:space="preserve">, main engine capacity, and travel distance of vessels included in the AIS Analyzed Subset, segmented by ship type. This table facilitates </w:t>
      </w:r>
      <w:r w:rsidR="00957F20">
        <w:t xml:space="preserve">an </w:t>
      </w:r>
      <w:r w:rsidR="001E7601" w:rsidRPr="00022BA7">
        <w:t xml:space="preserve">understanding of the characteristics inherent to each ship type. General Cargo and Tanker vessels were excluded from the table because the </w:t>
      </w:r>
      <w:r w:rsidR="001E7601">
        <w:t>relevant subset</w:t>
      </w:r>
      <w:r w:rsidR="001E7601" w:rsidRPr="00022BA7">
        <w:t xml:space="preserve">, 50-1000 </w:t>
      </w:r>
      <w:r w:rsidR="001E7601" w:rsidRPr="00022BA7">
        <w:rPr>
          <w:lang w:eastAsia="ko-KR"/>
        </w:rPr>
        <w:t>GT</w:t>
      </w:r>
      <w:r w:rsidR="001E7601" w:rsidRPr="00022BA7">
        <w:t xml:space="preserve">, </w:t>
      </w:r>
      <w:r w:rsidR="001E7601">
        <w:t>contains</w:t>
      </w:r>
      <w:r w:rsidR="001E7601" w:rsidRPr="00022BA7">
        <w:t xml:space="preserve"> smaller-than-average ships </w:t>
      </w:r>
      <w:r w:rsidR="001E7601">
        <w:t>for</w:t>
      </w:r>
      <w:r w:rsidR="001E7601" w:rsidRPr="00022BA7">
        <w:t xml:space="preserve"> their type and </w:t>
      </w:r>
      <w:r w:rsidR="001E7601">
        <w:t>is therefore not representative of those vessels</w:t>
      </w:r>
      <w:r w:rsidR="001E7601" w:rsidRPr="00022BA7">
        <w:t>.</w:t>
      </w:r>
    </w:p>
    <w:p w14:paraId="1B4200E0" w14:textId="77777777" w:rsidR="00E42256" w:rsidRPr="00022BA7" w:rsidRDefault="00E42256" w:rsidP="001E7601"/>
    <w:p w14:paraId="5AF4A467" w14:textId="3AA07283" w:rsidR="001E7601" w:rsidRPr="00022BA7" w:rsidRDefault="001E7601" w:rsidP="001E7601">
      <w:pPr>
        <w:rPr>
          <w:lang w:eastAsia="ko-KR"/>
        </w:rPr>
      </w:pPr>
      <w:r w:rsidRPr="00022BA7">
        <w:t>The subtotal of the four vessel</w:t>
      </w:r>
      <w:r>
        <w:t xml:space="preserve"> types</w:t>
      </w:r>
      <w:r w:rsidRPr="00022BA7">
        <w:t xml:space="preserve"> is 2,716, with </w:t>
      </w:r>
      <w:r>
        <w:t>an</w:t>
      </w:r>
      <w:r w:rsidRPr="00022BA7">
        <w:t xml:space="preserve"> average GT of 266, average </w:t>
      </w:r>
      <w:r>
        <w:t xml:space="preserve">main engine </w:t>
      </w:r>
      <w:r w:rsidRPr="00022BA7">
        <w:t xml:space="preserve">capacity of 1.9 MW, and average </w:t>
      </w:r>
      <w:r>
        <w:t xml:space="preserve">2021 </w:t>
      </w:r>
      <w:r w:rsidRPr="00022BA7">
        <w:t xml:space="preserve">distance travelled </w:t>
      </w:r>
      <w:r>
        <w:t xml:space="preserve">of </w:t>
      </w:r>
      <w:r w:rsidRPr="00022BA7">
        <w:t xml:space="preserve">29,835 km. Among the four </w:t>
      </w:r>
      <w:r>
        <w:t xml:space="preserve">ship </w:t>
      </w:r>
      <w:r w:rsidRPr="00022BA7">
        <w:t xml:space="preserve">types, the Tug </w:t>
      </w:r>
      <w:r w:rsidRPr="00022BA7">
        <w:lastRenderedPageBreak/>
        <w:t xml:space="preserve">(ATB) presented the most notable differences </w:t>
      </w:r>
      <w:r w:rsidR="00957F20">
        <w:t>across</w:t>
      </w:r>
      <w:r w:rsidR="00957F20" w:rsidRPr="00022BA7">
        <w:t xml:space="preserve"> </w:t>
      </w:r>
      <w:r w:rsidRPr="00022BA7">
        <w:t xml:space="preserve">the three </w:t>
      </w:r>
      <w:r>
        <w:t>categories:</w:t>
      </w:r>
      <w:r w:rsidRPr="00022BA7">
        <w:t xml:space="preserve"> GT, engine capacity, and travel distance are 2.3, 2.0, and 1.8 times higher than the overall average</w:t>
      </w:r>
      <w:r>
        <w:t>s</w:t>
      </w:r>
      <w:r w:rsidRPr="00022BA7">
        <w:t xml:space="preserve">, respectively. </w:t>
      </w:r>
      <w:r>
        <w:t>T</w:t>
      </w:r>
      <w:r w:rsidRPr="00022BA7">
        <w:t xml:space="preserve">he three </w:t>
      </w:r>
      <w:r>
        <w:t xml:space="preserve">non-ATB ship types </w:t>
      </w:r>
      <w:r w:rsidRPr="00022BA7">
        <w:t xml:space="preserve">showed </w:t>
      </w:r>
      <w:r w:rsidR="00957F20">
        <w:t xml:space="preserve">more </w:t>
      </w:r>
      <w:r w:rsidRPr="00022BA7">
        <w:t>similar</w:t>
      </w:r>
      <w:r>
        <w:t>ities</w:t>
      </w:r>
      <w:r w:rsidRPr="00022BA7">
        <w:t xml:space="preserve"> across the three </w:t>
      </w:r>
      <w:r>
        <w:t>categories</w:t>
      </w:r>
      <w:r w:rsidRPr="00022BA7">
        <w:t>.</w:t>
      </w:r>
    </w:p>
    <w:p w14:paraId="437A1838" w14:textId="77777777" w:rsidR="001E7601" w:rsidRPr="00022BA7" w:rsidRDefault="001E7601" w:rsidP="001E7601"/>
    <w:p w14:paraId="06612B17" w14:textId="73D0F77E" w:rsidR="00EA799D" w:rsidRPr="00022BA7" w:rsidRDefault="007A2D0C" w:rsidP="00EA799D">
      <w:r>
        <w:fldChar w:fldCharType="begin"/>
      </w:r>
      <w:r>
        <w:instrText xml:space="preserve"> REF _Ref144851829 \h </w:instrText>
      </w:r>
      <w:r>
        <w:fldChar w:fldCharType="separate"/>
      </w:r>
      <w:r w:rsidR="00C661AC">
        <w:t xml:space="preserve">Supplementary </w:t>
      </w:r>
      <w:r w:rsidR="00C661AC" w:rsidRPr="00022BA7">
        <w:t xml:space="preserve">Figure </w:t>
      </w:r>
      <w:r w:rsidR="00C661AC">
        <w:rPr>
          <w:noProof/>
        </w:rPr>
        <w:t>2</w:t>
      </w:r>
      <w:r>
        <w:fldChar w:fldCharType="end"/>
      </w:r>
      <w:r>
        <w:t xml:space="preserve"> </w:t>
      </w:r>
      <w:r w:rsidR="00EA799D" w:rsidRPr="00022BA7">
        <w:t>presents a bar graph show</w:t>
      </w:r>
      <w:r w:rsidR="00EA799D">
        <w:t>ing</w:t>
      </w:r>
      <w:r w:rsidR="00EA799D" w:rsidRPr="00022BA7">
        <w:t xml:space="preserve"> the distribution of GT among the 2,722 </w:t>
      </w:r>
      <w:r w:rsidR="00EA799D">
        <w:t>ships in the</w:t>
      </w:r>
      <w:r w:rsidR="00EA799D" w:rsidRPr="00022BA7">
        <w:t xml:space="preserve"> AIS Analyzed Subset, </w:t>
      </w:r>
      <w:r w:rsidR="00EA799D">
        <w:t>categorized</w:t>
      </w:r>
      <w:r w:rsidR="00EA799D" w:rsidRPr="00022BA7">
        <w:t xml:space="preserve"> by the</w:t>
      </w:r>
      <w:r w:rsidR="00EA799D">
        <w:t>ir</w:t>
      </w:r>
      <w:r w:rsidR="00EA799D" w:rsidRPr="00022BA7">
        <w:t xml:space="preserve"> state of registration. The graph </w:t>
      </w:r>
      <w:r w:rsidR="00EA799D">
        <w:t>focuses on</w:t>
      </w:r>
      <w:r w:rsidR="00EA799D" w:rsidRPr="00022BA7">
        <w:t xml:space="preserve"> the top 10 states, </w:t>
      </w:r>
      <w:r w:rsidR="00EA799D">
        <w:t xml:space="preserve">which were </w:t>
      </w:r>
      <w:r w:rsidR="00EA799D" w:rsidRPr="00022BA7">
        <w:t>calculated based on the</w:t>
      </w:r>
      <w:r w:rsidR="00EA799D">
        <w:t>ir</w:t>
      </w:r>
      <w:r w:rsidR="00EA799D" w:rsidRPr="00022BA7">
        <w:t xml:space="preserve"> cumulative GT of </w:t>
      </w:r>
      <w:r w:rsidR="00EA799D">
        <w:t xml:space="preserve">these </w:t>
      </w:r>
      <w:r w:rsidR="00EA799D" w:rsidRPr="00022BA7">
        <w:t xml:space="preserve">vessels. </w:t>
      </w:r>
      <w:r w:rsidR="00EA799D">
        <w:t>The</w:t>
      </w:r>
      <w:r w:rsidR="00EA799D" w:rsidRPr="00022BA7">
        <w:t xml:space="preserve"> ratio on the right axis compares the cumulative GT of the AIS Analyzed Subset vessels with the </w:t>
      </w:r>
      <w:r w:rsidR="00EA799D">
        <w:t>cumulative</w:t>
      </w:r>
      <w:r w:rsidR="00EA799D" w:rsidRPr="00022BA7">
        <w:t xml:space="preserve"> GT from </w:t>
      </w:r>
      <w:r w:rsidR="00EA799D">
        <w:t xml:space="preserve">the </w:t>
      </w:r>
      <w:r w:rsidR="00EA799D" w:rsidRPr="00022BA7">
        <w:t>Integrated Ship Database</w:t>
      </w:r>
      <w:r w:rsidR="00EA799D">
        <w:t xml:space="preserve"> and Domestic Fleet</w:t>
      </w:r>
      <w:r w:rsidR="00EA799D" w:rsidRPr="00022BA7">
        <w:t xml:space="preserve"> in each state.</w:t>
      </w:r>
      <w:r w:rsidR="00EA799D">
        <w:t xml:space="preserve"> </w:t>
      </w:r>
    </w:p>
    <w:p w14:paraId="58BEB40C" w14:textId="77777777" w:rsidR="00EA799D" w:rsidRPr="00022BA7" w:rsidRDefault="00EA799D" w:rsidP="00EA799D"/>
    <w:p w14:paraId="270E0E06" w14:textId="210D6A00" w:rsidR="00EA799D" w:rsidRPr="00022BA7" w:rsidRDefault="00EA799D" w:rsidP="00EA799D">
      <w:r w:rsidRPr="00022BA7">
        <w:t xml:space="preserve">On a state-by-state basis, Louisiana and Texas </w:t>
      </w:r>
      <w:r>
        <w:t>ranked</w:t>
      </w:r>
      <w:r w:rsidRPr="00022BA7">
        <w:t xml:space="preserve"> first and second</w:t>
      </w:r>
      <w:r>
        <w:t>,</w:t>
      </w:r>
      <w:r w:rsidRPr="00022BA7">
        <w:t xml:space="preserve"> respectively. The vessels in the AIS Analyzed Subset </w:t>
      </w:r>
      <w:r>
        <w:t xml:space="preserve">that are </w:t>
      </w:r>
      <w:r w:rsidRPr="00022BA7">
        <w:t xml:space="preserve">registered in Louisiana are 2.5 times larger than those in Texas. The fact that Texas and Louisiana are located at the junction of the Gulf Coast and the Mississippi River </w:t>
      </w:r>
      <w:r>
        <w:t>s</w:t>
      </w:r>
      <w:r w:rsidRPr="00022BA7">
        <w:t xml:space="preserve">ystem, and that 86% of the AIS Analyzed Subset consists of Tug (Coastal-Harbor) and Tug (Inland-Push Boats) </w:t>
      </w:r>
      <w:r>
        <w:t>help</w:t>
      </w:r>
      <w:r w:rsidR="00957F20">
        <w:t>s</w:t>
      </w:r>
      <w:r>
        <w:t xml:space="preserve"> explain</w:t>
      </w:r>
      <w:r w:rsidRPr="00022BA7">
        <w:t xml:space="preserve"> this observation.</w:t>
      </w:r>
    </w:p>
    <w:p w14:paraId="613CB19A" w14:textId="77777777" w:rsidR="00EA799D" w:rsidRPr="00022BA7" w:rsidRDefault="00EA799D" w:rsidP="00EA799D"/>
    <w:p w14:paraId="70764E57" w14:textId="560B52B8" w:rsidR="00EA799D" w:rsidRDefault="00EA799D" w:rsidP="00EA799D">
      <w:r w:rsidRPr="00022BA7">
        <w:t xml:space="preserve">Tugs </w:t>
      </w:r>
      <w:r>
        <w:t>represent</w:t>
      </w:r>
      <w:r w:rsidRPr="00022BA7">
        <w:t xml:space="preserve"> the majority of GT in every state, ranging from 62% to 100%. In New York, Delaware, and California, Tug (ATB) vessels are particularly prevalent. Conversely, Tug (Inland-Push Boats) </w:t>
      </w:r>
      <w:r>
        <w:t xml:space="preserve">are more prevalent </w:t>
      </w:r>
      <w:r w:rsidRPr="00022BA7">
        <w:t xml:space="preserve">in inland states such as Kentucky, Tennessee, and Indiana. Among the top 10 states, California has the most passenger ships in terms of both GT </w:t>
      </w:r>
      <w:r>
        <w:t>(</w:t>
      </w:r>
      <w:r w:rsidRPr="00022BA7">
        <w:t>11,949</w:t>
      </w:r>
      <w:r>
        <w:t>)</w:t>
      </w:r>
      <w:r w:rsidRPr="00022BA7">
        <w:t xml:space="preserve"> and share</w:t>
      </w:r>
      <w:r>
        <w:t xml:space="preserve"> (</w:t>
      </w:r>
      <w:r w:rsidRPr="00022BA7">
        <w:t>37.8%</w:t>
      </w:r>
      <w:r>
        <w:t>)</w:t>
      </w:r>
      <w:r w:rsidRPr="00022BA7">
        <w:t>. The proportion of ships in the AIS Analyzed Subset compare</w:t>
      </w:r>
      <w:r>
        <w:t>d</w:t>
      </w:r>
      <w:r w:rsidRPr="00022BA7">
        <w:t xml:space="preserve"> to </w:t>
      </w:r>
      <w:r>
        <w:t xml:space="preserve">the </w:t>
      </w:r>
      <w:r w:rsidRPr="00022BA7">
        <w:t xml:space="preserve">Integrated Ship Database is lowest in Delaware at 2%, and highest in Kentucky at 46%. The relatively low figure for Delaware can be attributed to </w:t>
      </w:r>
      <w:r>
        <w:t>the</w:t>
      </w:r>
      <w:r w:rsidRPr="00022BA7">
        <w:t xml:space="preserve"> vast GT of </w:t>
      </w:r>
      <w:r>
        <w:t xml:space="preserve">its </w:t>
      </w:r>
      <w:r w:rsidRPr="00022BA7">
        <w:t>registered ships totaling 2,623,074, includ</w:t>
      </w:r>
      <w:r>
        <w:t>ing</w:t>
      </w:r>
      <w:r w:rsidRPr="00022BA7">
        <w:t xml:space="preserve"> large GT (&gt;1000) ships such as Bulk Carriers, Tankers, Containers, and Ro-Ro ships. </w:t>
      </w:r>
    </w:p>
    <w:p w14:paraId="0B713231" w14:textId="77777777" w:rsidR="001B0C39" w:rsidRPr="00022BA7" w:rsidRDefault="001B0C39" w:rsidP="00EA799D"/>
    <w:p w14:paraId="22D00F3B" w14:textId="7511C977" w:rsidR="00EA799D" w:rsidRDefault="00EA799D" w:rsidP="00B77DF1">
      <w:pPr>
        <w:pStyle w:val="Caption"/>
      </w:pPr>
      <w:r w:rsidRPr="00022BA7">
        <w:rPr>
          <w:rFonts w:cstheme="minorBidi"/>
          <w:b w:val="0"/>
          <w:noProof/>
          <w:szCs w:val="22"/>
        </w:rPr>
        <w:t xml:space="preserve"> </w:t>
      </w:r>
      <w:r w:rsidR="00EF0ED3" w:rsidRPr="00EF0ED3">
        <w:rPr>
          <w:noProof/>
        </w:rPr>
        <w:t xml:space="preserve"> </w:t>
      </w:r>
    </w:p>
    <w:p w14:paraId="52E08162" w14:textId="78B14F26" w:rsidR="00D46A26" w:rsidRDefault="00D46A26">
      <w:pPr>
        <w:widowControl/>
        <w:spacing w:line="240" w:lineRule="auto"/>
      </w:pPr>
      <w:r>
        <w:br w:type="page"/>
      </w:r>
    </w:p>
    <w:bookmarkEnd w:id="68"/>
    <w:p w14:paraId="71F6FD61" w14:textId="77777777" w:rsidR="006F20B8" w:rsidRPr="00022BA7" w:rsidRDefault="006F20B8" w:rsidP="006F20B8"/>
    <w:p w14:paraId="125603F1" w14:textId="7E1306B4" w:rsidR="00CC606C" w:rsidRPr="006600D4" w:rsidRDefault="00FF579C" w:rsidP="00705B48">
      <w:pPr>
        <w:rPr>
          <w:rFonts w:cs="Times New Roman"/>
          <w:b/>
          <w:szCs w:val="20"/>
        </w:rPr>
      </w:pPr>
      <w:r>
        <w:t xml:space="preserve">As </w:t>
      </w:r>
      <w:r w:rsidR="008E42ED">
        <w:fldChar w:fldCharType="begin"/>
      </w:r>
      <w:r w:rsidR="008E42ED">
        <w:instrText xml:space="preserve"> REF _Ref145580116 \h </w:instrText>
      </w:r>
      <w:r w:rsidR="008E42ED">
        <w:fldChar w:fldCharType="separate"/>
      </w:r>
      <w:r w:rsidR="00C661AC">
        <w:t xml:space="preserve">Supplementary </w:t>
      </w:r>
      <w:r w:rsidR="00C661AC" w:rsidRPr="00022BA7">
        <w:t xml:space="preserve">Table </w:t>
      </w:r>
      <w:r w:rsidR="00C661AC">
        <w:rPr>
          <w:noProof/>
        </w:rPr>
        <w:t>5</w:t>
      </w:r>
      <w:r w:rsidR="008E42ED">
        <w:fldChar w:fldCharType="end"/>
      </w:r>
      <w:r w:rsidR="008E42ED">
        <w:t xml:space="preserve"> summarizes, </w:t>
      </w:r>
      <w:r w:rsidR="00543181">
        <w:t>t</w:t>
      </w:r>
      <w:r w:rsidR="006F20B8" w:rsidRPr="00022BA7">
        <w:t>he USCG, IHS, and USACE provide ship lists with their own sets of data</w:t>
      </w:r>
      <w:r w:rsidR="00602524">
        <w:t xml:space="preserve">. </w:t>
      </w:r>
      <w:r w:rsidR="006F20B8" w:rsidRPr="00022BA7">
        <w:t xml:space="preserve">However, the differences in the provided data make it challenging to merge them. The desired information includes the following details for each ship: </w:t>
      </w:r>
    </w:p>
    <w:p w14:paraId="14F6E269" w14:textId="77777777" w:rsidR="00CC606C" w:rsidRPr="00022BA7" w:rsidRDefault="006F20B8" w:rsidP="00CC606C">
      <w:pPr>
        <w:pStyle w:val="ListParagraph"/>
        <w:numPr>
          <w:ilvl w:val="0"/>
          <w:numId w:val="41"/>
        </w:numPr>
      </w:pPr>
      <w:r w:rsidRPr="00022BA7">
        <w:t>Maritime Mobile Service Identity (MMSI): MMSI is necessary to obtain AIS data by each ship.</w:t>
      </w:r>
    </w:p>
    <w:p w14:paraId="1FB19BAB" w14:textId="21273D7D" w:rsidR="006F20B8" w:rsidRPr="00022BA7" w:rsidRDefault="006F20B8" w:rsidP="00CC606C">
      <w:pPr>
        <w:pStyle w:val="ListParagraph"/>
        <w:numPr>
          <w:ilvl w:val="0"/>
          <w:numId w:val="41"/>
        </w:numPr>
      </w:pPr>
      <w:r w:rsidRPr="00022BA7">
        <w:t>Ship specifications, especially power capacity and maximum speed: Power capacities of main and auxiliary engine and max speed are essential data for calculating the ship</w:t>
      </w:r>
      <w:r w:rsidR="00190F27">
        <w:t>’</w:t>
      </w:r>
      <w:r w:rsidRPr="00022BA7">
        <w:t>s consumptions</w:t>
      </w:r>
      <w:r w:rsidR="00CC606C" w:rsidRPr="00022BA7">
        <w:t>.</w:t>
      </w:r>
    </w:p>
    <w:p w14:paraId="7C3E0F28" w14:textId="77777777" w:rsidR="00957F20" w:rsidRDefault="00957F20" w:rsidP="006F20B8"/>
    <w:p w14:paraId="7BADA4EB" w14:textId="0D6C05B9" w:rsidR="006F20B8" w:rsidRPr="00022BA7" w:rsidRDefault="006F20B8" w:rsidP="006F20B8">
      <w:r w:rsidRPr="00022BA7">
        <w:t xml:space="preserve">However, several challenges need to be addressed: </w:t>
      </w:r>
    </w:p>
    <w:p w14:paraId="4F9CB53F" w14:textId="77777777" w:rsidR="006F20B8" w:rsidRPr="00022BA7" w:rsidRDefault="006F20B8" w:rsidP="00CC606C">
      <w:pPr>
        <w:pStyle w:val="ListParagraph"/>
        <w:widowControl/>
        <w:numPr>
          <w:ilvl w:val="0"/>
          <w:numId w:val="42"/>
        </w:numPr>
        <w:spacing w:after="160" w:line="259" w:lineRule="auto"/>
        <w:ind w:right="0"/>
        <w:jc w:val="both"/>
      </w:pPr>
      <w:r w:rsidRPr="00022BA7">
        <w:t>Varying ship inclusion: The ships included in each list differ, with some ships present in multiple lists while others are only in a single list.</w:t>
      </w:r>
    </w:p>
    <w:p w14:paraId="49E1FEB0" w14:textId="77777777" w:rsidR="006F20B8" w:rsidRPr="00022BA7" w:rsidRDefault="006F20B8" w:rsidP="00CC606C">
      <w:pPr>
        <w:pStyle w:val="ListParagraph"/>
        <w:widowControl/>
        <w:numPr>
          <w:ilvl w:val="0"/>
          <w:numId w:val="42"/>
        </w:numPr>
        <w:spacing w:after="160" w:line="259" w:lineRule="auto"/>
        <w:ind w:right="0"/>
        <w:jc w:val="both"/>
      </w:pPr>
      <w:r w:rsidRPr="00022BA7">
        <w:t>Limited shared identifiers: It would be beneficial to have a shared identifier other than the ship name for ships present in multiple lists. However, many ships only have the ship name as a common identifier.</w:t>
      </w:r>
    </w:p>
    <w:p w14:paraId="7DF486BE" w14:textId="1B503A51" w:rsidR="006F20B8" w:rsidRPr="00022BA7" w:rsidRDefault="006F20B8" w:rsidP="006F20B8">
      <w:r w:rsidRPr="00022BA7">
        <w:t xml:space="preserve">To overcome these challenges, the merging process is done </w:t>
      </w:r>
      <w:r w:rsidR="004E1E39">
        <w:t xml:space="preserve">using </w:t>
      </w:r>
      <w:r w:rsidRPr="00022BA7">
        <w:t>two methods:</w:t>
      </w:r>
    </w:p>
    <w:p w14:paraId="28E21AF0" w14:textId="0D33FAED" w:rsidR="006F20B8" w:rsidRPr="00022BA7" w:rsidRDefault="006F20B8" w:rsidP="006F20B8">
      <w:pPr>
        <w:pStyle w:val="ListParagraph"/>
        <w:widowControl/>
        <w:numPr>
          <w:ilvl w:val="0"/>
          <w:numId w:val="25"/>
        </w:numPr>
        <w:spacing w:after="160" w:line="259" w:lineRule="auto"/>
        <w:ind w:right="0"/>
        <w:jc w:val="both"/>
      </w:pPr>
      <w:r w:rsidRPr="00022BA7">
        <w:t xml:space="preserve">Identifying based on shared IDs: If ship data is found in more than one list and can be identified using the </w:t>
      </w:r>
      <w:r w:rsidR="004E2DEB" w:rsidRPr="004E2DEB">
        <w:t>International Maritime Organization</w:t>
      </w:r>
      <w:r w:rsidR="004E2DEB">
        <w:t xml:space="preserve"> (</w:t>
      </w:r>
      <w:r w:rsidRPr="00022BA7">
        <w:t>IMO</w:t>
      </w:r>
      <w:r w:rsidR="004E2DEB">
        <w:t>)</w:t>
      </w:r>
      <w:r w:rsidRPr="00022BA7">
        <w:t xml:space="preserve"> number, MMSI, or CG number, the ship data is merged from the respective lists. However, since multiple ships may share the same call sign, ship data is not merged solely based on call sign.</w:t>
      </w:r>
    </w:p>
    <w:p w14:paraId="05304308" w14:textId="7CEC396A" w:rsidR="006F20B8" w:rsidRPr="00022BA7" w:rsidRDefault="006F20B8" w:rsidP="006F20B8">
      <w:pPr>
        <w:pStyle w:val="ListParagraph"/>
        <w:widowControl/>
        <w:numPr>
          <w:ilvl w:val="0"/>
          <w:numId w:val="25"/>
        </w:numPr>
        <w:spacing w:after="160" w:line="259" w:lineRule="auto"/>
        <w:ind w:right="0"/>
        <w:jc w:val="both"/>
      </w:pPr>
      <w:r w:rsidRPr="00022BA7">
        <w:t xml:space="preserve">Identifying with ship name and verifying with specifications: Despite the limitations of insufficient IDs, ships lists may still share the same ship name. When multiple datasets contain the same ship name, it is crucial to consider the possibility that these vessels may be distinct vessels, especially since certain names, like </w:t>
      </w:r>
      <w:r w:rsidR="00190F27">
        <w:t>“</w:t>
      </w:r>
      <w:r w:rsidRPr="00022BA7">
        <w:t>Freedom,</w:t>
      </w:r>
      <w:r w:rsidR="00190F27">
        <w:t>”</w:t>
      </w:r>
      <w:r w:rsidRPr="00022BA7">
        <w:t xml:space="preserve"> are quite popular. To address this, a similarity verification is conducted for ships with the same name but no unique identifiers. Factors such as call sign, GT, year of build, and length are compared. If there is a discrepancy of two years or more in the year of build, the ships are deemed separate.</w:t>
      </w:r>
    </w:p>
    <w:p w14:paraId="3BE3364F" w14:textId="555BD58C" w:rsidR="00186A21" w:rsidRDefault="006F20B8" w:rsidP="00186A21">
      <w:pPr>
        <w:shd w:val="clear" w:color="auto" w:fill="FFFFFF" w:themeFill="background1"/>
      </w:pPr>
      <w:r w:rsidRPr="00022BA7">
        <w:t>The merging process starts based on the USCG data, followed by the USACE, IHS, and AIS lists. When merging the USCG and USACE lists, only the USCG number is used for the identification test because all USCG and most USACE ships</w:t>
      </w:r>
      <w:r w:rsidR="00190F27">
        <w:t>’</w:t>
      </w:r>
      <w:r w:rsidRPr="00022BA7">
        <w:t xml:space="preserve"> data include the USCG number. When merging the IHS list with the USCG-USACE list, the IMO number is used initially. Subsequently, a similarity check is performed using ship name, </w:t>
      </w:r>
      <w:r w:rsidR="00446DB7">
        <w:t>GT</w:t>
      </w:r>
      <w:r w:rsidRPr="00022BA7">
        <w:t>, and year of build since these data are available for most ships in both datasets. Finally, the AIS data is merged based on the MMSI and IMO numbers. Further merging is then conducted based on similarity checks using ship name, call sign, and length. It is important to note that in the AIS list, ship data that do not find a match are disregarded due to the absence of nationality flags in the AIS data. This study specifically focuses on U</w:t>
      </w:r>
      <w:r w:rsidR="004E1E39">
        <w:t>.</w:t>
      </w:r>
      <w:r w:rsidRPr="00022BA7">
        <w:t>S</w:t>
      </w:r>
      <w:r w:rsidR="004E1E39">
        <w:t xml:space="preserve">. </w:t>
      </w:r>
      <w:r w:rsidRPr="00022BA7">
        <w:t>flag ships, thus ships without a match are excluded from the analysis.</w:t>
      </w:r>
    </w:p>
    <w:p w14:paraId="3F1C3506" w14:textId="77777777" w:rsidR="003C0F14" w:rsidRDefault="003C0F14" w:rsidP="00186A21">
      <w:pPr>
        <w:shd w:val="clear" w:color="auto" w:fill="FFFFFF" w:themeFill="background1"/>
      </w:pPr>
    </w:p>
    <w:p w14:paraId="34BF784D" w14:textId="39412674" w:rsidR="00413960" w:rsidRPr="00BD3D6F" w:rsidRDefault="005317A3">
      <w:pPr>
        <w:pStyle w:val="Heading3"/>
      </w:pPr>
      <w:bookmarkStart w:id="69" w:name="_Toc144384103"/>
      <w:bookmarkStart w:id="70" w:name="_Toc144388792"/>
      <w:bookmarkStart w:id="71" w:name="_Toc144390205"/>
      <w:bookmarkStart w:id="72" w:name="_Ref144852563"/>
      <w:bookmarkStart w:id="73" w:name="_Toc138986336"/>
      <w:r w:rsidRPr="00BD3D6F">
        <w:t>Imputation of Missing Specificati</w:t>
      </w:r>
      <w:r w:rsidR="00BE4390" w:rsidRPr="00BD3D6F">
        <w:t>o</w:t>
      </w:r>
      <w:r w:rsidRPr="00BD3D6F">
        <w:t>n Data</w:t>
      </w:r>
      <w:bookmarkEnd w:id="69"/>
      <w:bookmarkEnd w:id="70"/>
      <w:bookmarkEnd w:id="71"/>
      <w:bookmarkEnd w:id="72"/>
    </w:p>
    <w:p w14:paraId="75AF56F9" w14:textId="2836950B" w:rsidR="0029796E" w:rsidRPr="00022BA7" w:rsidRDefault="0029796E" w:rsidP="0029796E">
      <w:r w:rsidRPr="00022BA7">
        <w:t xml:space="preserve">To analyze the energy usage of each ship, the capacity of </w:t>
      </w:r>
      <w:r>
        <w:t xml:space="preserve">the </w:t>
      </w:r>
      <w:r w:rsidRPr="00022BA7">
        <w:t>main and auxiliary engine</w:t>
      </w:r>
      <w:r>
        <w:t>s</w:t>
      </w:r>
      <w:r w:rsidRPr="00022BA7">
        <w:t xml:space="preserve"> and </w:t>
      </w:r>
      <w:r>
        <w:t xml:space="preserve">the </w:t>
      </w:r>
      <w:r w:rsidRPr="00022BA7">
        <w:t>maximum speed for each vessel</w:t>
      </w:r>
      <w:r>
        <w:t xml:space="preserve"> must be known</w:t>
      </w:r>
      <w:r w:rsidRPr="00022BA7">
        <w:t xml:space="preserve">. However, ship lists often lack completeness </w:t>
      </w:r>
      <w:r w:rsidR="00957F20">
        <w:t>with</w:t>
      </w:r>
      <w:r w:rsidRPr="00022BA7">
        <w:t xml:space="preserve"> these parameters.</w:t>
      </w:r>
      <w:r w:rsidR="00D954A9">
        <w:t xml:space="preserve"> </w:t>
      </w:r>
      <w:r w:rsidR="00D954A9">
        <w:fldChar w:fldCharType="begin"/>
      </w:r>
      <w:r w:rsidR="00D954A9">
        <w:instrText xml:space="preserve"> REF _Ref144852006 \h </w:instrText>
      </w:r>
      <w:r w:rsidR="00D954A9">
        <w:fldChar w:fldCharType="separate"/>
      </w:r>
      <w:r w:rsidR="00C661AC">
        <w:t xml:space="preserve">Supplementary </w:t>
      </w:r>
      <w:r w:rsidR="00C661AC" w:rsidRPr="00022BA7">
        <w:t xml:space="preserve">Figure </w:t>
      </w:r>
      <w:r w:rsidR="00C661AC">
        <w:rPr>
          <w:noProof/>
        </w:rPr>
        <w:t>4</w:t>
      </w:r>
      <w:r w:rsidR="00D954A9">
        <w:fldChar w:fldCharType="end"/>
      </w:r>
      <w:r w:rsidRPr="00022BA7">
        <w:t xml:space="preserve"> shows the trend of available data in the Domestic Fleet</w:t>
      </w:r>
      <w:r>
        <w:t xml:space="preserve"> (i.e.,</w:t>
      </w:r>
      <w:r w:rsidRPr="00022BA7">
        <w:t xml:space="preserve"> 6,323 ships with GT between 50-1000</w:t>
      </w:r>
      <w:r>
        <w:t>)</w:t>
      </w:r>
      <w:r w:rsidRPr="00022BA7">
        <w:t xml:space="preserve">. Although GT and length data are widely available (100% and 96%, respectively), main engine capacity data are available for 75% of the ships, mostly from the USACE dataset. Only a small number of ships provided auxiliary engine capacity (9%) and reference speed </w:t>
      </w:r>
      <w:r w:rsidRPr="00022BA7">
        <w:lastRenderedPageBreak/>
        <w:t xml:space="preserve">(15%), including maximum and/or service speeds. </w:t>
      </w:r>
      <w:r>
        <w:t>The</w:t>
      </w:r>
      <w:r w:rsidRPr="00022BA7">
        <w:t xml:space="preserve"> missing data </w:t>
      </w:r>
      <w:r>
        <w:t xml:space="preserve">to enable energy usage calculations </w:t>
      </w:r>
      <w:r w:rsidRPr="00022BA7">
        <w:t>are estimated as described in this subsection.</w:t>
      </w:r>
    </w:p>
    <w:p w14:paraId="2937E019" w14:textId="77777777" w:rsidR="0062672D" w:rsidRDefault="0062672D" w:rsidP="009A0E66">
      <w:pPr>
        <w:pStyle w:val="Caption"/>
        <w:spacing w:after="240"/>
      </w:pPr>
    </w:p>
    <w:p w14:paraId="0F67FA69" w14:textId="77777777" w:rsidR="00F3745B" w:rsidRPr="00022BA7" w:rsidRDefault="00F3745B">
      <w:pPr>
        <w:pStyle w:val="Heading3"/>
      </w:pPr>
      <w:bookmarkStart w:id="74" w:name="_Ref144852646"/>
      <w:r w:rsidRPr="00022BA7">
        <w:t>Reference Speed</w:t>
      </w:r>
      <w:bookmarkEnd w:id="74"/>
    </w:p>
    <w:p w14:paraId="22FE4A64" w14:textId="6BAFEA54" w:rsidR="00F3745B" w:rsidRPr="00022BA7" w:rsidRDefault="00F3745B" w:rsidP="00F3745B">
      <w:r w:rsidRPr="00022BA7">
        <w:t>Reference speed of each ship is required to estimate the propulsion power demand based on SOG. The speed data is sourced from the IHS list, which provides two types of speed: maximum speed and service speed</w:t>
      </w:r>
      <w:r w:rsidR="00A93BBA">
        <w:fldChar w:fldCharType="begin"/>
      </w:r>
      <w:r w:rsidR="00A93BBA">
        <w:instrText xml:space="preserve"> ADDIN ZOTERO_ITEM CSL_CITATION {"citationID":"7aelleoq","properties":{"formattedCitation":"\\super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A93BBA">
        <w:fldChar w:fldCharType="separate"/>
      </w:r>
      <w:r w:rsidR="00A93BBA" w:rsidRPr="00A93BBA">
        <w:rPr>
          <w:rFonts w:cs="Times New Roman"/>
          <w:szCs w:val="24"/>
          <w:vertAlign w:val="superscript"/>
        </w:rPr>
        <w:t>3</w:t>
      </w:r>
      <w:r w:rsidR="00A93BBA">
        <w:fldChar w:fldCharType="end"/>
      </w:r>
      <w:r w:rsidRPr="00022BA7">
        <w:t>. Previous studies utilized maximum speed as the reference speed for each ship, if it were available</w:t>
      </w:r>
      <w:r w:rsidR="00A93BBA">
        <w:fldChar w:fldCharType="begin"/>
      </w:r>
      <w:r w:rsidR="00C61E16">
        <w:instrText xml:space="preserve"> ADDIN ZOTERO_ITEM CSL_CITATION {"citationID":"yLeOXeDC","properties":{"formattedCitation":"\\super 7,8\\nosupersub{}","plainCitation":"7,8","noteIndex":0},"citationItems":[{"id":216,"uris":["http://zotero.org/users/12468222/items/RYQQYRCQ"],"itemData":{"id":216,"type":"report","publisher":"International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Organization"}],"accessed":{"date-parts":[["2023",9,26]]},"issued":{"date-parts":[["2020"]]}}},{"id":193,"uris":["http://zotero.org/users/12468222/items/BC5BXSHK"],"itemData":{"id":193,"type":"report","publisher":"Eastern Research Group, Inc.","title":"Category 1 and 2 Commercial Marine Vessel 2020 Emissions Inventory","URL":"https://gaftp.epa.gov/air/nei/2020/doc/supporting_data/nonpoint/CMV/2020NEI_C1C2_Documentation.pdf","author":[{"literal":"Eastern Research Group, Inc."}],"issued":{"date-parts":[["2022"]]}}}],"schema":"https://github.com/citation-style-language/schema/raw/master/csl-citation.json"} </w:instrText>
      </w:r>
      <w:r w:rsidR="00A93BBA">
        <w:fldChar w:fldCharType="separate"/>
      </w:r>
      <w:r w:rsidR="00C61E16" w:rsidRPr="00C61E16">
        <w:rPr>
          <w:rFonts w:cs="Times New Roman"/>
          <w:szCs w:val="24"/>
          <w:vertAlign w:val="superscript"/>
        </w:rPr>
        <w:t>7,8</w:t>
      </w:r>
      <w:r w:rsidR="00A93BBA">
        <w:fldChar w:fldCharType="end"/>
      </w:r>
      <w:r w:rsidRPr="00022BA7">
        <w:t xml:space="preserve">. For ship data </w:t>
      </w:r>
      <w:r>
        <w:t>where</w:t>
      </w:r>
      <w:r w:rsidRPr="00022BA7">
        <w:t xml:space="preserve"> maximum speed is not provided but service speed is provided, the reference speed can be estimated from the service speed</w:t>
      </w:r>
      <w:r w:rsidR="00AE4E69">
        <w:fldChar w:fldCharType="begin"/>
      </w:r>
      <w:r w:rsidR="00C61E16">
        <w:instrText xml:space="preserve"> ADDIN ZOTERO_ITEM CSL_CITATION {"citationID":"ASrwgD42","properties":{"formattedCitation":"\\super 9\\nosupersub{}","plainCitation":"9","noteIndex":0},"citationItems":[{"id":217,"uris":["http://zotero.org/users/12468222/items/RBG2PBGX"],"itemData":{"id":217,"type":"article-journal","abstract":"We present a comprehensive global shipping emission inventory and the global activities of ships for the year 2015. The emissions were evaluated using the Ship Traffic Emission Assessment Model (STEAM3), which uses Automatic Identification System data to describe the traffic activities of ships. We have improved the model regarding (i) the evaluation of the missing technical specifications of ships, and (ii) the treatment of shipping activities in case of sparse satellite AIS-data. We have developed a model for the collection and processing of available information on the technical specifications, using data assimilation techniques. We have also developed a path regeneration model that constructs, whenever necessary, the detailed geometry of the ship routes. The presented results for fuel consumption were qualitatively in agreement both with those in the 3rd Greenhouse Gas Study of the International Maritime Organisation and those reported by the International Energy Agency. We have also presented high-resolution global spatial distributions of the shipping emissions of NOx, CO2, SO2 and PM2.5. The emissions were also analysed in terms of selected sea areas, ship categories, the sizes of ships and flag states. The emission datasets provided by this study are available upon request; the datasets produced by the model can be utilized as input data for air quality modelling on a global scale, including the full temporal and spatial variation of shipping emissions for the first time. Dispersion modelling using this inventory as input can be used to assess the impacts of various emission abatement scenarios. The emission computation methods presented in this paper could also be used, e.g., to provide annual updates of the global ship emissions.","container-title":"Atmospheric Environment","DOI":"10.1016/j.atmosenv.2017.08.042","ISSN":"1352-2310","journalAbbreviation":"Atmospheric Environment","page":"403-415","source":"ScienceDirect","title":"Global assessment of shipping emissions in 2015 on a high spatial and temporal resolution","volume":"167","author":[{"family":"Johansson","given":"Lasse"},{"family":"Jalkanen","given":"Jukka-Pekka"},{"family":"Kukkonen","given":"Jaakko"}],"issued":{"date-parts":[["2017",10,1]]}}}],"schema":"https://github.com/citation-style-language/schema/raw/master/csl-citation.json"} </w:instrText>
      </w:r>
      <w:r w:rsidR="00AE4E69">
        <w:fldChar w:fldCharType="separate"/>
      </w:r>
      <w:r w:rsidR="00C61E16" w:rsidRPr="00C61E16">
        <w:rPr>
          <w:rFonts w:cs="Times New Roman"/>
          <w:szCs w:val="24"/>
          <w:vertAlign w:val="superscript"/>
        </w:rPr>
        <w:t>9</w:t>
      </w:r>
      <w:r w:rsidR="00AE4E69">
        <w:fldChar w:fldCharType="end"/>
      </w:r>
      <w:r w:rsidRPr="00022BA7">
        <w:t>. In</w:t>
      </w:r>
      <w:r w:rsidR="00C30BF4">
        <w:t xml:space="preserve"> </w:t>
      </w:r>
      <w:r w:rsidR="00C30BF4">
        <w:fldChar w:fldCharType="begin"/>
      </w:r>
      <w:r w:rsidR="00C30BF4">
        <w:instrText xml:space="preserve"> REF _Ref144852019 \h </w:instrText>
      </w:r>
      <w:r w:rsidR="00C30BF4">
        <w:fldChar w:fldCharType="separate"/>
      </w:r>
      <w:r w:rsidR="00C661AC">
        <w:t xml:space="preserve">Supplementary </w:t>
      </w:r>
      <w:r w:rsidR="00C661AC" w:rsidRPr="00022BA7">
        <w:t xml:space="preserve">Figure </w:t>
      </w:r>
      <w:r w:rsidR="00C661AC">
        <w:rPr>
          <w:noProof/>
        </w:rPr>
        <w:t>5</w:t>
      </w:r>
      <w:r w:rsidR="00C30BF4">
        <w:fldChar w:fldCharType="end"/>
      </w:r>
      <w:r w:rsidRPr="00022BA7">
        <w:t>, each point represents the two speeds when both speed data are available. The dotted line is the linear regression line between the two speeds. The high R-square</w:t>
      </w:r>
      <w:r>
        <w:t>d</w:t>
      </w:r>
      <w:r w:rsidRPr="00022BA7">
        <w:t xml:space="preserve"> value of 0.98, close to 1, indicates that the max speed estimated based on the service speed demonstrates a high level of accuracy. For ships where only service speed data is available, the reference speed was estimated as </w:t>
      </w:r>
      <w:r>
        <w:t xml:space="preserve">being </w:t>
      </w:r>
      <w:r w:rsidRPr="00022BA7">
        <w:t>approximately 1.11 times the IHS service speed.</w:t>
      </w:r>
    </w:p>
    <w:p w14:paraId="3456636E" w14:textId="3B9E3542" w:rsidR="00F3745B" w:rsidRPr="00022BA7" w:rsidRDefault="009C1647" w:rsidP="00446E21">
      <w:pPr>
        <w:keepNext/>
        <w:widowControl/>
      </w:pPr>
      <w:r w:rsidRPr="009C1647">
        <w:rPr>
          <w:noProof/>
        </w:rPr>
        <w:t xml:space="preserve"> </w:t>
      </w:r>
    </w:p>
    <w:p w14:paraId="713148C0" w14:textId="5246ED59" w:rsidR="00F3745B" w:rsidRPr="00022BA7" w:rsidRDefault="00F3745B" w:rsidP="00F3745B">
      <w:r w:rsidRPr="00022BA7">
        <w:t>If neither maximum nor service speed data were available, reference speed was extracted from historical AIS data</w:t>
      </w:r>
      <w:r>
        <w:t>, which</w:t>
      </w:r>
      <w:r w:rsidRPr="00022BA7">
        <w:t xml:space="preserve"> includes SOG. Johansson et al. found that relying on the 95th percentile value of a vessel</w:t>
      </w:r>
      <w:r w:rsidR="00190F27">
        <w:t>’</w:t>
      </w:r>
      <w:r w:rsidRPr="00022BA7">
        <w:t>s SOG from AIS data is a more accurate approach to estimat</w:t>
      </w:r>
      <w:r>
        <w:t>ing</w:t>
      </w:r>
      <w:r w:rsidRPr="00022BA7">
        <w:t xml:space="preserve"> its maximum speed, instead of using the maximum SOG value</w:t>
      </w:r>
      <w:r w:rsidR="00961E40">
        <w:fldChar w:fldCharType="begin"/>
      </w:r>
      <w:r w:rsidR="00C61E16">
        <w:instrText xml:space="preserve"> ADDIN ZOTERO_ITEM CSL_CITATION {"citationID":"7NMeqgoN","properties":{"formattedCitation":"\\super 9\\nosupersub{}","plainCitation":"9","noteIndex":0},"citationItems":[{"id":217,"uris":["http://zotero.org/users/12468222/items/RBG2PBGX"],"itemData":{"id":217,"type":"article-journal","abstract":"We present a comprehensive global shipping emission inventory and the global activities of ships for the year 2015. The emissions were evaluated using the Ship Traffic Emission Assessment Model (STEAM3), which uses Automatic Identification System data to describe the traffic activities of ships. We have improved the model regarding (i) the evaluation of the missing technical specifications of ships, and (ii) the treatment of shipping activities in case of sparse satellite AIS-data. We have developed a model for the collection and processing of available information on the technical specifications, using data assimilation techniques. We have also developed a path regeneration model that constructs, whenever necessary, the detailed geometry of the ship routes. The presented results for fuel consumption were qualitatively in agreement both with those in the 3rd Greenhouse Gas Study of the International Maritime Organisation and those reported by the International Energy Agency. We have also presented high-resolution global spatial distributions of the shipping emissions of NOx, CO2, SO2 and PM2.5. The emissions were also analysed in terms of selected sea areas, ship categories, the sizes of ships and flag states. The emission datasets provided by this study are available upon request; the datasets produced by the model can be utilized as input data for air quality modelling on a global scale, including the full temporal and spatial variation of shipping emissions for the first time. Dispersion modelling using this inventory as input can be used to assess the impacts of various emission abatement scenarios. The emission computation methods presented in this paper could also be used, e.g., to provide annual updates of the global ship emissions.","container-title":"Atmospheric Environment","DOI":"10.1016/j.atmosenv.2017.08.042","ISSN":"1352-2310","journalAbbreviation":"Atmospheric Environment","page":"403-415","source":"ScienceDirect","title":"Global assessment of shipping emissions in 2015 on a high spatial and temporal resolution","volume":"167","author":[{"family":"Johansson","given":"Lasse"},{"family":"Jalkanen","given":"Jukka-Pekka"},{"family":"Kukkonen","given":"Jaakko"}],"issued":{"date-parts":[["2017",10,1]]}}}],"schema":"https://github.com/citation-style-language/schema/raw/master/csl-citation.json"} </w:instrText>
      </w:r>
      <w:r w:rsidR="00961E40">
        <w:fldChar w:fldCharType="separate"/>
      </w:r>
      <w:r w:rsidR="00C61E16" w:rsidRPr="00C61E16">
        <w:rPr>
          <w:rFonts w:cs="Times New Roman"/>
          <w:szCs w:val="24"/>
          <w:vertAlign w:val="superscript"/>
        </w:rPr>
        <w:t>9</w:t>
      </w:r>
      <w:r w:rsidR="00961E40">
        <w:fldChar w:fldCharType="end"/>
      </w:r>
      <w:r w:rsidRPr="00022BA7">
        <w:t xml:space="preserve">. This is because the maximum instantaneous speed may be affected by data errors and external factors such as sea currents. </w:t>
      </w:r>
    </w:p>
    <w:p w14:paraId="0AC0ED22" w14:textId="77777777" w:rsidR="00F3745B" w:rsidRPr="00022BA7" w:rsidRDefault="00F3745B" w:rsidP="00F3745B"/>
    <w:p w14:paraId="2655DCBD" w14:textId="651895AE" w:rsidR="00F3745B" w:rsidRPr="00022BA7" w:rsidRDefault="00F8379F" w:rsidP="00F3745B">
      <w:r>
        <w:fldChar w:fldCharType="begin"/>
      </w:r>
      <w:r>
        <w:instrText xml:space="preserve"> REF _Ref144852031 \h </w:instrText>
      </w:r>
      <w:r>
        <w:fldChar w:fldCharType="separate"/>
      </w:r>
      <w:r w:rsidR="00C661AC">
        <w:t xml:space="preserve">Supplementary </w:t>
      </w:r>
      <w:r w:rsidR="00C661AC" w:rsidRPr="00022BA7">
        <w:t xml:space="preserve">Figure </w:t>
      </w:r>
      <w:r w:rsidR="00C661AC">
        <w:rPr>
          <w:noProof/>
        </w:rPr>
        <w:t>6</w:t>
      </w:r>
      <w:r>
        <w:fldChar w:fldCharType="end"/>
      </w:r>
      <w:r>
        <w:t xml:space="preserve"> </w:t>
      </w:r>
      <w:r w:rsidR="00F3745B" w:rsidRPr="00022BA7">
        <w:t>illustrates the estimation of reference speed based on max speed and the 95th percentile speed from AIS data. The 95th percentile speed was chosen from each ship</w:t>
      </w:r>
      <w:r w:rsidR="00190F27">
        <w:t>’</w:t>
      </w:r>
      <w:r w:rsidR="00F3745B" w:rsidRPr="00022BA7">
        <w:t>s SOG data from the raw AIS data, only considering values between 1 knot and 60 knots. The estimation of the reference speed using the 95th percentile speed yielded an R-square</w:t>
      </w:r>
      <w:r w:rsidR="00F3745B">
        <w:t>d</w:t>
      </w:r>
      <w:r w:rsidR="00F3745B" w:rsidRPr="00022BA7">
        <w:t xml:space="preserve"> value of 0.92, significantly higher than the R-square</w:t>
      </w:r>
      <w:r w:rsidR="00F3745B">
        <w:t>d</w:t>
      </w:r>
      <w:r w:rsidR="00F3745B" w:rsidRPr="00022BA7">
        <w:t xml:space="preserve"> value of 0.18 when estimated based on max speed</w:t>
      </w:r>
      <w:r w:rsidR="00F3745B">
        <w:t>,</w:t>
      </w:r>
      <w:r w:rsidR="00F3745B" w:rsidRPr="00022BA7">
        <w:t xml:space="preserve"> confirm</w:t>
      </w:r>
      <w:r w:rsidR="00F3745B">
        <w:t>ing</w:t>
      </w:r>
      <w:r w:rsidR="00F3745B" w:rsidRPr="00022BA7">
        <w:t xml:space="preserve"> the accuracy of estimating reference speed </w:t>
      </w:r>
      <w:r w:rsidR="00F3745B">
        <w:t xml:space="preserve">by </w:t>
      </w:r>
      <w:r w:rsidR="00F3745B" w:rsidRPr="00022BA7">
        <w:t xml:space="preserve">using the 95th percentile speed. Based on these results, for ships that lack max </w:t>
      </w:r>
      <w:r w:rsidR="00F3745B">
        <w:t xml:space="preserve">speed </w:t>
      </w:r>
      <w:r w:rsidR="00F3745B" w:rsidRPr="00022BA7">
        <w:t>and service speed data from IHS, reference speed is calculated by multiplying the 95th percentile speed by a factor of 1.1392.</w:t>
      </w:r>
    </w:p>
    <w:p w14:paraId="4701F8A8" w14:textId="77777777" w:rsidR="00F3745B" w:rsidRPr="00022BA7" w:rsidRDefault="00F3745B" w:rsidP="00F3745B">
      <w:pPr>
        <w:rPr>
          <w:lang w:eastAsia="ko-KR"/>
        </w:rPr>
      </w:pPr>
    </w:p>
    <w:p w14:paraId="142A8FED" w14:textId="54119985" w:rsidR="00F3745B" w:rsidRPr="00022BA7" w:rsidRDefault="009C1647" w:rsidP="0098015F">
      <w:pPr>
        <w:keepNext/>
        <w:widowControl/>
      </w:pPr>
      <w:r w:rsidRPr="009C1647">
        <w:rPr>
          <w:noProof/>
        </w:rPr>
        <w:t xml:space="preserve"> </w:t>
      </w:r>
    </w:p>
    <w:p w14:paraId="3FE04360" w14:textId="77777777" w:rsidR="00F3745B" w:rsidRPr="00022BA7" w:rsidRDefault="00F3745B">
      <w:pPr>
        <w:pStyle w:val="Heading3"/>
      </w:pPr>
      <w:bookmarkStart w:id="75" w:name="_Ref144852522"/>
      <w:r w:rsidRPr="00022BA7">
        <w:t>Main and Auxiliary Engine Capacities</w:t>
      </w:r>
      <w:bookmarkEnd w:id="75"/>
    </w:p>
    <w:p w14:paraId="19859045" w14:textId="55C4DA27" w:rsidR="00F3745B" w:rsidRDefault="00F3745B" w:rsidP="009A0E66">
      <w:pPr>
        <w:pStyle w:val="Caption"/>
        <w:rPr>
          <w:b w:val="0"/>
        </w:rPr>
      </w:pPr>
      <w:r w:rsidRPr="00022BA7">
        <w:rPr>
          <w:b w:val="0"/>
        </w:rPr>
        <w:t xml:space="preserve">This study estimated main engine capacity by ship type </w:t>
      </w:r>
      <w:r>
        <w:rPr>
          <w:b w:val="0"/>
        </w:rPr>
        <w:t xml:space="preserve">when it was </w:t>
      </w:r>
      <w:r w:rsidRPr="00022BA7">
        <w:rPr>
          <w:b w:val="0"/>
        </w:rPr>
        <w:t xml:space="preserve">missing. For ship types with </w:t>
      </w:r>
      <w:r>
        <w:rPr>
          <w:b w:val="0"/>
        </w:rPr>
        <w:t>enough</w:t>
      </w:r>
      <w:r w:rsidRPr="00022BA7">
        <w:rPr>
          <w:b w:val="0"/>
        </w:rPr>
        <w:t xml:space="preserve"> </w:t>
      </w:r>
      <w:r>
        <w:rPr>
          <w:b w:val="0"/>
        </w:rPr>
        <w:t>data to enable</w:t>
      </w:r>
      <w:r w:rsidRPr="00022BA7">
        <w:rPr>
          <w:b w:val="0"/>
        </w:rPr>
        <w:t xml:space="preserve"> regression, namely Passenger and Tugs, an enhanced regression approach based on the IMO 4</w:t>
      </w:r>
      <w:r w:rsidRPr="00022BA7">
        <w:rPr>
          <w:b w:val="0"/>
          <w:vertAlign w:val="superscript"/>
        </w:rPr>
        <w:t>th</w:t>
      </w:r>
      <w:r w:rsidRPr="00022BA7">
        <w:rPr>
          <w:b w:val="0"/>
        </w:rPr>
        <w:t xml:space="preserve"> </w:t>
      </w:r>
      <w:r w:rsidR="00824B22">
        <w:rPr>
          <w:b w:val="0"/>
        </w:rPr>
        <w:t>E</w:t>
      </w:r>
      <w:r w:rsidRPr="00022BA7">
        <w:rPr>
          <w:b w:val="0"/>
        </w:rPr>
        <w:t xml:space="preserve">mission </w:t>
      </w:r>
      <w:r w:rsidR="00824B22">
        <w:rPr>
          <w:b w:val="0"/>
        </w:rPr>
        <w:t>S</w:t>
      </w:r>
      <w:r w:rsidRPr="00022BA7">
        <w:rPr>
          <w:b w:val="0"/>
        </w:rPr>
        <w:t>tudy was utilized</w:t>
      </w:r>
      <w:r w:rsidR="00961E40">
        <w:rPr>
          <w:b w:val="0"/>
        </w:rPr>
        <w:fldChar w:fldCharType="begin"/>
      </w:r>
      <w:r w:rsidR="00C61E16">
        <w:rPr>
          <w:b w:val="0"/>
        </w:rPr>
        <w:instrText xml:space="preserve"> ADDIN ZOTERO_ITEM CSL_CITATION {"citationID":"LXkkyocT","properties":{"formattedCitation":"\\super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961E40">
        <w:rPr>
          <w:b w:val="0"/>
        </w:rPr>
        <w:fldChar w:fldCharType="separate"/>
      </w:r>
      <w:r w:rsidR="00C61E16" w:rsidRPr="00C61E16">
        <w:rPr>
          <w:szCs w:val="24"/>
          <w:vertAlign w:val="superscript"/>
        </w:rPr>
        <w:t>7</w:t>
      </w:r>
      <w:r w:rsidR="00961E40">
        <w:rPr>
          <w:b w:val="0"/>
        </w:rPr>
        <w:fldChar w:fldCharType="end"/>
      </w:r>
      <w:r w:rsidRPr="00022BA7">
        <w:rPr>
          <w:b w:val="0"/>
        </w:rPr>
        <w:t xml:space="preserve">. In </w:t>
      </w:r>
      <w:r>
        <w:rPr>
          <w:b w:val="0"/>
        </w:rPr>
        <w:t xml:space="preserve">that </w:t>
      </w:r>
      <w:r w:rsidRPr="00022BA7">
        <w:rPr>
          <w:b w:val="0"/>
        </w:rPr>
        <w:t xml:space="preserve">study, factors such as overall length, speed, and deadweight data were used to predict </w:t>
      </w:r>
      <w:r w:rsidR="00DF6F99">
        <w:rPr>
          <w:b w:val="0"/>
        </w:rPr>
        <w:t xml:space="preserve">the </w:t>
      </w:r>
      <w:r w:rsidRPr="00022BA7">
        <w:rPr>
          <w:b w:val="0"/>
        </w:rPr>
        <w:t xml:space="preserve">missing values. Due to data availability in this study, registered length and </w:t>
      </w:r>
      <w:r>
        <w:rPr>
          <w:b w:val="0"/>
        </w:rPr>
        <w:t>GT</w:t>
      </w:r>
      <w:r w:rsidRPr="00022BA7">
        <w:rPr>
          <w:b w:val="0"/>
        </w:rPr>
        <w:t xml:space="preserve"> were used as substitutes for overall length and deadweight, respectively. However, this regression yielded several instances of negative main engine capacities, an outcome that is impractical due to the presence of the constant term. Therefore, this study adopted a modified regression model which excludes the constant term and introduces a quadratic term, as defined in equation (2)</w:t>
      </w:r>
      <w:r>
        <w:rPr>
          <w:b w:val="0"/>
        </w:rPr>
        <w:t>:</w:t>
      </w:r>
    </w:p>
    <w:p w14:paraId="33FC6B1A" w14:textId="77777777" w:rsidR="00F3745B" w:rsidRPr="00022BA7" w:rsidRDefault="00F3745B" w:rsidP="00F3745B">
      <w:pPr>
        <w:rPr>
          <w:i/>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F3745B" w:rsidRPr="00022BA7" w14:paraId="7187D38A" w14:textId="77777777" w:rsidTr="00F95C74">
        <w:trPr>
          <w:trHeight w:val="300"/>
        </w:trPr>
        <w:tc>
          <w:tcPr>
            <w:tcW w:w="720" w:type="dxa"/>
          </w:tcPr>
          <w:p w14:paraId="75A59B95" w14:textId="77777777" w:rsidR="00F3745B" w:rsidRPr="00022BA7" w:rsidRDefault="00F3745B" w:rsidP="00F95C74">
            <w:pPr>
              <w:rPr>
                <w:i/>
              </w:rPr>
            </w:pPr>
          </w:p>
        </w:tc>
        <w:tc>
          <w:tcPr>
            <w:tcW w:w="7920" w:type="dxa"/>
          </w:tcPr>
          <w:p w14:paraId="6D4EACD8" w14:textId="77777777" w:rsidR="00F3745B" w:rsidRPr="00022BA7" w:rsidRDefault="00590C69" w:rsidP="006600D4">
            <w:pPr>
              <w:spacing w:line="276" w:lineRule="auto"/>
              <w:rPr>
                <w:rFonts w:eastAsia="Malgun Gothic" w:cs="Times New Roman"/>
                <w:i/>
              </w:rPr>
            </w:pPr>
            <m:oMathPara>
              <m:oMath>
                <m:sSubSup>
                  <m:sSubSupPr>
                    <m:ctrlPr>
                      <w:rPr>
                        <w:rFonts w:ascii="Cambria Math" w:hAnsi="Cambria Math"/>
                        <w:i/>
                      </w:rPr>
                    </m:ctrlPr>
                  </m:sSubSupPr>
                  <m:e>
                    <m:r>
                      <w:rPr>
                        <w:rFonts w:ascii="Cambria Math" w:hAnsi="Cambria Math"/>
                      </w:rPr>
                      <m:t>CAP</m:t>
                    </m:r>
                  </m:e>
                  <m:sub>
                    <m:r>
                      <w:rPr>
                        <w:rFonts w:ascii="Cambria Math" w:hAnsi="Cambria Math"/>
                      </w:rPr>
                      <m:t>v,IMO</m:t>
                    </m:r>
                  </m:sub>
                  <m:sup>
                    <m:r>
                      <w:rPr>
                        <w:rFonts w:ascii="Cambria Math" w:hAnsi="Cambria Math"/>
                      </w:rPr>
                      <m:t>ME</m:t>
                    </m:r>
                  </m:sup>
                </m:sSub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G</m:t>
                </m:r>
                <m:sSub>
                  <m:sSubPr>
                    <m:ctrlPr>
                      <w:rPr>
                        <w:rFonts w:ascii="Cambria Math" w:hAnsi="Cambria Math"/>
                        <w:i/>
                      </w:rPr>
                    </m:ctrlPr>
                  </m:sSubPr>
                  <m:e>
                    <m:r>
                      <w:rPr>
                        <w:rFonts w:ascii="Cambria Math" w:hAnsi="Cambria Math"/>
                      </w:rPr>
                      <m:t>T</m:t>
                    </m:r>
                  </m:e>
                  <m:sub>
                    <m:r>
                      <w:rPr>
                        <w:rFonts w:ascii="Cambria Math" w:hAnsi="Cambria Math"/>
                      </w:rPr>
                      <m:t>ν</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sSub>
                  <m:sSubPr>
                    <m:ctrlPr>
                      <w:rPr>
                        <w:rFonts w:ascii="Cambria Math" w:hAnsi="Cambria Math"/>
                        <w:i/>
                      </w:rPr>
                    </m:ctrlPr>
                  </m:sSubPr>
                  <m:e>
                    <m:r>
                      <w:rPr>
                        <w:rFonts w:ascii="Cambria Math" w:hAnsi="Cambria Math"/>
                      </w:rPr>
                      <m:t>RL</m:t>
                    </m:r>
                  </m:e>
                  <m:sub>
                    <m:r>
                      <w:rPr>
                        <w:rFonts w:ascii="Cambria Math" w:hAnsi="Cambria Math"/>
                      </w:rPr>
                      <m:t>ν</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Sub>
                      <m:sSubPr>
                        <m:ctrlPr>
                          <w:rPr>
                            <w:rFonts w:ascii="Cambria Math" w:hAnsi="Cambria Math"/>
                            <w:i/>
                          </w:rPr>
                        </m:ctrlPr>
                      </m:sSubPr>
                      <m:e>
                        <m:r>
                          <w:rPr>
                            <w:rFonts w:ascii="Cambria Math" w:hAnsi="Cambria Math"/>
                          </w:rPr>
                          <m:t>ST</m:t>
                        </m:r>
                      </m:e>
                      <m:sub>
                        <m:r>
                          <w:rPr>
                            <w:rFonts w:ascii="Cambria Math" w:hAnsi="Cambria Math"/>
                          </w:rPr>
                          <m:t>v</m:t>
                        </m:r>
                      </m:sub>
                    </m:sSub>
                  </m:sub>
                </m:sSub>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oMath>
            </m:oMathPara>
          </w:p>
        </w:tc>
        <w:tc>
          <w:tcPr>
            <w:tcW w:w="720" w:type="dxa"/>
          </w:tcPr>
          <w:p w14:paraId="7E49D546" w14:textId="77777777" w:rsidR="00F3745B" w:rsidRPr="00022BA7" w:rsidRDefault="00F3745B" w:rsidP="006600D4">
            <w:pPr>
              <w:spacing w:line="276" w:lineRule="auto"/>
              <w:ind w:left="1440" w:hanging="1440"/>
              <w:jc w:val="right"/>
            </w:pPr>
            <w:r w:rsidRPr="00022BA7">
              <w:t>(1)</w:t>
            </w:r>
          </w:p>
        </w:tc>
      </w:tr>
      <w:tr w:rsidR="00F3745B" w:rsidRPr="00022BA7" w14:paraId="6600FAB2" w14:textId="77777777" w:rsidTr="00F95C74">
        <w:trPr>
          <w:trHeight w:val="300"/>
        </w:trPr>
        <w:tc>
          <w:tcPr>
            <w:tcW w:w="720" w:type="dxa"/>
          </w:tcPr>
          <w:p w14:paraId="02CB51BE" w14:textId="77777777" w:rsidR="00F3745B" w:rsidRPr="00022BA7" w:rsidRDefault="00F3745B" w:rsidP="00F95C74">
            <w:pPr>
              <w:rPr>
                <w:i/>
              </w:rPr>
            </w:pPr>
          </w:p>
        </w:tc>
        <w:tc>
          <w:tcPr>
            <w:tcW w:w="7920" w:type="dxa"/>
          </w:tcPr>
          <w:p w14:paraId="4D0B9C32" w14:textId="77777777" w:rsidR="00F3745B" w:rsidRPr="00022BA7" w:rsidRDefault="00590C69" w:rsidP="006600D4">
            <w:pPr>
              <w:spacing w:line="276" w:lineRule="auto"/>
              <w:rPr>
                <w:i/>
              </w:rPr>
            </w:pPr>
            <m:oMathPara>
              <m:oMath>
                <m:sSubSup>
                  <m:sSubSupPr>
                    <m:ctrlPr>
                      <w:rPr>
                        <w:rFonts w:ascii="Cambria Math" w:hAnsi="Cambria Math"/>
                        <w:i/>
                      </w:rPr>
                    </m:ctrlPr>
                  </m:sSubSupPr>
                  <m:e>
                    <m:r>
                      <w:rPr>
                        <w:rFonts w:ascii="Cambria Math" w:hAnsi="Cambria Math"/>
                      </w:rPr>
                      <m:t>CAP</m:t>
                    </m:r>
                  </m:e>
                  <m:sub>
                    <m:r>
                      <w:rPr>
                        <w:rFonts w:ascii="Cambria Math" w:hAnsi="Cambria Math"/>
                      </w:rPr>
                      <m:t>v</m:t>
                    </m:r>
                  </m:sub>
                  <m:sup>
                    <m:r>
                      <w:rPr>
                        <w:rFonts w:ascii="Cambria Math" w:hAnsi="Cambria Math"/>
                      </w:rPr>
                      <m:t>ME</m:t>
                    </m:r>
                  </m:sup>
                </m:sSub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G</m:t>
                </m:r>
                <m:sSub>
                  <m:sSubPr>
                    <m:ctrlPr>
                      <w:rPr>
                        <w:rFonts w:ascii="Cambria Math" w:hAnsi="Cambria Math"/>
                        <w:i/>
                      </w:rPr>
                    </m:ctrlPr>
                  </m:sSubPr>
                  <m:e>
                    <m:r>
                      <w:rPr>
                        <w:rFonts w:ascii="Cambria Math" w:hAnsi="Cambria Math"/>
                      </w:rPr>
                      <m:t>T</m:t>
                    </m:r>
                  </m:e>
                  <m:sub>
                    <m:r>
                      <w:rPr>
                        <w:rFonts w:ascii="Cambria Math" w:hAnsi="Cambria Math"/>
                      </w:rPr>
                      <m:t>ν</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sSub>
                  <m:sSubPr>
                    <m:ctrlPr>
                      <w:rPr>
                        <w:rFonts w:ascii="Cambria Math" w:hAnsi="Cambria Math"/>
                        <w:i/>
                      </w:rPr>
                    </m:ctrlPr>
                  </m:sSubPr>
                  <m:e>
                    <m:r>
                      <w:rPr>
                        <w:rFonts w:ascii="Cambria Math" w:hAnsi="Cambria Math"/>
                      </w:rPr>
                      <m:t>RL</m:t>
                    </m:r>
                  </m:e>
                  <m:sub>
                    <m:r>
                      <w:rPr>
                        <w:rFonts w:ascii="Cambria Math" w:hAnsi="Cambria Math"/>
                      </w:rPr>
                      <m:t>ν</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3,</m:t>
                    </m:r>
                    <m:sSub>
                      <m:sSubPr>
                        <m:ctrlPr>
                          <w:rPr>
                            <w:rFonts w:ascii="Cambria Math" w:hAnsi="Cambria Math"/>
                            <w:i/>
                          </w:rPr>
                        </m:ctrlPr>
                      </m:sSubPr>
                      <m:e>
                        <m:r>
                          <w:rPr>
                            <w:rFonts w:ascii="Cambria Math" w:hAnsi="Cambria Math"/>
                          </w:rPr>
                          <m:t>ST</m:t>
                        </m:r>
                      </m:e>
                      <m:sub>
                        <m:r>
                          <w:rPr>
                            <w:rFonts w:ascii="Cambria Math" w:hAnsi="Cambria Math"/>
                          </w:rPr>
                          <m:t>v</m:t>
                        </m:r>
                      </m:sub>
                    </m:sSub>
                  </m:sub>
                </m:sSub>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r>
                  <w:rPr>
                    <w:rFonts w:ascii="Cambria Math" w:hAnsi="Cambria Math"/>
                  </w:rPr>
                  <m:t>+</m:t>
                </m:r>
              </m:oMath>
            </m:oMathPara>
          </w:p>
          <w:p w14:paraId="51741085" w14:textId="77777777" w:rsidR="00F3745B" w:rsidRPr="00022BA7" w:rsidRDefault="00590C69" w:rsidP="006600D4">
            <w:pPr>
              <w:spacing w:line="276" w:lineRule="auto"/>
              <w:rPr>
                <w:i/>
              </w:rPr>
            </w:pPr>
            <m:oMathPara>
              <m:oMathParaPr>
                <m:jc m:val="right"/>
              </m:oMathParaPr>
              <m:oMath>
                <m:sSub>
                  <m:sSubPr>
                    <m:ctrlPr>
                      <w:rPr>
                        <w:rFonts w:ascii="Cambria Math" w:hAnsi="Cambria Math"/>
                        <w:i/>
                      </w:rPr>
                    </m:ctrlPr>
                  </m:sSubPr>
                  <m:e>
                    <m:r>
                      <w:rPr>
                        <w:rFonts w:ascii="Cambria Math" w:hAnsi="Cambria Math"/>
                      </w:rPr>
                      <m:t>b</m:t>
                    </m:r>
                  </m:e>
                  <m:sub>
                    <m:r>
                      <w:rPr>
                        <w:rFonts w:ascii="Cambria Math" w:hAnsi="Cambria Math"/>
                      </w:rPr>
                      <m:t>4,</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G</m:t>
                </m:r>
                <m:sSubSup>
                  <m:sSubSupPr>
                    <m:ctrlPr>
                      <w:rPr>
                        <w:rFonts w:ascii="Cambria Math" w:hAnsi="Cambria Math"/>
                        <w:i/>
                      </w:rPr>
                    </m:ctrlPr>
                  </m:sSubSupPr>
                  <m:e>
                    <m:r>
                      <w:rPr>
                        <w:rFonts w:ascii="Cambria Math" w:hAnsi="Cambria Math"/>
                      </w:rPr>
                      <m:t>T</m:t>
                    </m:r>
                  </m:e>
                  <m:sub>
                    <m:r>
                      <w:rPr>
                        <w:rFonts w:ascii="Cambria Math" w:hAnsi="Cambria Math"/>
                      </w:rPr>
                      <m:t>ν</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5,</m:t>
                    </m:r>
                    <m:sSub>
                      <m:sSubPr>
                        <m:ctrlPr>
                          <w:rPr>
                            <w:rFonts w:ascii="Cambria Math" w:hAnsi="Cambria Math"/>
                            <w:i/>
                          </w:rPr>
                        </m:ctrlPr>
                      </m:sSubPr>
                      <m:e>
                        <m:r>
                          <w:rPr>
                            <w:rFonts w:ascii="Cambria Math" w:hAnsi="Cambria Math"/>
                          </w:rPr>
                          <m:t>ST</m:t>
                        </m:r>
                      </m:e>
                      <m:sub>
                        <m:r>
                          <w:rPr>
                            <w:rFonts w:ascii="Cambria Math" w:hAnsi="Cambria Math"/>
                          </w:rPr>
                          <m:t>v</m:t>
                        </m:r>
                      </m:sub>
                    </m:sSub>
                  </m:sub>
                </m:sSub>
                <m:sSubSup>
                  <m:sSubSupPr>
                    <m:ctrlPr>
                      <w:rPr>
                        <w:rFonts w:ascii="Cambria Math" w:hAnsi="Cambria Math"/>
                        <w:i/>
                      </w:rPr>
                    </m:ctrlPr>
                  </m:sSubSupPr>
                  <m:e>
                    <m:r>
                      <w:rPr>
                        <w:rFonts w:ascii="Cambria Math" w:hAnsi="Cambria Math"/>
                      </w:rPr>
                      <m:t>RL</m:t>
                    </m:r>
                  </m:e>
                  <m:sub>
                    <m:r>
                      <w:rPr>
                        <w:rFonts w:ascii="Cambria Math" w:hAnsi="Cambria Math"/>
                      </w:rPr>
                      <m:t>ν</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6,</m:t>
                    </m:r>
                    <m:sSub>
                      <m:sSubPr>
                        <m:ctrlPr>
                          <w:rPr>
                            <w:rFonts w:ascii="Cambria Math" w:hAnsi="Cambria Math"/>
                            <w:i/>
                          </w:rPr>
                        </m:ctrlPr>
                      </m:sSubPr>
                      <m:e>
                        <m:r>
                          <w:rPr>
                            <w:rFonts w:ascii="Cambria Math" w:hAnsi="Cambria Math"/>
                          </w:rPr>
                          <m:t>ST</m:t>
                        </m:r>
                      </m:e>
                      <m:sub>
                        <m:r>
                          <w:rPr>
                            <w:rFonts w:ascii="Cambria Math" w:hAnsi="Cambria Math"/>
                          </w:rPr>
                          <m:t>v</m:t>
                        </m:r>
                      </m:sub>
                    </m:sSub>
                  </m:sub>
                </m:sSub>
                <m:sSup>
                  <m:sSupPr>
                    <m:ctrlPr>
                      <w:rPr>
                        <w:rFonts w:ascii="Cambria Math" w:hAnsi="Cambria Math"/>
                        <w:i/>
                      </w:rPr>
                    </m:ctrlPr>
                  </m:sSupPr>
                  <m:e>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e>
                  <m:sup>
                    <m:r>
                      <w:rPr>
                        <w:rFonts w:ascii="Cambria Math" w:hAnsi="Cambria Math"/>
                      </w:rPr>
                      <m:t>2</m:t>
                    </m:r>
                  </m:sup>
                </m:sSup>
              </m:oMath>
            </m:oMathPara>
          </w:p>
        </w:tc>
        <w:tc>
          <w:tcPr>
            <w:tcW w:w="720" w:type="dxa"/>
          </w:tcPr>
          <w:p w14:paraId="6CAA8D70" w14:textId="77777777" w:rsidR="00F3745B" w:rsidRPr="00022BA7" w:rsidRDefault="00F3745B" w:rsidP="006600D4">
            <w:pPr>
              <w:spacing w:line="276" w:lineRule="auto"/>
              <w:ind w:left="1440" w:hanging="1440"/>
              <w:jc w:val="right"/>
            </w:pPr>
            <w:r w:rsidRPr="00022BA7">
              <w:t>(2)</w:t>
            </w:r>
          </w:p>
        </w:tc>
      </w:tr>
    </w:tbl>
    <w:p w14:paraId="4E9E65FD" w14:textId="77777777" w:rsidR="00F3745B" w:rsidRDefault="00F3745B" w:rsidP="00F3745B">
      <w:pPr>
        <w:rPr>
          <w:i/>
        </w:rPr>
      </w:pPr>
    </w:p>
    <w:p w14:paraId="2DBB8742" w14:textId="3953BD80" w:rsidR="00F3745B" w:rsidRPr="00022BA7" w:rsidRDefault="00F3745B" w:rsidP="00F3745B">
      <w:r w:rsidRPr="00753584">
        <w:rPr>
          <w:iCs/>
        </w:rPr>
        <w:t>where</w:t>
      </w:r>
      <m:oMath>
        <m:r>
          <w:rPr>
            <w:rFonts w:ascii="Cambria Math" w:hAnsi="Cambria Math"/>
          </w:rPr>
          <m:t xml:space="preserve"> </m:t>
        </m:r>
        <m:sSubSup>
          <m:sSubSupPr>
            <m:ctrlPr>
              <w:rPr>
                <w:rFonts w:ascii="Cambria Math" w:hAnsi="Cambria Math"/>
                <w:i/>
              </w:rPr>
            </m:ctrlPr>
          </m:sSubSupPr>
          <m:e>
            <m:r>
              <w:rPr>
                <w:rFonts w:ascii="Cambria Math" w:hAnsi="Cambria Math"/>
              </w:rPr>
              <m:t>CAP</m:t>
            </m:r>
          </m:e>
          <m:sub>
            <m:r>
              <w:rPr>
                <w:rFonts w:ascii="Cambria Math" w:hAnsi="Cambria Math"/>
              </w:rPr>
              <m:t>v,IMO</m:t>
            </m:r>
          </m:sub>
          <m:sup>
            <m:r>
              <w:rPr>
                <w:rFonts w:ascii="Cambria Math" w:hAnsi="Cambria Math"/>
              </w:rPr>
              <m:t>ME</m:t>
            </m:r>
          </m:sup>
        </m:sSubSup>
      </m:oMath>
      <w:r w:rsidRPr="00022BA7">
        <w:t xml:space="preserve"> is the estimated main engine capacity based on the regression model (1), </w:t>
      </w:r>
      <m:oMath>
        <m:sSub>
          <m:sSubPr>
            <m:ctrlPr>
              <w:rPr>
                <w:rFonts w:ascii="Cambria Math" w:hAnsi="Cambria Math"/>
                <w:i/>
              </w:rPr>
            </m:ctrlPr>
          </m:sSubPr>
          <m:e>
            <m:r>
              <w:rPr>
                <w:rFonts w:ascii="Cambria Math" w:hAnsi="Cambria Math"/>
              </w:rPr>
              <m:t>a</m:t>
            </m:r>
          </m:e>
          <m:sub>
            <m:r>
              <w:rPr>
                <w:rFonts w:ascii="Cambria Math" w:hAnsi="Cambria Math"/>
              </w:rPr>
              <m:t>0,</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 xml:space="preserve">,  </m:t>
        </m:r>
      </m:oMath>
      <w:r w:rsidRPr="00022BA7">
        <w:t xml:space="preserve">and </w:t>
      </w:r>
      <m:oMath>
        <m:sSub>
          <m:sSubPr>
            <m:ctrlPr>
              <w:rPr>
                <w:rFonts w:ascii="Cambria Math" w:hAnsi="Cambria Math"/>
                <w:i/>
              </w:rPr>
            </m:ctrlPr>
          </m:sSubPr>
          <m:e>
            <m:r>
              <w:rPr>
                <w:rFonts w:ascii="Cambria Math" w:hAnsi="Cambria Math"/>
              </w:rPr>
              <m:t>a</m:t>
            </m:r>
          </m:e>
          <m:sub>
            <m:r>
              <w:rPr>
                <w:rFonts w:ascii="Cambria Math" w:hAnsi="Cambria Math"/>
              </w:rPr>
              <m:t>3,</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t xml:space="preserve"> are coefficients by ship types determined by the regression model (1). </w:t>
      </w:r>
      <m:oMath>
        <m:sSubSup>
          <m:sSubSupPr>
            <m:ctrlPr>
              <w:rPr>
                <w:rFonts w:ascii="Cambria Math" w:hAnsi="Cambria Math"/>
                <w:i/>
              </w:rPr>
            </m:ctrlPr>
          </m:sSubSupPr>
          <m:e>
            <m:r>
              <w:rPr>
                <w:rFonts w:ascii="Cambria Math" w:hAnsi="Cambria Math"/>
              </w:rPr>
              <m:t>CAP</m:t>
            </m:r>
          </m:e>
          <m:sub>
            <m:r>
              <w:rPr>
                <w:rFonts w:ascii="Cambria Math" w:hAnsi="Cambria Math"/>
              </w:rPr>
              <m:t>v,LBL</m:t>
            </m:r>
          </m:sub>
          <m:sup>
            <m:r>
              <w:rPr>
                <w:rFonts w:ascii="Cambria Math" w:hAnsi="Cambria Math"/>
              </w:rPr>
              <m:t>ME</m:t>
            </m:r>
          </m:sup>
        </m:sSubSup>
      </m:oMath>
      <w:r w:rsidRPr="00022BA7">
        <w:t xml:space="preserve"> is the estimated main engine capacity based on the suggested regression model (2), </w:t>
      </w:r>
      <m:oMath>
        <m:sSub>
          <m:sSubPr>
            <m:ctrlPr>
              <w:rPr>
                <w:rFonts w:ascii="Cambria Math" w:hAnsi="Cambria Math"/>
                <w:i/>
              </w:rPr>
            </m:ctrlPr>
          </m:sSubPr>
          <m:e>
            <m:r>
              <w:rPr>
                <w:rFonts w:ascii="Cambria Math" w:hAnsi="Cambria Math"/>
              </w:rPr>
              <m:t>b</m:t>
            </m:r>
          </m:e>
          <m:sub>
            <m:r>
              <w:rPr>
                <w:rFonts w:ascii="Cambria Math" w:hAnsi="Cambria Math"/>
              </w:rPr>
              <m:t>0,</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t xml:space="preserve">,  </w:t>
      </w:r>
      <m:oMath>
        <m:sSub>
          <m:sSubPr>
            <m:ctrlPr>
              <w:rPr>
                <w:rFonts w:ascii="Cambria Math" w:hAnsi="Cambria Math"/>
                <w:i/>
              </w:rPr>
            </m:ctrlPr>
          </m:sSubPr>
          <m:e>
            <m:r>
              <w:rPr>
                <w:rFonts w:ascii="Cambria Math" w:hAnsi="Cambria Math"/>
              </w:rPr>
              <m:t>b</m:t>
            </m:r>
          </m:e>
          <m:sub>
            <m:r>
              <w:rPr>
                <w:rFonts w:ascii="Cambria Math" w:hAnsi="Cambria Math"/>
              </w:rPr>
              <m:t>1,</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 xml:space="preserve">,  </m:t>
        </m:r>
      </m:oMath>
      <w:r w:rsidRPr="00022BA7">
        <w:t xml:space="preserve">and </w:t>
      </w:r>
      <m:oMath>
        <m:sSub>
          <m:sSubPr>
            <m:ctrlPr>
              <w:rPr>
                <w:rFonts w:ascii="Cambria Math" w:hAnsi="Cambria Math"/>
                <w:i/>
              </w:rPr>
            </m:ctrlPr>
          </m:sSubPr>
          <m:e>
            <m:r>
              <w:rPr>
                <w:rFonts w:ascii="Cambria Math" w:hAnsi="Cambria Math"/>
              </w:rPr>
              <m:t>b</m:t>
            </m:r>
          </m:e>
          <m:sub>
            <m:r>
              <w:rPr>
                <w:rFonts w:ascii="Cambria Math" w:hAnsi="Cambria Math"/>
              </w:rPr>
              <m:t>3,</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t xml:space="preserve"> are coefficients by ship types determined by the regression model (2). </w:t>
      </w:r>
      <m:oMath>
        <m:r>
          <w:rPr>
            <w:rFonts w:ascii="Cambria Math" w:hAnsi="Cambria Math"/>
          </w:rPr>
          <m:t>G</m:t>
        </m:r>
        <m:sSub>
          <m:sSubPr>
            <m:ctrlPr>
              <w:rPr>
                <w:rFonts w:ascii="Cambria Math" w:hAnsi="Cambria Math"/>
                <w:i/>
              </w:rPr>
            </m:ctrlPr>
          </m:sSubPr>
          <m:e>
            <m:r>
              <w:rPr>
                <w:rFonts w:ascii="Cambria Math" w:hAnsi="Cambria Math"/>
              </w:rPr>
              <m:t>T</m:t>
            </m:r>
          </m:e>
          <m:sub>
            <m:r>
              <w:rPr>
                <w:rFonts w:ascii="Cambria Math" w:hAnsi="Cambria Math"/>
              </w:rPr>
              <m:t>ν</m:t>
            </m:r>
          </m:sub>
        </m:sSub>
      </m:oMath>
      <w:r w:rsidRPr="00022BA7">
        <w:t xml:space="preserve"> is GT of vessel </w:t>
      </w:r>
      <m:oMath>
        <m:r>
          <w:rPr>
            <w:rFonts w:ascii="Cambria Math" w:hAnsi="Cambria Math"/>
          </w:rPr>
          <m:t>v</m:t>
        </m:r>
      </m:oMath>
      <w:r w:rsidRPr="00022BA7">
        <w:t xml:space="preserve">, </w:t>
      </w:r>
      <m:oMath>
        <m:sSub>
          <m:sSubPr>
            <m:ctrlPr>
              <w:rPr>
                <w:rFonts w:ascii="Cambria Math" w:hAnsi="Cambria Math"/>
                <w:i/>
              </w:rPr>
            </m:ctrlPr>
          </m:sSubPr>
          <m:e>
            <m:r>
              <w:rPr>
                <w:rFonts w:ascii="Cambria Math" w:hAnsi="Cambria Math"/>
              </w:rPr>
              <m:t>RL</m:t>
            </m:r>
          </m:e>
          <m:sub>
            <m:r>
              <w:rPr>
                <w:rFonts w:ascii="Cambria Math" w:hAnsi="Cambria Math"/>
              </w:rPr>
              <m:t>ν</m:t>
            </m:r>
          </m:sub>
        </m:sSub>
      </m:oMath>
      <w:r w:rsidRPr="00022BA7">
        <w:t xml:space="preserve"> is registered length of vessel </w:t>
      </w:r>
      <m:oMath>
        <m:r>
          <w:rPr>
            <w:rFonts w:ascii="Cambria Math" w:hAnsi="Cambria Math"/>
          </w:rPr>
          <m:t>v</m:t>
        </m:r>
      </m:oMath>
      <w:r w:rsidRPr="00022BA7">
        <w:t xml:space="preserve">, and </w:t>
      </w:r>
      <m:oMath>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oMath>
      <w:r w:rsidRPr="00022BA7">
        <w:t xml:space="preserve"> is the reference speed determined </w:t>
      </w:r>
      <w:r w:rsidR="00FE613F">
        <w:t>as described above</w:t>
      </w:r>
      <w:r w:rsidRPr="00022BA7">
        <w:t xml:space="preserve">. </w:t>
      </w:r>
    </w:p>
    <w:p w14:paraId="0E40BB7B" w14:textId="01D9FDEC" w:rsidR="00F3745B" w:rsidRPr="00022BA7" w:rsidRDefault="009758B9" w:rsidP="00F3745B">
      <w:r>
        <w:fldChar w:fldCharType="begin"/>
      </w:r>
      <w:r>
        <w:instrText xml:space="preserve"> REF _Ref144852122 \h </w:instrText>
      </w:r>
      <w:r>
        <w:fldChar w:fldCharType="separate"/>
      </w:r>
      <w:r w:rsidR="00C661AC">
        <w:t xml:space="preserve">Supplementary </w:t>
      </w:r>
      <w:r w:rsidR="00C661AC" w:rsidRPr="00022BA7">
        <w:t xml:space="preserve">Table </w:t>
      </w:r>
      <w:r w:rsidR="00C661AC">
        <w:rPr>
          <w:noProof/>
        </w:rPr>
        <w:t>6</w:t>
      </w:r>
      <w:r>
        <w:fldChar w:fldCharType="end"/>
      </w:r>
      <w:r>
        <w:t xml:space="preserve"> </w:t>
      </w:r>
      <w:r w:rsidR="00F3745B" w:rsidRPr="00022BA7">
        <w:t>shows the estimat</w:t>
      </w:r>
      <w:r w:rsidR="00F3745B">
        <w:t>ion</w:t>
      </w:r>
      <w:r w:rsidR="00F3745B" w:rsidRPr="00022BA7">
        <w:t xml:space="preserve"> parameters and R-squared values by model and ship types. Except </w:t>
      </w:r>
      <w:r w:rsidR="00F3745B">
        <w:t xml:space="preserve">for </w:t>
      </w:r>
      <w:r w:rsidR="00F3745B" w:rsidRPr="00022BA7">
        <w:t>Tug</w:t>
      </w:r>
      <w:r w:rsidR="00F3745B">
        <w:t xml:space="preserve"> </w:t>
      </w:r>
      <w:r w:rsidR="00F3745B" w:rsidRPr="00022BA7">
        <w:t xml:space="preserve">(Coastal-Harbor) </w:t>
      </w:r>
      <w:r w:rsidR="00F3745B">
        <w:t>ships</w:t>
      </w:r>
      <w:r w:rsidR="00F3745B" w:rsidRPr="00022BA7">
        <w:t xml:space="preserve">, </w:t>
      </w:r>
      <w:r w:rsidR="00F3745B">
        <w:t>this study</w:t>
      </w:r>
      <w:r w:rsidR="00190F27">
        <w:t>’</w:t>
      </w:r>
      <w:r w:rsidR="00F3745B">
        <w:t xml:space="preserve">s modified regression model shown in equation (2) (the </w:t>
      </w:r>
      <w:r w:rsidR="00190F27">
        <w:t>“</w:t>
      </w:r>
      <w:r w:rsidR="00F3745B" w:rsidRPr="00022BA7">
        <w:t>suggested model</w:t>
      </w:r>
      <w:r w:rsidR="00190F27">
        <w:t>”</w:t>
      </w:r>
      <w:r w:rsidR="00F3745B">
        <w:t>)</w:t>
      </w:r>
      <w:r w:rsidR="00F3745B" w:rsidRPr="00022BA7">
        <w:t xml:space="preserve"> showed higher R-squared value</w:t>
      </w:r>
      <w:r w:rsidR="00F3745B">
        <w:t>s,</w:t>
      </w:r>
      <w:r w:rsidR="00F3745B" w:rsidRPr="00022BA7">
        <w:t xml:space="preserve"> mean</w:t>
      </w:r>
      <w:r w:rsidR="00F3745B">
        <w:t>ing</w:t>
      </w:r>
      <w:r w:rsidR="00F3745B" w:rsidRPr="00022BA7">
        <w:t xml:space="preserve"> it is more accurate for the selected ships.</w:t>
      </w:r>
      <w:r w:rsidR="00BA24D8">
        <w:t xml:space="preserve"> </w:t>
      </w:r>
      <w:r w:rsidR="00BA24D8">
        <w:fldChar w:fldCharType="begin"/>
      </w:r>
      <w:r w:rsidR="00BA24D8">
        <w:instrText xml:space="preserve"> REF _Ref144852139 \h </w:instrText>
      </w:r>
      <w:r w:rsidR="00BA24D8">
        <w:fldChar w:fldCharType="separate"/>
      </w:r>
      <w:r w:rsidR="00C661AC">
        <w:t xml:space="preserve">Supplementary </w:t>
      </w:r>
      <w:r w:rsidR="00C661AC" w:rsidRPr="00022BA7">
        <w:t xml:space="preserve">Figure </w:t>
      </w:r>
      <w:r w:rsidR="00C661AC">
        <w:rPr>
          <w:noProof/>
        </w:rPr>
        <w:t>7</w:t>
      </w:r>
      <w:r w:rsidR="00BA24D8">
        <w:fldChar w:fldCharType="end"/>
      </w:r>
      <w:r w:rsidR="00F3745B" w:rsidRPr="00022BA7">
        <w:t xml:space="preserve"> shows the distribution of estimated main engine capacity compared to the main engine capacity from the </w:t>
      </w:r>
      <w:r w:rsidR="00F3745B">
        <w:t>Integrated Ship D</w:t>
      </w:r>
      <w:r w:rsidR="00F3745B" w:rsidRPr="00022BA7">
        <w:t>atabase</w:t>
      </w:r>
      <w:r w:rsidR="00F3745B">
        <w:t>,</w:t>
      </w:r>
      <w:r w:rsidR="00F3745B" w:rsidRPr="00022BA7">
        <w:t xml:space="preserve"> based on the suggested model and</w:t>
      </w:r>
      <w:r w:rsidR="00F3745B">
        <w:t xml:space="preserve"> the</w:t>
      </w:r>
      <w:r w:rsidR="00F3745B" w:rsidRPr="00022BA7">
        <w:t xml:space="preserve"> IMO (2020) model</w:t>
      </w:r>
      <w:r w:rsidR="0025139A">
        <w:rPr>
          <w:b/>
        </w:rPr>
        <w:fldChar w:fldCharType="begin"/>
      </w:r>
      <w:r w:rsidR="00C61E16">
        <w:rPr>
          <w:b/>
        </w:rPr>
        <w:instrText xml:space="preserve"> ADDIN ZOTERO_ITEM CSL_CITATION {"citationID":"k8t7Zr80","properties":{"formattedCitation":"\\super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25139A">
        <w:rPr>
          <w:b/>
        </w:rPr>
        <w:fldChar w:fldCharType="separate"/>
      </w:r>
      <w:r w:rsidR="00C61E16" w:rsidRPr="00C61E16">
        <w:rPr>
          <w:rFonts w:cs="Times New Roman"/>
          <w:szCs w:val="24"/>
          <w:vertAlign w:val="superscript"/>
        </w:rPr>
        <w:t>7</w:t>
      </w:r>
      <w:r w:rsidR="0025139A">
        <w:rPr>
          <w:b/>
        </w:rPr>
        <w:fldChar w:fldCharType="end"/>
      </w:r>
      <w:r w:rsidR="00F3745B" w:rsidRPr="00022BA7">
        <w:t xml:space="preserve">. </w:t>
      </w:r>
      <w:r w:rsidR="00F3745B">
        <w:t>The</w:t>
      </w:r>
      <w:r w:rsidR="00F3745B" w:rsidRPr="00022BA7">
        <w:t xml:space="preserve"> two models show similar tendenc</w:t>
      </w:r>
      <w:r w:rsidR="00F3745B">
        <w:t>ies</w:t>
      </w:r>
      <w:r w:rsidR="00F3745B" w:rsidRPr="00022BA7">
        <w:t>, but negative values are more common in the IMO (2020) model</w:t>
      </w:r>
      <w:r w:rsidR="0025139A">
        <w:rPr>
          <w:b/>
        </w:rPr>
        <w:fldChar w:fldCharType="begin"/>
      </w:r>
      <w:r w:rsidR="00C61E16">
        <w:rPr>
          <w:b/>
        </w:rPr>
        <w:instrText xml:space="preserve"> ADDIN ZOTERO_ITEM CSL_CITATION {"citationID":"7GLP9534","properties":{"formattedCitation":"\\super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25139A">
        <w:rPr>
          <w:b/>
        </w:rPr>
        <w:fldChar w:fldCharType="separate"/>
      </w:r>
      <w:r w:rsidR="00C61E16" w:rsidRPr="00C61E16">
        <w:rPr>
          <w:rFonts w:cs="Times New Roman"/>
          <w:szCs w:val="24"/>
          <w:vertAlign w:val="superscript"/>
        </w:rPr>
        <w:t>7</w:t>
      </w:r>
      <w:r w:rsidR="0025139A">
        <w:rPr>
          <w:b/>
        </w:rPr>
        <w:fldChar w:fldCharType="end"/>
      </w:r>
      <w:r w:rsidR="00F3745B" w:rsidRPr="00022BA7">
        <w:t xml:space="preserve">. </w:t>
      </w:r>
    </w:p>
    <w:p w14:paraId="4E654C28" w14:textId="72E5707F" w:rsidR="00F3745B" w:rsidRPr="00022BA7" w:rsidRDefault="00F3745B" w:rsidP="000E628F">
      <w:pPr>
        <w:keepNext/>
        <w:widowControl/>
      </w:pPr>
    </w:p>
    <w:p w14:paraId="47D90FFC" w14:textId="5B493BB3" w:rsidR="00F3745B" w:rsidRPr="00022BA7" w:rsidRDefault="00F3745B" w:rsidP="00F3745B">
      <w:pPr>
        <w:pStyle w:val="Caption"/>
        <w:rPr>
          <w:b w:val="0"/>
          <w:lang w:eastAsia="ko-KR"/>
        </w:rPr>
      </w:pPr>
      <w:r w:rsidRPr="00022BA7">
        <w:rPr>
          <w:b w:val="0"/>
          <w:lang w:eastAsia="ko-KR"/>
        </w:rPr>
        <w:t xml:space="preserve">Despite improvements </w:t>
      </w:r>
      <w:r>
        <w:rPr>
          <w:b w:val="0"/>
          <w:lang w:eastAsia="ko-KR"/>
        </w:rPr>
        <w:t>in</w:t>
      </w:r>
      <w:r w:rsidRPr="00022BA7">
        <w:rPr>
          <w:b w:val="0"/>
          <w:lang w:eastAsia="ko-KR"/>
        </w:rPr>
        <w:t xml:space="preserve"> the </w:t>
      </w:r>
      <w:r>
        <w:rPr>
          <w:b w:val="0"/>
          <w:lang w:eastAsia="ko-KR"/>
        </w:rPr>
        <w:t xml:space="preserve">suggested </w:t>
      </w:r>
      <w:r w:rsidRPr="00022BA7">
        <w:rPr>
          <w:b w:val="0"/>
          <w:lang w:eastAsia="ko-KR"/>
        </w:rPr>
        <w:t>model, a small number of infeasible estimates</w:t>
      </w:r>
      <w:r>
        <w:rPr>
          <w:b w:val="0"/>
          <w:lang w:eastAsia="ko-KR"/>
        </w:rPr>
        <w:t xml:space="preserve"> (i.e.,</w:t>
      </w:r>
      <w:r w:rsidRPr="00022BA7">
        <w:rPr>
          <w:b w:val="0"/>
          <w:lang w:eastAsia="ko-KR"/>
        </w:rPr>
        <w:t xml:space="preserve"> negative values</w:t>
      </w:r>
      <w:r>
        <w:rPr>
          <w:b w:val="0"/>
          <w:lang w:eastAsia="ko-KR"/>
        </w:rPr>
        <w:t>)</w:t>
      </w:r>
      <w:r w:rsidRPr="00022BA7">
        <w:rPr>
          <w:b w:val="0"/>
          <w:lang w:eastAsia="ko-KR"/>
        </w:rPr>
        <w:t xml:space="preserve"> were still produced. For those cases, the model proposed by Weng </w:t>
      </w:r>
      <w:r>
        <w:rPr>
          <w:b w:val="0"/>
          <w:lang w:eastAsia="ko-KR"/>
        </w:rPr>
        <w:t xml:space="preserve">et al. </w:t>
      </w:r>
      <w:r w:rsidRPr="00022BA7">
        <w:rPr>
          <w:b w:val="0"/>
          <w:lang w:eastAsia="ko-KR"/>
        </w:rPr>
        <w:t>was used</w:t>
      </w:r>
      <w:r w:rsidR="0001629B">
        <w:rPr>
          <w:b w:val="0"/>
          <w:lang w:eastAsia="ko-KR"/>
        </w:rPr>
        <w:fldChar w:fldCharType="begin"/>
      </w:r>
      <w:r w:rsidR="00C61E16">
        <w:rPr>
          <w:b w:val="0"/>
          <w:lang w:eastAsia="ko-KR"/>
        </w:rPr>
        <w:instrText xml:space="preserve"> ADDIN ZOTERO_ITEM CSL_CITATION {"citationID":"wmmXRZIh","properties":{"formattedCitation":"\\super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01629B">
        <w:rPr>
          <w:b w:val="0"/>
          <w:lang w:eastAsia="ko-KR"/>
        </w:rPr>
        <w:fldChar w:fldCharType="separate"/>
      </w:r>
      <w:r w:rsidR="00C61E16" w:rsidRPr="00C61E16">
        <w:rPr>
          <w:szCs w:val="24"/>
          <w:vertAlign w:val="superscript"/>
        </w:rPr>
        <w:t>10</w:t>
      </w:r>
      <w:r w:rsidR="0001629B">
        <w:rPr>
          <w:b w:val="0"/>
          <w:lang w:eastAsia="ko-KR"/>
        </w:rPr>
        <w:fldChar w:fldCharType="end"/>
      </w:r>
      <w:r w:rsidRPr="00022BA7">
        <w:rPr>
          <w:b w:val="0"/>
          <w:lang w:eastAsia="ko-KR"/>
        </w:rPr>
        <w:t xml:space="preserve">. Although Weng </w:t>
      </w:r>
      <w:r>
        <w:rPr>
          <w:b w:val="0"/>
          <w:lang w:eastAsia="ko-KR"/>
        </w:rPr>
        <w:t>et al.</w:t>
      </w:r>
      <w:r w:rsidR="00190F27">
        <w:rPr>
          <w:b w:val="0"/>
          <w:lang w:eastAsia="ko-KR"/>
        </w:rPr>
        <w:t>’</w:t>
      </w:r>
      <w:r w:rsidRPr="00022BA7">
        <w:rPr>
          <w:b w:val="0"/>
          <w:lang w:eastAsia="ko-KR"/>
        </w:rPr>
        <w:t xml:space="preserve">s model is less accurate </w:t>
      </w:r>
      <w:r>
        <w:rPr>
          <w:b w:val="0"/>
          <w:lang w:eastAsia="ko-KR"/>
        </w:rPr>
        <w:t xml:space="preserve">than </w:t>
      </w:r>
      <w:r w:rsidRPr="00022BA7">
        <w:rPr>
          <w:b w:val="0"/>
          <w:lang w:eastAsia="ko-KR"/>
        </w:rPr>
        <w:t xml:space="preserve">the IMO </w:t>
      </w:r>
      <w:r>
        <w:rPr>
          <w:b w:val="0"/>
          <w:lang w:eastAsia="ko-KR"/>
        </w:rPr>
        <w:t>model or</w:t>
      </w:r>
      <w:r w:rsidRPr="00022BA7">
        <w:rPr>
          <w:b w:val="0"/>
          <w:lang w:eastAsia="ko-KR"/>
        </w:rPr>
        <w:t xml:space="preserve"> the suggested model, it guarantees </w:t>
      </w:r>
      <w:r>
        <w:rPr>
          <w:b w:val="0"/>
          <w:lang w:eastAsia="ko-KR"/>
        </w:rPr>
        <w:t xml:space="preserve">a </w:t>
      </w:r>
      <w:r w:rsidRPr="00022BA7">
        <w:rPr>
          <w:b w:val="0"/>
          <w:lang w:eastAsia="ko-KR"/>
        </w:rPr>
        <w:t xml:space="preserve">positive </w:t>
      </w:r>
      <w:r>
        <w:rPr>
          <w:b w:val="0"/>
          <w:lang w:eastAsia="ko-KR"/>
        </w:rPr>
        <w:t xml:space="preserve">estimated </w:t>
      </w:r>
      <w:r w:rsidRPr="00022BA7">
        <w:rPr>
          <w:b w:val="0"/>
          <w:lang w:eastAsia="ko-KR"/>
        </w:rPr>
        <w:t xml:space="preserve">value and </w:t>
      </w:r>
      <w:r>
        <w:rPr>
          <w:b w:val="0"/>
          <w:lang w:eastAsia="ko-KR"/>
        </w:rPr>
        <w:t xml:space="preserve">is </w:t>
      </w:r>
      <w:r w:rsidRPr="00022BA7">
        <w:rPr>
          <w:b w:val="0"/>
          <w:lang w:eastAsia="ko-KR"/>
        </w:rPr>
        <w:t>simple</w:t>
      </w:r>
      <w:r>
        <w:rPr>
          <w:b w:val="0"/>
          <w:lang w:eastAsia="ko-KR"/>
        </w:rPr>
        <w:t xml:space="preserve"> to use</w:t>
      </w:r>
      <w:r w:rsidRPr="00022BA7">
        <w:rPr>
          <w:b w:val="0"/>
          <w:lang w:eastAsia="ko-KR"/>
        </w:rPr>
        <w:t xml:space="preserve">. Additionally, for ship types such as General Cargo and Tanker, which have insufficient instances, Weng </w:t>
      </w:r>
      <w:r>
        <w:rPr>
          <w:b w:val="0"/>
          <w:lang w:eastAsia="ko-KR"/>
        </w:rPr>
        <w:t>et al.</w:t>
      </w:r>
      <w:r w:rsidR="00190F27">
        <w:rPr>
          <w:b w:val="0"/>
          <w:lang w:eastAsia="ko-KR"/>
        </w:rPr>
        <w:t>’</w:t>
      </w:r>
      <w:r w:rsidRPr="00022BA7">
        <w:rPr>
          <w:b w:val="0"/>
          <w:lang w:eastAsia="ko-KR"/>
        </w:rPr>
        <w:t>s regression approach was applied as per equation (3)</w:t>
      </w:r>
      <w:r w:rsidR="0025139A">
        <w:rPr>
          <w:b w:val="0"/>
          <w:lang w:eastAsia="ko-KR"/>
        </w:rPr>
        <w:fldChar w:fldCharType="begin"/>
      </w:r>
      <w:r w:rsidR="00C61E16">
        <w:rPr>
          <w:b w:val="0"/>
          <w:lang w:eastAsia="ko-KR"/>
        </w:rPr>
        <w:instrText xml:space="preserve"> ADDIN ZOTERO_ITEM CSL_CITATION {"citationID":"ZgGVyZuO","properties":{"formattedCitation":"\\super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25139A">
        <w:rPr>
          <w:b w:val="0"/>
          <w:lang w:eastAsia="ko-KR"/>
        </w:rPr>
        <w:fldChar w:fldCharType="separate"/>
      </w:r>
      <w:r w:rsidR="00C61E16" w:rsidRPr="00C61E16">
        <w:rPr>
          <w:szCs w:val="24"/>
          <w:vertAlign w:val="superscript"/>
        </w:rPr>
        <w:t>10</w:t>
      </w:r>
      <w:r w:rsidR="0025139A">
        <w:rPr>
          <w:b w:val="0"/>
          <w:lang w:eastAsia="ko-KR"/>
        </w:rPr>
        <w:fldChar w:fldCharType="end"/>
      </w:r>
      <w:r>
        <w:rPr>
          <w:b w:val="0"/>
          <w:lang w:eastAsia="ko-KR"/>
        </w:rPr>
        <w:t>:</w:t>
      </w:r>
      <w:r w:rsidRPr="00022BA7">
        <w:rPr>
          <w:b w:val="0"/>
          <w:bCs/>
        </w:rPr>
        <w:t xml:space="preserve"> </w:t>
      </w:r>
    </w:p>
    <w:p w14:paraId="6D47169A" w14:textId="77777777" w:rsidR="00F3745B" w:rsidRPr="00022BA7" w:rsidRDefault="00F3745B" w:rsidP="00F3745B">
      <w:pPr>
        <w:pStyle w:val="Caption"/>
        <w:rPr>
          <w:b w:val="0"/>
          <w:lang w:eastAsia="ko-KR"/>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F3745B" w:rsidRPr="00022BA7" w14:paraId="093CC20B" w14:textId="77777777" w:rsidTr="00F95C74">
        <w:trPr>
          <w:trHeight w:val="300"/>
        </w:trPr>
        <w:tc>
          <w:tcPr>
            <w:tcW w:w="720" w:type="dxa"/>
          </w:tcPr>
          <w:p w14:paraId="5B3B0CE7" w14:textId="77777777" w:rsidR="00F3745B" w:rsidRPr="00022BA7" w:rsidRDefault="00F3745B" w:rsidP="00F95C74">
            <w:pPr>
              <w:rPr>
                <w:i/>
              </w:rPr>
            </w:pPr>
          </w:p>
        </w:tc>
        <w:tc>
          <w:tcPr>
            <w:tcW w:w="7920" w:type="dxa"/>
          </w:tcPr>
          <w:p w14:paraId="036AD69C" w14:textId="77777777" w:rsidR="00F3745B" w:rsidRPr="00022BA7" w:rsidRDefault="00590C69" w:rsidP="00F95C74">
            <w:pPr>
              <w:rPr>
                <w:rFonts w:eastAsia="Malgun Gothic" w:cs="Times New Roman"/>
                <w:i/>
              </w:rPr>
            </w:pPr>
            <m:oMathPara>
              <m:oMath>
                <m:sSubSup>
                  <m:sSubSupPr>
                    <m:ctrlPr>
                      <w:rPr>
                        <w:rFonts w:ascii="Cambria Math" w:hAnsi="Cambria Math"/>
                        <w:i/>
                      </w:rPr>
                    </m:ctrlPr>
                  </m:sSubSupPr>
                  <m:e>
                    <m:r>
                      <w:rPr>
                        <w:rFonts w:ascii="Cambria Math" w:hAnsi="Cambria Math"/>
                      </w:rPr>
                      <m:t>CAP</m:t>
                    </m:r>
                  </m:e>
                  <m:sub>
                    <m:r>
                      <w:rPr>
                        <w:rFonts w:ascii="Cambria Math" w:hAnsi="Cambria Math"/>
                      </w:rPr>
                      <m:t>v,W</m:t>
                    </m:r>
                  </m:sub>
                  <m:sup>
                    <m:r>
                      <w:rPr>
                        <w:rFonts w:ascii="Cambria Math" w:hAnsi="Cambria Math"/>
                      </w:rPr>
                      <m:t>ME</m:t>
                    </m:r>
                  </m:sup>
                </m:sSub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 xml:space="preserve">1, </m:t>
                    </m:r>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 xml:space="preserve"> ⋅</m:t>
                </m:r>
                <m:sSubSup>
                  <m:sSubSupPr>
                    <m:ctrlPr>
                      <w:rPr>
                        <w:rFonts w:ascii="Cambria Math" w:hAnsi="Cambria Math"/>
                        <w:i/>
                      </w:rPr>
                    </m:ctrlPr>
                  </m:sSubSupPr>
                  <m:e>
                    <m:r>
                      <w:rPr>
                        <w:rFonts w:ascii="Cambria Math" w:hAnsi="Cambria Math"/>
                      </w:rPr>
                      <m:t>GT</m:t>
                    </m:r>
                  </m:e>
                  <m:sub>
                    <m:r>
                      <w:rPr>
                        <w:rFonts w:ascii="Cambria Math" w:hAnsi="Cambria Math"/>
                      </w:rPr>
                      <m:t>v</m:t>
                    </m:r>
                  </m:sub>
                  <m:sup>
                    <m:sSub>
                      <m:sSubPr>
                        <m:ctrlPr>
                          <w:rPr>
                            <w:rFonts w:ascii="Cambria Math" w:hAnsi="Cambria Math"/>
                            <w:i/>
                          </w:rPr>
                        </m:ctrlPr>
                      </m:sSubPr>
                      <m:e>
                        <m:r>
                          <w:rPr>
                            <w:rFonts w:ascii="Cambria Math" w:hAnsi="Cambria Math"/>
                          </w:rPr>
                          <m:t>c</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sup>
                </m:sSubSup>
              </m:oMath>
            </m:oMathPara>
          </w:p>
        </w:tc>
        <w:tc>
          <w:tcPr>
            <w:tcW w:w="720" w:type="dxa"/>
          </w:tcPr>
          <w:p w14:paraId="34B7C63C" w14:textId="77777777" w:rsidR="00F3745B" w:rsidRPr="00022BA7" w:rsidRDefault="00F3745B" w:rsidP="00F95C74">
            <w:pPr>
              <w:jc w:val="right"/>
            </w:pPr>
            <w:r w:rsidRPr="00022BA7">
              <w:rPr>
                <w:rFonts w:ascii="Cambria Math" w:hAnsi="Cambria Math"/>
              </w:rPr>
              <w:t>(3)</w:t>
            </w:r>
          </w:p>
        </w:tc>
      </w:tr>
    </w:tbl>
    <w:p w14:paraId="7AECD617" w14:textId="77777777" w:rsidR="00F3745B" w:rsidRPr="00022BA7" w:rsidRDefault="00F3745B" w:rsidP="00F3745B">
      <w:pPr>
        <w:rPr>
          <w:b/>
        </w:rPr>
      </w:pPr>
    </w:p>
    <w:p w14:paraId="6ADE361A" w14:textId="2F239529" w:rsidR="00F3745B" w:rsidRPr="00022BA7" w:rsidRDefault="00F3745B" w:rsidP="006821A0">
      <w:pPr>
        <w:rPr>
          <w:b/>
          <w:lang w:eastAsia="ko-KR"/>
        </w:rPr>
      </w:pPr>
      <w:r w:rsidRPr="00022BA7">
        <w:rPr>
          <w:lang w:eastAsia="ko-KR"/>
        </w:rPr>
        <w:t>where</w:t>
      </w:r>
      <w:r w:rsidRPr="00B84F31">
        <w:rPr>
          <w:rFonts w:ascii="Cambria Math" w:hAnsi="Cambria Math"/>
          <w:i/>
        </w:rPr>
        <w:t xml:space="preserve"> </w:t>
      </w:r>
      <m:oMath>
        <m:sSubSup>
          <m:sSubSupPr>
            <m:ctrlPr>
              <w:rPr>
                <w:rFonts w:ascii="Cambria Math" w:hAnsi="Cambria Math"/>
                <w:i/>
              </w:rPr>
            </m:ctrlPr>
          </m:sSubSupPr>
          <m:e>
            <m:r>
              <w:rPr>
                <w:rFonts w:ascii="Cambria Math" w:hAnsi="Cambria Math"/>
              </w:rPr>
              <m:t>CAP</m:t>
            </m:r>
          </m:e>
          <m:sub>
            <m:r>
              <w:rPr>
                <w:rFonts w:ascii="Cambria Math" w:hAnsi="Cambria Math"/>
              </w:rPr>
              <m:t>v,W</m:t>
            </m:r>
          </m:sub>
          <m:sup>
            <m:r>
              <w:rPr>
                <w:rFonts w:ascii="Cambria Math" w:hAnsi="Cambria Math"/>
              </w:rPr>
              <m:t>ME</m:t>
            </m:r>
          </m:sup>
        </m:sSubSup>
      </m:oMath>
      <w:r w:rsidRPr="00B84F31">
        <w:rPr>
          <w:rFonts w:ascii="Cambria Math" w:hAnsi="Cambria Math"/>
          <w:i/>
        </w:rPr>
        <w:t xml:space="preserve"> </w:t>
      </w:r>
      <w:r w:rsidRPr="00B84F31">
        <w:rPr>
          <w:rFonts w:ascii="Cambria Math" w:hAnsi="Cambria Math"/>
        </w:rPr>
        <w:t>i</w:t>
      </w:r>
      <w:r w:rsidRPr="00022BA7">
        <w:rPr>
          <w:lang w:eastAsia="ko-KR"/>
        </w:rPr>
        <w:t xml:space="preserve">s estimated capacity based on Weng </w:t>
      </w:r>
      <w:r>
        <w:rPr>
          <w:lang w:eastAsia="ko-KR"/>
        </w:rPr>
        <w:t>et al.</w:t>
      </w:r>
      <w:r w:rsidR="00190F27">
        <w:rPr>
          <w:lang w:eastAsia="ko-KR"/>
        </w:rPr>
        <w:t>’</w:t>
      </w:r>
      <w:r w:rsidRPr="00022BA7">
        <w:rPr>
          <w:lang w:eastAsia="ko-KR"/>
        </w:rPr>
        <w:t>s regression model (3),</w:t>
      </w:r>
      <w:r>
        <w:rPr>
          <w:lang w:eastAsia="ko-KR"/>
        </w:rPr>
        <w:t xml:space="preserve"> and</w:t>
      </w:r>
      <w:r w:rsidRPr="00022BA7">
        <w:rPr>
          <w:lang w:eastAsia="ko-KR"/>
        </w:rPr>
        <w:t xml:space="preserve"> </w:t>
      </w:r>
      <m:oMath>
        <m:sSub>
          <m:sSubPr>
            <m:ctrlPr>
              <w:rPr>
                <w:rFonts w:ascii="Cambria Math" w:hAnsi="Cambria Math"/>
                <w:i/>
              </w:rPr>
            </m:ctrlPr>
          </m:sSubPr>
          <m:e>
            <m:r>
              <w:rPr>
                <w:rFonts w:ascii="Cambria Math" w:hAnsi="Cambria Math"/>
              </w:rPr>
              <m:t>c</m:t>
            </m:r>
          </m:e>
          <m:sub>
            <m:r>
              <w:rPr>
                <w:rFonts w:ascii="Cambria Math" w:hAnsi="Cambria Math"/>
              </w:rPr>
              <m:t>1,</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rPr>
          <w:lang w:eastAsia="ko-KR"/>
        </w:rPr>
        <w:t xml:space="preserve"> and</w:t>
      </w:r>
      <m:oMath>
        <m:r>
          <m:rPr>
            <m:sty m:val="b"/>
          </m:rPr>
          <w:rPr>
            <w:rFonts w:ascii="Cambria Math" w:hAnsi="Cambria Math"/>
            <w:lang w:eastAsia="ko-KR"/>
          </w:rPr>
          <m:t xml:space="preserve">  </m:t>
        </m:r>
        <m:sSub>
          <m:sSubPr>
            <m:ctrlPr>
              <w:rPr>
                <w:rFonts w:ascii="Cambria Math" w:hAnsi="Cambria Math"/>
                <w:i/>
              </w:rPr>
            </m:ctrlPr>
          </m:sSubPr>
          <m:e>
            <m:r>
              <w:rPr>
                <w:rFonts w:ascii="Cambria Math" w:hAnsi="Cambria Math"/>
              </w:rPr>
              <m:t>c</m:t>
            </m:r>
          </m:e>
          <m:sub>
            <m:r>
              <w:rPr>
                <w:rFonts w:ascii="Cambria Math" w:hAnsi="Cambria Math"/>
              </w:rPr>
              <m:t>2,</m:t>
            </m:r>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rPr>
          <w:lang w:eastAsia="ko-KR"/>
        </w:rPr>
        <w:t xml:space="preserve"> are coefficients by ship types as presented </w:t>
      </w:r>
      <w:r w:rsidRPr="00CF0E90">
        <w:rPr>
          <w:lang w:eastAsia="ko-KR"/>
        </w:rPr>
        <w:t>in</w:t>
      </w:r>
      <w:r w:rsidR="00CF0E90" w:rsidRPr="00B84F31">
        <w:rPr>
          <w:lang w:eastAsia="ko-KR"/>
        </w:rPr>
        <w:t xml:space="preserve"> </w:t>
      </w:r>
      <w:r w:rsidR="00CF0E90" w:rsidRPr="00B84F31">
        <w:rPr>
          <w:lang w:eastAsia="ko-KR"/>
        </w:rPr>
        <w:fldChar w:fldCharType="begin"/>
      </w:r>
      <w:r w:rsidR="00CF0E90" w:rsidRPr="00B84F31">
        <w:rPr>
          <w:lang w:eastAsia="ko-KR"/>
        </w:rPr>
        <w:instrText xml:space="preserve"> REF _Ref144852158 \h </w:instrText>
      </w:r>
      <w:r w:rsidR="00CF0E90" w:rsidRPr="00CF0E90">
        <w:rPr>
          <w:lang w:eastAsia="ko-KR"/>
        </w:rPr>
        <w:instrText xml:space="preserve"> \* MERGEFORMAT </w:instrText>
      </w:r>
      <w:r w:rsidR="00CF0E90" w:rsidRPr="00B84F31">
        <w:rPr>
          <w:lang w:eastAsia="ko-KR"/>
        </w:rPr>
      </w:r>
      <w:r w:rsidR="00CF0E90" w:rsidRPr="00B84F31">
        <w:rPr>
          <w:lang w:eastAsia="ko-KR"/>
        </w:rPr>
        <w:fldChar w:fldCharType="separate"/>
      </w:r>
      <w:r w:rsidR="00C661AC">
        <w:t xml:space="preserve">Supplementary </w:t>
      </w:r>
      <w:r w:rsidR="00C661AC" w:rsidRPr="00022BA7">
        <w:rPr>
          <w:noProof/>
        </w:rPr>
        <w:t>Table</w:t>
      </w:r>
      <w:r w:rsidR="00C661AC" w:rsidRPr="00022BA7">
        <w:t xml:space="preserve"> </w:t>
      </w:r>
      <w:r w:rsidR="00C661AC">
        <w:rPr>
          <w:noProof/>
        </w:rPr>
        <w:t>7</w:t>
      </w:r>
      <w:r w:rsidR="00CF0E90" w:rsidRPr="00B84F31">
        <w:rPr>
          <w:lang w:eastAsia="ko-KR"/>
        </w:rPr>
        <w:fldChar w:fldCharType="end"/>
      </w:r>
      <w:r w:rsidR="004A550C">
        <w:rPr>
          <w:b/>
          <w:lang w:eastAsia="ko-KR"/>
        </w:rPr>
        <w:fldChar w:fldCharType="begin"/>
      </w:r>
      <w:r w:rsidR="00C61E16">
        <w:rPr>
          <w:b/>
          <w:lang w:eastAsia="ko-KR"/>
        </w:rPr>
        <w:instrText xml:space="preserve"> ADDIN ZOTERO_ITEM CSL_CITATION {"citationID":"dfWxuFHh","properties":{"formattedCitation":"\\super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4A550C">
        <w:rPr>
          <w:b/>
          <w:lang w:eastAsia="ko-KR"/>
        </w:rPr>
        <w:fldChar w:fldCharType="separate"/>
      </w:r>
      <w:r w:rsidR="00C61E16" w:rsidRPr="00C61E16">
        <w:rPr>
          <w:rFonts w:cs="Times New Roman"/>
          <w:szCs w:val="24"/>
          <w:vertAlign w:val="superscript"/>
        </w:rPr>
        <w:t>10</w:t>
      </w:r>
      <w:r w:rsidR="004A550C">
        <w:rPr>
          <w:b/>
          <w:lang w:eastAsia="ko-KR"/>
        </w:rPr>
        <w:fldChar w:fldCharType="end"/>
      </w:r>
      <w:r w:rsidRPr="00022BA7">
        <w:rPr>
          <w:lang w:eastAsia="ko-KR"/>
        </w:rPr>
        <w:t>.</w:t>
      </w:r>
    </w:p>
    <w:p w14:paraId="3A84CFE0" w14:textId="77777777" w:rsidR="00F3745B" w:rsidRPr="00022BA7" w:rsidRDefault="00F3745B" w:rsidP="00F3745B">
      <w:pPr>
        <w:jc w:val="center"/>
        <w:rPr>
          <w:rFonts w:ascii="Cambria Math" w:hAnsi="Cambria Math"/>
          <w:i/>
        </w:rPr>
      </w:pPr>
    </w:p>
    <w:p w14:paraId="142790E1" w14:textId="163DC5E5" w:rsidR="00F3745B" w:rsidRPr="00022BA7" w:rsidRDefault="00F3745B" w:rsidP="00F3745B">
      <w:pPr>
        <w:rPr>
          <w:color w:val="000000" w:themeColor="text1"/>
        </w:rPr>
      </w:pPr>
      <w:r w:rsidRPr="00022BA7">
        <w:t xml:space="preserve">We noted </w:t>
      </w:r>
      <w:r>
        <w:t>earlier</w:t>
      </w:r>
      <w:r w:rsidRPr="00022BA7">
        <w:t xml:space="preserve"> that 91%</w:t>
      </w:r>
      <w:r w:rsidR="00684FE8">
        <w:t xml:space="preserve"> of</w:t>
      </w:r>
      <w:r w:rsidRPr="00022BA7">
        <w:t xml:space="preserve"> auxiliary engine capacity data are missing. To estimate the missing information, we used the ratio </w:t>
      </w:r>
      <w:r w:rsidRPr="00324D11">
        <w:t>of auxiliary engine power to main engine power</w:t>
      </w:r>
      <w:r w:rsidRPr="00022BA7">
        <w:t xml:space="preserve"> by ship type</w:t>
      </w:r>
      <w:r>
        <w:t>, as shown in equation (4):</w:t>
      </w:r>
      <w:r w:rsidRPr="00022BA7">
        <w:t xml:space="preserve"> </w:t>
      </w:r>
    </w:p>
    <w:p w14:paraId="4CEDCCAC" w14:textId="77777777" w:rsidR="00F3745B" w:rsidRPr="00022BA7" w:rsidRDefault="00F3745B" w:rsidP="00F3745B">
      <w:pPr>
        <w:rPr>
          <w:i/>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F3745B" w:rsidRPr="00022BA7" w14:paraId="47814C93" w14:textId="77777777" w:rsidTr="00F95C74">
        <w:trPr>
          <w:trHeight w:val="300"/>
        </w:trPr>
        <w:tc>
          <w:tcPr>
            <w:tcW w:w="720" w:type="dxa"/>
          </w:tcPr>
          <w:p w14:paraId="59D1C085" w14:textId="77777777" w:rsidR="00F3745B" w:rsidRPr="00022BA7" w:rsidRDefault="00F3745B" w:rsidP="00F95C74">
            <w:pPr>
              <w:rPr>
                <w:i/>
              </w:rPr>
            </w:pPr>
          </w:p>
        </w:tc>
        <w:tc>
          <w:tcPr>
            <w:tcW w:w="7920" w:type="dxa"/>
          </w:tcPr>
          <w:p w14:paraId="5ED38695" w14:textId="77777777" w:rsidR="00F3745B" w:rsidRPr="00022BA7" w:rsidRDefault="00590C69" w:rsidP="00F95C74">
            <w:pPr>
              <w:rPr>
                <w:rFonts w:eastAsia="Malgun Gothic" w:cs="Times New Roman"/>
                <w:i/>
              </w:rPr>
            </w:pPr>
            <m:oMathPara>
              <m:oMath>
                <m:sSubSup>
                  <m:sSubSupPr>
                    <m:ctrlPr>
                      <w:rPr>
                        <w:rFonts w:ascii="Cambria Math" w:hAnsi="Cambria Math"/>
                        <w:i/>
                      </w:rPr>
                    </m:ctrlPr>
                  </m:sSubSupPr>
                  <m:e>
                    <m:r>
                      <w:rPr>
                        <w:rFonts w:ascii="Cambria Math" w:hAnsi="Cambria Math"/>
                      </w:rPr>
                      <m:t>CAP</m:t>
                    </m:r>
                  </m:e>
                  <m:sub>
                    <m:r>
                      <w:rPr>
                        <w:rFonts w:ascii="Cambria Math" w:hAnsi="Cambria Math"/>
                      </w:rPr>
                      <m:t>v</m:t>
                    </m:r>
                  </m:sub>
                  <m:sup>
                    <m:r>
                      <w:rPr>
                        <w:rFonts w:ascii="Cambria Math" w:hAnsi="Cambria Math"/>
                      </w:rPr>
                      <m:t>AE</m:t>
                    </m:r>
                  </m:sup>
                </m:sSubSup>
                <m:r>
                  <w:rPr>
                    <w:rFonts w:ascii="Cambria Math" w:hAnsi="Cambria Math"/>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d</m:t>
                        </m:r>
                      </m:e>
                      <m:sub>
                        <m:sSub>
                          <m:sSubPr>
                            <m:ctrlPr>
                              <w:rPr>
                                <w:rFonts w:ascii="Cambria Math" w:hAnsi="Cambria Math"/>
                                <w:i/>
                              </w:rPr>
                            </m:ctrlPr>
                          </m:sSubPr>
                          <m:e>
                            <m:r>
                              <w:rPr>
                                <w:rFonts w:ascii="Cambria Math" w:hAnsi="Cambria Math"/>
                              </w:rPr>
                              <m:t>ST</m:t>
                            </m:r>
                          </m:e>
                          <m:sub>
                            <m:r>
                              <w:rPr>
                                <w:rFonts w:ascii="Cambria Math" w:hAnsi="Cambria Math"/>
                              </w:rPr>
                              <m:t>v</m:t>
                            </m:r>
                          </m:sub>
                        </m:sSub>
                      </m:sub>
                    </m:sSub>
                    <m:r>
                      <w:rPr>
                        <w:rFonts w:ascii="Cambria Math" w:hAnsi="Cambria Math"/>
                      </w:rPr>
                      <m:t>CAP</m:t>
                    </m:r>
                  </m:e>
                  <m:sub>
                    <m:r>
                      <w:rPr>
                        <w:rFonts w:ascii="Cambria Math" w:hAnsi="Cambria Math"/>
                      </w:rPr>
                      <m:t>v</m:t>
                    </m:r>
                  </m:sub>
                  <m:sup>
                    <m:r>
                      <w:rPr>
                        <w:rFonts w:ascii="Cambria Math" w:hAnsi="Cambria Math"/>
                      </w:rPr>
                      <m:t>ME</m:t>
                    </m:r>
                  </m:sup>
                </m:sSubSup>
                <m:r>
                  <w:rPr>
                    <w:rFonts w:ascii="Cambria Math" w:hAnsi="Cambria Math"/>
                  </w:rPr>
                  <m:t xml:space="preserve"> </m:t>
                </m:r>
              </m:oMath>
            </m:oMathPara>
          </w:p>
        </w:tc>
        <w:tc>
          <w:tcPr>
            <w:tcW w:w="720" w:type="dxa"/>
          </w:tcPr>
          <w:p w14:paraId="73DEDAEB" w14:textId="77777777" w:rsidR="00F3745B" w:rsidRPr="00022BA7" w:rsidRDefault="00F3745B" w:rsidP="00F95C74">
            <w:pPr>
              <w:jc w:val="right"/>
            </w:pPr>
            <w:r w:rsidRPr="00022BA7">
              <w:t>(4)</w:t>
            </w:r>
          </w:p>
        </w:tc>
      </w:tr>
    </w:tbl>
    <w:p w14:paraId="46639020" w14:textId="77777777" w:rsidR="00F3745B" w:rsidRDefault="00F3745B" w:rsidP="00F3745B">
      <w:pPr>
        <w:rPr>
          <w:rFonts w:ascii="Cambria Math" w:hAnsi="Cambria Math"/>
          <w:iCs/>
        </w:rPr>
      </w:pPr>
    </w:p>
    <w:p w14:paraId="749CE49A" w14:textId="6703D3E4" w:rsidR="00F3745B" w:rsidRPr="00022BA7" w:rsidRDefault="00F3745B" w:rsidP="00F3745B">
      <w:pPr>
        <w:rPr>
          <w:color w:val="000000" w:themeColor="text1"/>
        </w:rPr>
      </w:pPr>
      <w:r w:rsidRPr="00753C1D">
        <w:t>where</w:t>
      </w:r>
      <m:oMath>
        <m:r>
          <m:rPr>
            <m:sty m:val="p"/>
          </m:rPr>
          <w:rPr>
            <w:rFonts w:ascii="Cambria Math" w:hAnsi="Cambria Math"/>
          </w:rPr>
          <m:t xml:space="preserve"> </m:t>
        </m:r>
        <m:sSub>
          <m:sSubPr>
            <m:ctrlPr>
              <w:rPr>
                <w:rFonts w:ascii="Cambria Math" w:hAnsi="Cambria Math"/>
                <w:i/>
              </w:rPr>
            </m:ctrlPr>
          </m:sSubPr>
          <m:e>
            <m:r>
              <w:rPr>
                <w:rFonts w:ascii="Cambria Math" w:hAnsi="Cambria Math"/>
              </w:rPr>
              <m:t>d</m:t>
            </m:r>
          </m:e>
          <m:sub>
            <m:sSub>
              <m:sSubPr>
                <m:ctrlPr>
                  <w:rPr>
                    <w:rFonts w:ascii="Cambria Math" w:hAnsi="Cambria Math"/>
                    <w:i/>
                  </w:rPr>
                </m:ctrlPr>
              </m:sSubPr>
              <m:e>
                <m:r>
                  <w:rPr>
                    <w:rFonts w:ascii="Cambria Math" w:hAnsi="Cambria Math"/>
                  </w:rPr>
                  <m:t>ST</m:t>
                </m:r>
              </m:e>
              <m:sub>
                <m:r>
                  <w:rPr>
                    <w:rFonts w:ascii="Cambria Math" w:hAnsi="Cambria Math"/>
                  </w:rPr>
                  <m:t>v</m:t>
                </m:r>
              </m:sub>
            </m:sSub>
          </m:sub>
        </m:sSub>
      </m:oMath>
      <w:r w:rsidRPr="00022BA7">
        <w:t xml:space="preserve"> is the average ratio </w:t>
      </w:r>
      <w:r w:rsidR="00684FE8">
        <w:t xml:space="preserve">of </w:t>
      </w:r>
      <w:r w:rsidRPr="00022BA7">
        <w:t xml:space="preserve">auxiliary engine capacity over the main engine capacity as shown in </w:t>
      </w:r>
      <w:r w:rsidR="00732320">
        <w:fldChar w:fldCharType="begin"/>
      </w:r>
      <w:r w:rsidR="00732320">
        <w:instrText xml:space="preserve"> REF _Ref144852262 \h </w:instrText>
      </w:r>
      <w:r w:rsidR="00732320">
        <w:fldChar w:fldCharType="separate"/>
      </w:r>
      <w:r w:rsidR="00C661AC">
        <w:t xml:space="preserve">Supplementary </w:t>
      </w:r>
      <w:r w:rsidR="00C661AC" w:rsidRPr="00022BA7">
        <w:t xml:space="preserve">Table </w:t>
      </w:r>
      <w:r w:rsidR="00C661AC">
        <w:rPr>
          <w:noProof/>
        </w:rPr>
        <w:t>8</w:t>
      </w:r>
      <w:r w:rsidR="00732320">
        <w:fldChar w:fldCharType="end"/>
      </w:r>
      <w:r w:rsidRPr="00022BA7">
        <w:t>. For General Cargo, Tanker, and Passenger</w:t>
      </w:r>
      <w:r>
        <w:t xml:space="preserve"> ship types</w:t>
      </w:r>
      <w:r w:rsidRPr="00022BA7">
        <w:t>, the ratios presented by Weng</w:t>
      </w:r>
      <w:r w:rsidR="00913053">
        <w:t xml:space="preserve"> </w:t>
      </w:r>
      <w:r w:rsidRPr="00022BA7">
        <w:t>are used</w:t>
      </w:r>
      <w:r w:rsidR="008D3683">
        <w:rPr>
          <w:b/>
          <w:lang w:eastAsia="ko-KR"/>
        </w:rPr>
        <w:fldChar w:fldCharType="begin"/>
      </w:r>
      <w:r w:rsidR="00C61E16">
        <w:rPr>
          <w:b/>
          <w:lang w:eastAsia="ko-KR"/>
        </w:rPr>
        <w:instrText xml:space="preserve"> ADDIN ZOTERO_ITEM CSL_CITATION {"citationID":"LRcZGYeA","properties":{"formattedCitation":"\\super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8D3683">
        <w:rPr>
          <w:b/>
          <w:lang w:eastAsia="ko-KR"/>
        </w:rPr>
        <w:fldChar w:fldCharType="separate"/>
      </w:r>
      <w:r w:rsidR="00C61E16" w:rsidRPr="00C61E16">
        <w:rPr>
          <w:rFonts w:cs="Times New Roman"/>
          <w:szCs w:val="24"/>
          <w:vertAlign w:val="superscript"/>
        </w:rPr>
        <w:t>10</w:t>
      </w:r>
      <w:r w:rsidR="008D3683">
        <w:rPr>
          <w:b/>
          <w:lang w:eastAsia="ko-KR"/>
        </w:rPr>
        <w:fldChar w:fldCharType="end"/>
      </w:r>
      <w:r>
        <w:t>. F</w:t>
      </w:r>
      <w:r w:rsidRPr="00022BA7">
        <w:t>or Tugs, the ratios derived from the ship database are used.</w:t>
      </w:r>
    </w:p>
    <w:p w14:paraId="41FAE500" w14:textId="77777777" w:rsidR="00F3745B" w:rsidRPr="00022BA7" w:rsidRDefault="00F3745B" w:rsidP="00F3745B"/>
    <w:p w14:paraId="670A0AA5" w14:textId="77777777" w:rsidR="00F3745B" w:rsidRPr="00022BA7" w:rsidRDefault="00F3745B" w:rsidP="00B84F31">
      <w:pPr>
        <w:pStyle w:val="Heading3"/>
      </w:pPr>
      <w:bookmarkStart w:id="76" w:name="_Ref144853802"/>
      <w:r w:rsidRPr="00022BA7">
        <w:t>Displacement</w:t>
      </w:r>
      <w:bookmarkEnd w:id="76"/>
    </w:p>
    <w:p w14:paraId="0747599A" w14:textId="742793F0" w:rsidR="00F3745B" w:rsidRPr="00022BA7" w:rsidRDefault="00F3745B" w:rsidP="00F3745B">
      <w:pPr>
        <w:rPr>
          <w:lang w:eastAsia="ko-KR"/>
        </w:rPr>
      </w:pPr>
      <w:r w:rsidRPr="00022BA7">
        <w:rPr>
          <w:lang w:eastAsia="ko-KR"/>
        </w:rPr>
        <w:t xml:space="preserve">Displacement refers to the weight of the water displaced by a ship, representing the total weight of the vessel in metric </w:t>
      </w:r>
      <w:proofErr w:type="spellStart"/>
      <w:r w:rsidRPr="00022BA7">
        <w:rPr>
          <w:lang w:eastAsia="ko-KR"/>
        </w:rPr>
        <w:t>tonnes</w:t>
      </w:r>
      <w:proofErr w:type="spellEnd"/>
      <w:r w:rsidRPr="00022BA7">
        <w:t xml:space="preserve">. </w:t>
      </w:r>
      <w:r w:rsidRPr="00022BA7">
        <w:rPr>
          <w:lang w:eastAsia="ko-KR"/>
        </w:rPr>
        <w:t xml:space="preserve">Although GT does not directly represent weight, it </w:t>
      </w:r>
      <w:r>
        <w:rPr>
          <w:lang w:eastAsia="ko-KR"/>
        </w:rPr>
        <w:t xml:space="preserve">does </w:t>
      </w:r>
      <w:r w:rsidRPr="00022BA7">
        <w:rPr>
          <w:lang w:eastAsia="ko-KR"/>
        </w:rPr>
        <w:t>indicat</w:t>
      </w:r>
      <w:r>
        <w:rPr>
          <w:lang w:eastAsia="ko-KR"/>
        </w:rPr>
        <w:t>e</w:t>
      </w:r>
      <w:r w:rsidRPr="00022BA7">
        <w:rPr>
          <w:lang w:eastAsia="ko-KR"/>
        </w:rPr>
        <w:t xml:space="preserve"> ship size. Therefore, a larger GT suggests a larger ship, which can be expected to have a heavier weight. Based on this expectation, an estimation of displacement was derived </w:t>
      </w:r>
      <w:r w:rsidRPr="00324D11">
        <w:rPr>
          <w:lang w:eastAsia="ko-KR"/>
        </w:rPr>
        <w:t>from GT</w:t>
      </w:r>
      <w:r w:rsidRPr="00022BA7">
        <w:rPr>
          <w:lang w:eastAsia="ko-KR"/>
        </w:rPr>
        <w:t xml:space="preserve">. A total of 180 vessels with 50-1000 GT were analyzed, as depicted in </w:t>
      </w:r>
      <w:r w:rsidR="00062C4E">
        <w:rPr>
          <w:lang w:eastAsia="ko-KR"/>
        </w:rPr>
        <w:fldChar w:fldCharType="begin"/>
      </w:r>
      <w:r w:rsidR="00062C4E">
        <w:rPr>
          <w:lang w:eastAsia="ko-KR"/>
        </w:rPr>
        <w:instrText xml:space="preserve"> REF _Ref144852291 \h </w:instrText>
      </w:r>
      <w:r w:rsidR="00062C4E">
        <w:rPr>
          <w:lang w:eastAsia="ko-KR"/>
        </w:rPr>
      </w:r>
      <w:r w:rsidR="00062C4E">
        <w:rPr>
          <w:lang w:eastAsia="ko-KR"/>
        </w:rPr>
        <w:fldChar w:fldCharType="separate"/>
      </w:r>
      <w:r w:rsidR="00C661AC">
        <w:t xml:space="preserve">Supplementary </w:t>
      </w:r>
      <w:r w:rsidR="00C661AC" w:rsidRPr="00022BA7">
        <w:t xml:space="preserve">Figure </w:t>
      </w:r>
      <w:r w:rsidR="00C661AC">
        <w:rPr>
          <w:noProof/>
        </w:rPr>
        <w:t>8</w:t>
      </w:r>
      <w:r w:rsidR="00062C4E">
        <w:rPr>
          <w:lang w:eastAsia="ko-KR"/>
        </w:rPr>
        <w:fldChar w:fldCharType="end"/>
      </w:r>
      <w:r w:rsidRPr="00022BA7">
        <w:rPr>
          <w:lang w:eastAsia="ko-KR"/>
        </w:rPr>
        <w:t>. The results demonstrate that the displacement can be estimated as 1.84 times the GT, yielding a reasonably good approximation with a high R-square</w:t>
      </w:r>
      <w:r>
        <w:rPr>
          <w:lang w:eastAsia="ko-KR"/>
        </w:rPr>
        <w:t>d</w:t>
      </w:r>
      <w:r w:rsidRPr="00022BA7">
        <w:rPr>
          <w:lang w:eastAsia="ko-KR"/>
        </w:rPr>
        <w:t xml:space="preserve"> value of 0.7622. </w:t>
      </w:r>
      <w:r>
        <w:rPr>
          <w:lang w:eastAsia="ko-KR"/>
        </w:rPr>
        <w:t>E</w:t>
      </w:r>
      <w:r w:rsidRPr="00022BA7">
        <w:rPr>
          <w:lang w:eastAsia="ko-KR"/>
        </w:rPr>
        <w:t>stimated displacement will be used to compare the weight of BES</w:t>
      </w:r>
      <w:r>
        <w:rPr>
          <w:lang w:eastAsia="ko-KR"/>
        </w:rPr>
        <w:t>s</w:t>
      </w:r>
      <w:r w:rsidRPr="00022BA7">
        <w:rPr>
          <w:lang w:eastAsia="ko-KR"/>
        </w:rPr>
        <w:t xml:space="preserve"> with that of </w:t>
      </w:r>
      <w:r w:rsidR="003F663A">
        <w:rPr>
          <w:lang w:eastAsia="ko-KR"/>
        </w:rPr>
        <w:t>i</w:t>
      </w:r>
      <w:r w:rsidR="003F663A">
        <w:rPr>
          <w:color w:val="000000"/>
        </w:rPr>
        <w:t>nternal combustion engine (</w:t>
      </w:r>
      <w:r w:rsidRPr="00022BA7">
        <w:rPr>
          <w:lang w:eastAsia="ko-KR"/>
        </w:rPr>
        <w:t>ICE</w:t>
      </w:r>
      <w:r w:rsidR="003F663A">
        <w:rPr>
          <w:lang w:eastAsia="ko-KR"/>
        </w:rPr>
        <w:t>) ships</w:t>
      </w:r>
      <w:r w:rsidRPr="00022BA7">
        <w:rPr>
          <w:lang w:eastAsia="ko-KR"/>
        </w:rPr>
        <w:t>, as explained in detail in</w:t>
      </w:r>
      <w:r w:rsidR="002E6829">
        <w:rPr>
          <w:lang w:eastAsia="ko-KR"/>
        </w:rPr>
        <w:t xml:space="preserve"> </w:t>
      </w:r>
      <w:r w:rsidR="00824B22">
        <w:rPr>
          <w:lang w:eastAsia="ko-KR"/>
        </w:rPr>
        <w:t xml:space="preserve">the </w:t>
      </w:r>
      <w:r w:rsidR="00BC0F2C">
        <w:rPr>
          <w:lang w:eastAsia="ko-KR"/>
        </w:rPr>
        <w:t xml:space="preserve">section </w:t>
      </w:r>
      <w:r w:rsidR="00824B22">
        <w:rPr>
          <w:lang w:eastAsia="ko-KR"/>
        </w:rPr>
        <w:t>“</w:t>
      </w:r>
      <w:r w:rsidR="00887EB8">
        <w:rPr>
          <w:lang w:eastAsia="ko-KR"/>
        </w:rPr>
        <w:fldChar w:fldCharType="begin"/>
      </w:r>
      <w:r w:rsidR="00887EB8">
        <w:rPr>
          <w:lang w:eastAsia="ko-KR"/>
        </w:rPr>
        <w:instrText xml:space="preserve"> REF _Ref144852344 \h </w:instrText>
      </w:r>
      <w:r w:rsidR="00887EB8">
        <w:rPr>
          <w:lang w:eastAsia="ko-KR"/>
        </w:rPr>
      </w:r>
      <w:r w:rsidR="00887EB8">
        <w:rPr>
          <w:lang w:eastAsia="ko-KR"/>
        </w:rPr>
        <w:fldChar w:fldCharType="separate"/>
      </w:r>
      <w:r w:rsidR="00C661AC">
        <w:rPr>
          <w:color w:val="1F497D" w:themeColor="text2"/>
        </w:rPr>
        <w:t xml:space="preserve">Supplementary Note 7: </w:t>
      </w:r>
      <w:r w:rsidR="00C661AC" w:rsidRPr="00907061">
        <w:rPr>
          <w:color w:val="1F497D" w:themeColor="text2"/>
        </w:rPr>
        <w:t>Weight Estimation</w:t>
      </w:r>
      <w:r w:rsidR="00887EB8">
        <w:rPr>
          <w:lang w:eastAsia="ko-KR"/>
        </w:rPr>
        <w:fldChar w:fldCharType="end"/>
      </w:r>
      <w:r w:rsidRPr="00022BA7">
        <w:rPr>
          <w:lang w:eastAsia="ko-KR"/>
        </w:rPr>
        <w:t>.</w:t>
      </w:r>
      <w:r w:rsidR="00824B22">
        <w:rPr>
          <w:lang w:eastAsia="ko-KR"/>
        </w:rPr>
        <w:t>”</w:t>
      </w:r>
    </w:p>
    <w:p w14:paraId="57450D82" w14:textId="77777777" w:rsidR="00F3745B" w:rsidRPr="00022BA7" w:rsidRDefault="00F3745B" w:rsidP="00F3745B">
      <w:pPr>
        <w:rPr>
          <w:lang w:eastAsia="ko-KR"/>
        </w:rPr>
      </w:pPr>
    </w:p>
    <w:p w14:paraId="78EB496D" w14:textId="179CF88E" w:rsidR="00F3745B" w:rsidRPr="00022BA7" w:rsidRDefault="00A11C80" w:rsidP="000E628F">
      <w:pPr>
        <w:keepNext/>
        <w:widowControl/>
      </w:pPr>
      <w:r w:rsidRPr="00A11C80">
        <w:rPr>
          <w:noProof/>
        </w:rPr>
        <w:t xml:space="preserve"> </w:t>
      </w:r>
    </w:p>
    <w:p w14:paraId="756CD15B" w14:textId="77777777" w:rsidR="00F3745B" w:rsidRPr="00022BA7" w:rsidRDefault="00F3745B" w:rsidP="00F3745B"/>
    <w:bookmarkEnd w:id="73"/>
    <w:p w14:paraId="3BE6DC68" w14:textId="38A60B95" w:rsidR="00F85C96" w:rsidRDefault="00F85C96">
      <w:pPr>
        <w:widowControl/>
        <w:spacing w:line="240" w:lineRule="auto"/>
      </w:pPr>
    </w:p>
    <w:p w14:paraId="5EBDBD3E" w14:textId="77777777" w:rsidR="00DE72B2" w:rsidRDefault="00DE72B2">
      <w:pPr>
        <w:widowControl/>
        <w:spacing w:line="240" w:lineRule="auto"/>
        <w:rPr>
          <w:rFonts w:cs="Times New Roman"/>
          <w:b/>
          <w:color w:val="1F497D" w:themeColor="text2"/>
          <w:sz w:val="32"/>
          <w:szCs w:val="24"/>
        </w:rPr>
      </w:pPr>
      <w:r>
        <w:rPr>
          <w:color w:val="1F497D" w:themeColor="text2"/>
        </w:rPr>
        <w:br w:type="page"/>
      </w:r>
    </w:p>
    <w:p w14:paraId="22AAB3BE" w14:textId="69C421A9" w:rsidR="005B10A0" w:rsidRPr="00022BA7" w:rsidRDefault="00A7511A" w:rsidP="005B10A0">
      <w:pPr>
        <w:pStyle w:val="Heading1"/>
        <w:numPr>
          <w:ilvl w:val="0"/>
          <w:numId w:val="0"/>
        </w:numPr>
        <w:spacing w:before="240"/>
        <w:rPr>
          <w:color w:val="1F497D" w:themeColor="text2"/>
        </w:rPr>
      </w:pPr>
      <w:bookmarkStart w:id="77" w:name="_Ref144857543"/>
      <w:bookmarkStart w:id="78" w:name="_Toc146723118"/>
      <w:r>
        <w:rPr>
          <w:color w:val="1F497D" w:themeColor="text2"/>
        </w:rPr>
        <w:t xml:space="preserve">Supplementary Note 2: </w:t>
      </w:r>
      <w:r w:rsidR="00C03127" w:rsidRPr="00C03127">
        <w:rPr>
          <w:color w:val="1F497D" w:themeColor="text2"/>
        </w:rPr>
        <w:t>AIS Data Processing</w:t>
      </w:r>
      <w:bookmarkEnd w:id="77"/>
      <w:bookmarkEnd w:id="78"/>
    </w:p>
    <w:p w14:paraId="019A728C" w14:textId="7D5589B7" w:rsidR="001D3B63" w:rsidRPr="00022BA7" w:rsidRDefault="001D3B63" w:rsidP="001D3B63">
      <w:pPr>
        <w:spacing w:after="240"/>
      </w:pPr>
      <w:r w:rsidRPr="00022BA7">
        <w:t>AIS data refer to the activity information transmitted by ships and received by shore stations. The dataset includes details such as the ship</w:t>
      </w:r>
      <w:r w:rsidR="00190F27">
        <w:t>’</w:t>
      </w:r>
      <w:r w:rsidRPr="00022BA7">
        <w:t>s unique identifier (name</w:t>
      </w:r>
      <w:r>
        <w:t>, MMSI</w:t>
      </w:r>
      <w:r w:rsidRPr="00022BA7">
        <w:t xml:space="preserve"> and IMO number), location (latitude and longitude), SOG, heading, and other navigational information. This dataset allows us to analyze historical ship activities, including trip routes, ports visited, and speed, and to estimate electric power consumption and emissions during operations.</w:t>
      </w:r>
    </w:p>
    <w:p w14:paraId="1D292826" w14:textId="77777777" w:rsidR="001D3B63" w:rsidRPr="00022BA7" w:rsidRDefault="001D3B63" w:rsidP="00B84F31">
      <w:pPr>
        <w:pStyle w:val="Heading3"/>
      </w:pPr>
      <w:r w:rsidRPr="00022BA7">
        <w:t>AIS Data Extraction by Ship</w:t>
      </w:r>
    </w:p>
    <w:p w14:paraId="4EF5F1A0" w14:textId="6B6618E1" w:rsidR="001D3B63" w:rsidRPr="00022BA7" w:rsidRDefault="00B4762C" w:rsidP="001D3B63">
      <w:pPr>
        <w:spacing w:after="240"/>
      </w:pPr>
      <w:r>
        <w:t xml:space="preserve">Data from </w:t>
      </w:r>
      <w:r w:rsidR="001D3B63" w:rsidRPr="00022BA7">
        <w:t>BOEM and NOAA</w:t>
      </w:r>
      <w:r w:rsidR="007439AE">
        <w:fldChar w:fldCharType="begin"/>
      </w:r>
      <w:r w:rsidR="007439AE">
        <w:instrText xml:space="preserve"> ADDIN ZOTERO_ITEM CSL_CITATION {"citationID":"OL4Q2plX","properties":{"formattedCitation":"\\super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7439AE">
        <w:fldChar w:fldCharType="separate"/>
      </w:r>
      <w:r w:rsidR="007439AE" w:rsidRPr="007439AE">
        <w:rPr>
          <w:rFonts w:cs="Times New Roman"/>
          <w:szCs w:val="24"/>
          <w:vertAlign w:val="superscript"/>
        </w:rPr>
        <w:t>4</w:t>
      </w:r>
      <w:r w:rsidR="007439AE">
        <w:fldChar w:fldCharType="end"/>
      </w:r>
      <w:r w:rsidR="001D3B63" w:rsidRPr="00022BA7">
        <w:t xml:space="preserve"> provide a publicly available historical AIS data pool within U.S. territory. In this study, AIS data from 2021 was collected from this pool, which consists of multiple AIS data points transmitted from multiple vessels. To analyze the data on a per-ship basis, data for each ship was extracted using its unique MMSI</w:t>
      </w:r>
      <w:r w:rsidR="001D3B63" w:rsidRPr="00022BA7" w:rsidDel="00EB03C6">
        <w:t xml:space="preserve"> </w:t>
      </w:r>
      <w:r w:rsidR="001D3B63" w:rsidRPr="00022BA7">
        <w:t>number</w:t>
      </w:r>
      <w:r w:rsidR="001D3B63">
        <w:t>.</w:t>
      </w:r>
      <w:r w:rsidR="001D3B63" w:rsidRPr="00437F78">
        <w:rPr>
          <w:rStyle w:val="FootnoteReference"/>
        </w:rPr>
        <w:footnoteReference w:id="2"/>
      </w:r>
      <w:r w:rsidR="001D3B63" w:rsidRPr="00022BA7">
        <w:t xml:space="preserve"> </w:t>
      </w:r>
    </w:p>
    <w:p w14:paraId="4C4378D4" w14:textId="77777777" w:rsidR="001D3B63" w:rsidRPr="00022BA7" w:rsidRDefault="001D3B63">
      <w:pPr>
        <w:pStyle w:val="Heading3"/>
      </w:pPr>
      <w:r w:rsidRPr="00022BA7">
        <w:t>Data Cleaning and Preparatory Work</w:t>
      </w:r>
    </w:p>
    <w:p w14:paraId="537F3C2C" w14:textId="74ADD34B" w:rsidR="001D3B63" w:rsidRPr="00022BA7" w:rsidRDefault="001D3B63" w:rsidP="001D3B63">
      <w:pPr>
        <w:spacing w:after="240"/>
      </w:pPr>
      <w:r w:rsidRPr="00022BA7">
        <w:t xml:space="preserve">The dataset </w:t>
      </w:r>
      <w:r>
        <w:t>is</w:t>
      </w:r>
      <w:r w:rsidRPr="00022BA7">
        <w:t xml:space="preserve"> vast and may </w:t>
      </w:r>
      <w:r>
        <w:t xml:space="preserve">contain </w:t>
      </w:r>
      <w:r w:rsidRPr="00022BA7">
        <w:t>erroneous or unreliable data points</w:t>
      </w:r>
      <w:r>
        <w:t>, necessitating</w:t>
      </w:r>
      <w:r w:rsidRPr="00022BA7">
        <w:t xml:space="preserve"> </w:t>
      </w:r>
      <w:r>
        <w:t xml:space="preserve">data </w:t>
      </w:r>
      <w:r w:rsidRPr="00022BA7">
        <w:t>clean</w:t>
      </w:r>
      <w:r>
        <w:t>ing</w:t>
      </w:r>
      <w:r w:rsidRPr="00022BA7">
        <w:t xml:space="preserve"> before analysis. The cleaning process for AIS data involves several steps, as outlined by the IMO 4</w:t>
      </w:r>
      <w:r w:rsidRPr="00022BA7">
        <w:rPr>
          <w:vertAlign w:val="superscript"/>
        </w:rPr>
        <w:t>th</w:t>
      </w:r>
      <w:r w:rsidRPr="00022BA7">
        <w:t xml:space="preserve"> Emission Study</w:t>
      </w:r>
      <w:r w:rsidR="00173442">
        <w:fldChar w:fldCharType="begin"/>
      </w:r>
      <w:r w:rsidR="00C61E16">
        <w:instrText xml:space="preserve"> ADDIN ZOTERO_ITEM CSL_CITATION {"citationID":"iMp2s3U2","properties":{"formattedCitation":"\\super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173442">
        <w:fldChar w:fldCharType="separate"/>
      </w:r>
      <w:r w:rsidR="00C61E16" w:rsidRPr="00C61E16">
        <w:rPr>
          <w:rFonts w:cs="Times New Roman"/>
          <w:szCs w:val="24"/>
          <w:vertAlign w:val="superscript"/>
        </w:rPr>
        <w:t>7</w:t>
      </w:r>
      <w:r w:rsidR="00173442">
        <w:fldChar w:fldCharType="end"/>
      </w:r>
      <w:r w:rsidRPr="00022BA7">
        <w:t xml:space="preserve">. These steps include discarding latitudes outside the typical range of -90 to +90 degrees and longitudes outside the range of -180 to +180 degrees. Moreover, to ensure accuracy, any data points with SOG exceeding 1.5 times the reference speed are replaced by interpolating the adjacent SOG values. This data cleaning procedure eliminates erroneous data points that could potentially contaminate the results of subsequent analysis. In cases where there is no available data for a period longer than 5 minutes, it is assumed the ship is not in operation. </w:t>
      </w:r>
      <w:r>
        <w:t>When</w:t>
      </w:r>
      <w:r w:rsidRPr="00022BA7">
        <w:t xml:space="preserve"> not</w:t>
      </w:r>
      <w:r>
        <w:t xml:space="preserve"> </w:t>
      </w:r>
      <w:r w:rsidRPr="00022BA7">
        <w:t>in</w:t>
      </w:r>
      <w:r>
        <w:t xml:space="preserve"> </w:t>
      </w:r>
      <w:r w:rsidRPr="00022BA7">
        <w:t xml:space="preserve">operation, </w:t>
      </w:r>
      <w:r>
        <w:t>a</w:t>
      </w:r>
      <w:r w:rsidRPr="00022BA7">
        <w:t xml:space="preserve"> </w:t>
      </w:r>
      <w:r>
        <w:t>ship</w:t>
      </w:r>
      <w:r w:rsidR="00190F27">
        <w:t>’</w:t>
      </w:r>
      <w:r>
        <w:t xml:space="preserve">s </w:t>
      </w:r>
      <w:r w:rsidRPr="00022BA7">
        <w:t xml:space="preserve">SOG value is set to 0 </w:t>
      </w:r>
      <w:r>
        <w:t>and</w:t>
      </w:r>
      <w:r w:rsidRPr="00022BA7">
        <w:t xml:space="preserve"> latitude and longitude values are assigned </w:t>
      </w:r>
      <w:r>
        <w:t>by</w:t>
      </w:r>
      <w:r w:rsidRPr="00022BA7">
        <w:t xml:space="preserve"> the last recorded values. </w:t>
      </w:r>
    </w:p>
    <w:p w14:paraId="5334580C" w14:textId="77777777" w:rsidR="001D3B63" w:rsidRPr="00022BA7" w:rsidRDefault="001D3B63">
      <w:pPr>
        <w:pStyle w:val="Heading3"/>
      </w:pPr>
      <w:r w:rsidRPr="00022BA7">
        <w:t>AIS Data Transformation</w:t>
      </w:r>
    </w:p>
    <w:p w14:paraId="1A22AC10" w14:textId="6C997AB4" w:rsidR="001D3B63" w:rsidRPr="00022BA7" w:rsidRDefault="001D3B63" w:rsidP="001D3B63">
      <w:pPr>
        <w:spacing w:after="240"/>
      </w:pPr>
      <w:r w:rsidRPr="00022BA7">
        <w:t>The raw AIS data is inherently irregular, which makes it challenging to use directly for analysis. To address this issue, the raw AIS data is transformed into a more structured format. Specifically, the data is converted into 5-minute intervals for analysis purposes. Notably, previous studies estimating emissions using AIS data did not consider the data at a high time resolution, as their goal was to estimate yearly emission</w:t>
      </w:r>
      <w:r>
        <w:t>s</w:t>
      </w:r>
      <w:r w:rsidRPr="00022BA7">
        <w:t xml:space="preserve"> from hourly emissions</w:t>
      </w:r>
      <w:r w:rsidR="00666BCC">
        <w:fldChar w:fldCharType="begin"/>
      </w:r>
      <w:r w:rsidR="00C61E16">
        <w:instrText xml:space="preserve"> ADDIN ZOTERO_ITEM CSL_CITATION {"citationID":"SZNfxLZC","properties":{"formattedCitation":"\\super 7,11\\nosupersub{}","plainCitation":"7,11","noteIndex":0},"citationItems":[{"id":216,"uris":["http://zotero.org/users/12468222/items/RYQQYRCQ"],"itemData":{"id":216,"type":"report","publisher":"International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Organization"}],"accessed":{"date-parts":[["2023",9,26]]},"issued":{"date-parts":[["2020"]]}}},{"id":245,"uris":["http://zotero.org/users/12468222/items/I4SXRRIU"],"itemData":{"id":245,"type":"article-journal","language":"en","source":"Zotero","title":"Greenhouse gas emissions from global shipping, 2013–2015","author":[{"family":"Olmer","given":"Naya"},{"family":"Comer","given":"Bryan"},{"family":"Roy","given":"Biswajoy"},{"family":"Mao","given":"Xiaoli"},{"family":"Rutherford","given":"Dan"}],"issued":{"date-parts":[["2017"]]}}}],"schema":"https://github.com/citation-style-language/schema/raw/master/csl-citation.json"} </w:instrText>
      </w:r>
      <w:r w:rsidR="00666BCC">
        <w:fldChar w:fldCharType="separate"/>
      </w:r>
      <w:r w:rsidR="00C61E16" w:rsidRPr="00C61E16">
        <w:rPr>
          <w:rFonts w:cs="Times New Roman"/>
          <w:szCs w:val="24"/>
          <w:vertAlign w:val="superscript"/>
        </w:rPr>
        <w:t>7,11</w:t>
      </w:r>
      <w:r w:rsidR="00666BCC">
        <w:fldChar w:fldCharType="end"/>
      </w:r>
      <w:r w:rsidRPr="00022BA7">
        <w:t xml:space="preserve">. However, for BESs, a higher time resolution is required to </w:t>
      </w:r>
      <w:r>
        <w:t xml:space="preserve">enable </w:t>
      </w:r>
      <w:r w:rsidRPr="00022BA7">
        <w:t>consider</w:t>
      </w:r>
      <w:r>
        <w:t>ation of</w:t>
      </w:r>
      <w:r w:rsidRPr="00022BA7">
        <w:t xml:space="preserve"> charging schedules. </w:t>
      </w:r>
      <w:r>
        <w:t>A</w:t>
      </w:r>
      <w:r w:rsidRPr="00022BA7">
        <w:t xml:space="preserve"> time resolution of 1 hour may not capture states where ships stay at berth for less than </w:t>
      </w:r>
      <w:r>
        <w:t>that</w:t>
      </w:r>
      <w:r w:rsidRPr="00022BA7">
        <w:t xml:space="preserve"> (and consequently need larger batteries). Because many short stops are found in the historical AIS data, we used a </w:t>
      </w:r>
      <w:r>
        <w:t xml:space="preserve">time </w:t>
      </w:r>
      <w:r w:rsidRPr="00022BA7">
        <w:t xml:space="preserve">resolution of 5 minutes. To achieve the 5-minute interval structure, when multiple sets of raw data </w:t>
      </w:r>
      <w:r>
        <w:t xml:space="preserve">exist </w:t>
      </w:r>
      <w:r w:rsidRPr="00022BA7">
        <w:t>for SOG, latitude, and longitude within each 5-minute</w:t>
      </w:r>
      <w:r>
        <w:t xml:space="preserve"> interval</w:t>
      </w:r>
      <w:r w:rsidRPr="00022BA7">
        <w:t xml:space="preserve">, </w:t>
      </w:r>
      <w:r>
        <w:t>values</w:t>
      </w:r>
      <w:r w:rsidRPr="00022BA7">
        <w:t xml:space="preserve"> are averaged. This process results in a dataset composed of 105,120 data points with 5-minute intervals for a single vessel for a year, enabling more consistent and manageable data for subsequent analysis.</w:t>
      </w:r>
    </w:p>
    <w:p w14:paraId="3F2FA446" w14:textId="77777777" w:rsidR="001D3B63" w:rsidRPr="00022BA7" w:rsidRDefault="001D3B63" w:rsidP="001D3B63"/>
    <w:p w14:paraId="1ADEA7E6" w14:textId="004939CE" w:rsidR="00F85C96" w:rsidRPr="00022BA7" w:rsidRDefault="00A7511A" w:rsidP="00F85C96">
      <w:pPr>
        <w:pStyle w:val="Heading1"/>
        <w:numPr>
          <w:ilvl w:val="0"/>
          <w:numId w:val="0"/>
        </w:numPr>
        <w:rPr>
          <w:color w:val="1F497D" w:themeColor="text2"/>
        </w:rPr>
      </w:pPr>
      <w:bookmarkStart w:id="79" w:name="_Ref144857548"/>
      <w:bookmarkStart w:id="80" w:name="_Toc146723119"/>
      <w:r>
        <w:rPr>
          <w:color w:val="1F497D" w:themeColor="text2"/>
        </w:rPr>
        <w:t xml:space="preserve">Supplementary Note 3: </w:t>
      </w:r>
      <w:r w:rsidR="007D6149" w:rsidRPr="007D6149">
        <w:rPr>
          <w:color w:val="1F497D" w:themeColor="text2"/>
        </w:rPr>
        <w:t>Calculation of Ship Power Demand</w:t>
      </w:r>
      <w:r w:rsidR="00913D2B">
        <w:rPr>
          <w:color w:val="1F497D" w:themeColor="text2"/>
        </w:rPr>
        <w:t xml:space="preserve"> and</w:t>
      </w:r>
      <w:r w:rsidR="00D23C32">
        <w:rPr>
          <w:color w:val="1F497D" w:themeColor="text2"/>
        </w:rPr>
        <w:t xml:space="preserve"> Battery Size</w:t>
      </w:r>
      <w:bookmarkEnd w:id="79"/>
      <w:bookmarkEnd w:id="80"/>
    </w:p>
    <w:p w14:paraId="40B48237" w14:textId="035792C7" w:rsidR="002972DD" w:rsidRPr="00022BA7" w:rsidRDefault="00B36DAD">
      <w:pPr>
        <w:pStyle w:val="Heading3"/>
      </w:pPr>
      <w:bookmarkStart w:id="81" w:name="_Toc144388796"/>
      <w:bookmarkStart w:id="82" w:name="_Toc144390209"/>
      <w:bookmarkStart w:id="83" w:name="_Ref144853042"/>
      <w:bookmarkStart w:id="84" w:name="_Ref144853942"/>
      <w:r w:rsidRPr="00B36DAD">
        <w:t>Calculation of Ship Power Demand</w:t>
      </w:r>
      <w:bookmarkEnd w:id="81"/>
      <w:bookmarkEnd w:id="82"/>
      <w:bookmarkEnd w:id="83"/>
      <w:bookmarkEnd w:id="84"/>
      <w:r w:rsidRPr="00B36DAD">
        <w:t xml:space="preserve"> </w:t>
      </w:r>
    </w:p>
    <w:p w14:paraId="410FCD3D" w14:textId="3BF9EE4F" w:rsidR="004F075A" w:rsidRPr="00022BA7" w:rsidRDefault="00812329" w:rsidP="004F075A">
      <w:r>
        <w:fldChar w:fldCharType="begin"/>
      </w:r>
      <w:r>
        <w:instrText xml:space="preserve"> REF _Ref144852483 \h </w:instrText>
      </w:r>
      <w:r>
        <w:fldChar w:fldCharType="separate"/>
      </w:r>
      <w:r w:rsidR="00C661AC">
        <w:t xml:space="preserve">Supplementary </w:t>
      </w:r>
      <w:r w:rsidR="00C661AC" w:rsidRPr="00022BA7">
        <w:t xml:space="preserve">Figure </w:t>
      </w:r>
      <w:r w:rsidR="00C661AC">
        <w:rPr>
          <w:noProof/>
        </w:rPr>
        <w:t>9</w:t>
      </w:r>
      <w:r>
        <w:fldChar w:fldCharType="end"/>
      </w:r>
      <w:r>
        <w:t xml:space="preserve"> </w:t>
      </w:r>
      <w:r w:rsidR="004F075A" w:rsidRPr="00022BA7">
        <w:t>presents a single-line diagram of the BES system and the shore power connection (SPC) based on the battery propulsion for an all-electric vessel</w:t>
      </w:r>
      <w:r w:rsidR="00B95B1A">
        <w:fldChar w:fldCharType="begin"/>
      </w:r>
      <w:r w:rsidR="00C61E16">
        <w:instrText xml:space="preserve"> ADDIN ZOTERO_ITEM CSL_CITATION {"citationID":"bs94mZ94","properties":{"formattedCitation":"\\super 12\\nosupersub{}","plainCitation":"12","noteIndex":0},"citationItems":[{"id":191,"uris":["http://zotero.org/users/12468222/items/6V2TI44W"],"itemData":{"id":191,"type":"report","abstract":"The present report provides a technical study on the use of Electrical Energy Storage in shipping that, being supported by a technology overview and risk-based analysis evaluates the potential and constraints of batteries for energy storage in maritime transport applications. In addition, the ...","language":"en-GB","publisher":"European Maritime Safety Agency","title":"Study on Electrical Energy Storage for Ships","URL":"https://www.emsa.europa.eu/publications/item/3895-study-on-electrical-energy-storage-for-ships.html","author":[{"literal":"European Maritime Safety Agency"}],"accessed":{"date-parts":[["2023",9,26]]},"issued":{"date-parts":[["2020"]]}}}],"schema":"https://github.com/citation-style-language/schema/raw/master/csl-citation.json"} </w:instrText>
      </w:r>
      <w:r w:rsidR="00B95B1A">
        <w:fldChar w:fldCharType="separate"/>
      </w:r>
      <w:r w:rsidR="00C61E16" w:rsidRPr="00C61E16">
        <w:rPr>
          <w:rFonts w:cs="Times New Roman"/>
          <w:szCs w:val="24"/>
          <w:vertAlign w:val="superscript"/>
        </w:rPr>
        <w:t>12</w:t>
      </w:r>
      <w:r w:rsidR="00B95B1A">
        <w:fldChar w:fldCharType="end"/>
      </w:r>
      <w:r w:rsidR="004F075A" w:rsidRPr="00022BA7">
        <w:t xml:space="preserve"> and the single-line diagram of MF Ampere, </w:t>
      </w:r>
      <w:r w:rsidR="004F075A">
        <w:t xml:space="preserve">an </w:t>
      </w:r>
      <w:r w:rsidR="004F075A" w:rsidRPr="00022BA7">
        <w:t>electric car ferry</w:t>
      </w:r>
      <w:r w:rsidR="00B95B1A">
        <w:fldChar w:fldCharType="begin"/>
      </w:r>
      <w:r w:rsidR="00C61E16">
        <w:instrText xml:space="preserve"> ADDIN ZOTERO_ITEM CSL_CITATION {"citationID":"M3BB1L1A","properties":{"formattedCitation":"\\super 13\\nosupersub{}","plainCitation":"13","noteIndex":0},"citationItems":[{"id":179,"uris":["http://zotero.org/users/12468222/items/PBQGS8ZF"],"itemData":{"id":179,"type":"webpage","abstract":"Paul Crompton talks to Neil Simmonds of Corvus Energy about the less-than-obvious market for marine hybrid power, supported by highly ruggedised","container-title":"Corvus Energy","language":"en-US","title":"MF Ampere, An Ocean of Opportunities","URL":"https://corvusenergy.com/an-ocean-of-opportunities/","author":[{"family":"Hansen","given":"Sonja"}],"accessed":{"date-parts":[["2023",9,26]]},"issued":{"date-parts":[["2016",2,15]]}}}],"schema":"https://github.com/citation-style-language/schema/raw/master/csl-citation.json"} </w:instrText>
      </w:r>
      <w:r w:rsidR="00B95B1A">
        <w:fldChar w:fldCharType="separate"/>
      </w:r>
      <w:r w:rsidR="00C61E16" w:rsidRPr="00C61E16">
        <w:rPr>
          <w:rFonts w:cs="Times New Roman"/>
          <w:szCs w:val="24"/>
          <w:vertAlign w:val="superscript"/>
        </w:rPr>
        <w:t>13</w:t>
      </w:r>
      <w:r w:rsidR="00B95B1A">
        <w:fldChar w:fldCharType="end"/>
      </w:r>
      <w:r w:rsidR="004F075A" w:rsidRPr="00022BA7">
        <w:t>. While the depicted topology is simplified and does not include redundancy, it is important to note that in practical applications, the system is typically divided into port and starboard sections. The configuration assumes the presence of a main switchboard that operates on direct current (DC). To facilitate voltage level conversion, there is a DC/DC converter between the switchboard and the battery pack. Since it is assumed that the propulsion and auxiliary loads operate on alternating current (AC), the power is transformed between the switchboard and the loads using DC/AC inverters. Although the AC auxiliary demand can be directly supplied from the SPC, the direct connection is not considered for the sake of simplicity. BESs in need of charging get power from charging stations in ports. As the power supplied from the grid is in AC power, it is assumed that a shoreside AC/DC converter is employed to convert the AC power into DC power for the BES.</w:t>
      </w:r>
    </w:p>
    <w:p w14:paraId="4560AACA" w14:textId="0306C471" w:rsidR="004F075A" w:rsidRPr="00022BA7" w:rsidRDefault="004F075A" w:rsidP="00457801">
      <w:pPr>
        <w:keepNext/>
        <w:widowControl/>
      </w:pPr>
    </w:p>
    <w:p w14:paraId="2884E5A5" w14:textId="77777777" w:rsidR="004F075A" w:rsidRPr="00022BA7" w:rsidRDefault="004F075A" w:rsidP="004F075A">
      <w:r w:rsidRPr="00022BA7">
        <w:t>The first step in assessing the electrification potential of a ship involves calculating its power demand. Onboard energy consumption consists of two main components: propulsion demand and auxiliary demand. The main engine provides propulsion energy</w:t>
      </w:r>
      <w:r>
        <w:t>,</w:t>
      </w:r>
      <w:r w:rsidRPr="00022BA7">
        <w:t xml:space="preserve"> </w:t>
      </w:r>
      <w:r>
        <w:t>while</w:t>
      </w:r>
      <w:r w:rsidRPr="00022BA7">
        <w:t xml:space="preserve"> the auxiliary engine supplies power for onboard electrical demand. The power demand of the vessel at time </w:t>
      </w:r>
      <m:oMath>
        <m:r>
          <w:rPr>
            <w:rFonts w:ascii="Cambria Math" w:hAnsi="Cambria Math"/>
          </w:rPr>
          <m:t>t</m:t>
        </m:r>
      </m:oMath>
      <w:r w:rsidRPr="00022BA7">
        <w:t xml:space="preserve">, denoted as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ICE</m:t>
            </m:r>
            <m:r>
              <m:rPr>
                <m:sty m:val="p"/>
              </m:rPr>
              <w:rPr>
                <w:rFonts w:ascii="Cambria Math" w:hAnsi="Cambria Math"/>
              </w:rPr>
              <m:t>,</m:t>
            </m:r>
            <m:r>
              <w:rPr>
                <w:rFonts w:ascii="Cambria Math" w:hAnsi="Cambria Math"/>
              </w:rPr>
              <m:t>D</m:t>
            </m:r>
          </m:sup>
        </m:sSubSup>
      </m:oMath>
      <w:r w:rsidRPr="00022BA7">
        <w:t xml:space="preserve">, is equal to the combined power supplied from both engines,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ICE</m:t>
            </m:r>
            <m:r>
              <m:rPr>
                <m:sty m:val="p"/>
              </m:rPr>
              <w:rPr>
                <w:rFonts w:ascii="Cambria Math" w:hAnsi="Cambria Math"/>
              </w:rPr>
              <m:t>,</m:t>
            </m:r>
            <m:r>
              <w:rPr>
                <w:rFonts w:ascii="Cambria Math" w:hAnsi="Cambria Math"/>
              </w:rPr>
              <m:t>S</m:t>
            </m:r>
          </m:sup>
        </m:sSubSup>
      </m:oMath>
      <w:r w:rsidRPr="00022BA7">
        <w:t xml:space="preserve">. This supplied power is the sum of the power supplied from the main engine,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oMath>
      <w:r w:rsidRPr="00022BA7">
        <w:t xml:space="preserve">, and the auxiliary power,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w:r w:rsidRPr="00022BA7">
        <w:t>, from the auxiliary engine, as shown in equation (</w:t>
      </w:r>
      <w:r>
        <w:t>5</w:t>
      </w:r>
      <w:r w:rsidRPr="00022BA7">
        <w:t>).</w:t>
      </w:r>
    </w:p>
    <w:p w14:paraId="0D6AB1C1"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315BE42" w14:textId="77777777" w:rsidTr="00F95C74">
        <w:trPr>
          <w:trHeight w:val="300"/>
        </w:trPr>
        <w:tc>
          <w:tcPr>
            <w:tcW w:w="720" w:type="dxa"/>
          </w:tcPr>
          <w:p w14:paraId="5131DF2D" w14:textId="77777777" w:rsidR="004F075A" w:rsidRPr="00022BA7" w:rsidRDefault="004F075A" w:rsidP="00F95C74">
            <w:pPr>
              <w:rPr>
                <w:i/>
              </w:rPr>
            </w:pPr>
          </w:p>
        </w:tc>
        <w:tc>
          <w:tcPr>
            <w:tcW w:w="7920" w:type="dxa"/>
          </w:tcPr>
          <w:p w14:paraId="014BA5AE" w14:textId="77777777" w:rsidR="004F075A" w:rsidRPr="00022BA7" w:rsidRDefault="00590C69" w:rsidP="00F95C74">
            <w:pPr>
              <w:rPr>
                <w:rFonts w:eastAsia="Malgun Gothic" w:cs="Times New Roman"/>
                <w:i/>
              </w:rPr>
            </w:pPr>
            <m:oMathPara>
              <m:oMath>
                <m:sSubSup>
                  <m:sSubSupPr>
                    <m:ctrlPr>
                      <w:rPr>
                        <w:rFonts w:ascii="Cambria Math" w:hAnsi="Cambria Math"/>
                        <w:b/>
                        <w:i/>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ICE,D</m:t>
                    </m:r>
                  </m:sup>
                </m:sSubSup>
                <m:r>
                  <w:rPr>
                    <w:rFonts w:ascii="Cambria Math" w:hAnsi="Cambria Math"/>
                  </w:rPr>
                  <m:t>=</m:t>
                </m:r>
                <m:sSubSup>
                  <m:sSubSupPr>
                    <m:ctrlPr>
                      <w:rPr>
                        <w:rFonts w:ascii="Cambria Math" w:hAnsi="Cambria Math"/>
                        <w:b/>
                        <w:i/>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ICE,S</m:t>
                    </m:r>
                  </m:sup>
                </m:sSubSup>
                <m:r>
                  <m:rPr>
                    <m:sty m:val="p"/>
                  </m:rPr>
                  <w:rPr>
                    <w:rFonts w:ascii="Cambria Math" w:hAnsi="Cambria Math"/>
                  </w:rPr>
                  <m:t>=</m:t>
                </m:r>
                <m:sSubSup>
                  <m:sSubSupPr>
                    <m:ctrlPr>
                      <w:rPr>
                        <w:rFonts w:ascii="Cambria Math" w:hAnsi="Cambria Math"/>
                        <w:b/>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r>
                  <m:rPr>
                    <m:sty m:val="p"/>
                  </m:rPr>
                  <w:rPr>
                    <w:rFonts w:ascii="Cambria Math" w:hAnsi="Cambria Math"/>
                  </w:rPr>
                  <m:t>+</m:t>
                </m:r>
                <m:sSubSup>
                  <m:sSubSupPr>
                    <m:ctrlPr>
                      <w:rPr>
                        <w:rFonts w:ascii="Cambria Math" w:hAnsi="Cambria Math"/>
                        <w:b/>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m:oMathPara>
          </w:p>
        </w:tc>
        <w:tc>
          <w:tcPr>
            <w:tcW w:w="720" w:type="dxa"/>
          </w:tcPr>
          <w:p w14:paraId="4E1FC001" w14:textId="77777777" w:rsidR="004F075A" w:rsidRPr="00022BA7" w:rsidRDefault="004F075A" w:rsidP="00F95C74">
            <w:pPr>
              <w:jc w:val="right"/>
            </w:pPr>
            <w:r w:rsidRPr="00022BA7">
              <w:t>(</w:t>
            </w:r>
            <w:r>
              <w:t>5</w:t>
            </w:r>
            <w:r w:rsidRPr="00022BA7">
              <w:t>)</w:t>
            </w:r>
          </w:p>
        </w:tc>
      </w:tr>
    </w:tbl>
    <w:p w14:paraId="6430AB63" w14:textId="77777777" w:rsidR="004F075A" w:rsidRPr="00022BA7" w:rsidRDefault="004F075A" w:rsidP="004F075A">
      <w:pPr>
        <w:rPr>
          <w:i/>
        </w:rPr>
      </w:pPr>
    </w:p>
    <w:p w14:paraId="3A2BE4C2" w14:textId="46F25CFD" w:rsidR="004F075A" w:rsidRPr="00022BA7" w:rsidRDefault="004F075A" w:rsidP="004F075A">
      <w:r w:rsidRPr="00022BA7">
        <w:t xml:space="preserve">The power from main engine, </w:t>
      </w:r>
      <m:oMath>
        <m:sSubSup>
          <m:sSubSupPr>
            <m:ctrlPr>
              <w:rPr>
                <w:rFonts w:ascii="Cambria Math" w:hAnsi="Cambria Math"/>
                <w:i/>
                <w:iCs/>
              </w:rPr>
            </m:ctrlPr>
          </m:sSubSupPr>
          <m:e>
            <m:r>
              <w:rPr>
                <w:rFonts w:ascii="Cambria Math" w:hAnsi="Cambria Math"/>
              </w:rPr>
              <m:t>P</m:t>
            </m:r>
          </m:e>
          <m:sub>
            <m:r>
              <w:rPr>
                <w:rFonts w:ascii="Cambria Math" w:hAnsi="Cambria Math"/>
              </w:rPr>
              <m:t>v,t</m:t>
            </m:r>
          </m:sub>
          <m:sup>
            <m:r>
              <w:rPr>
                <w:rFonts w:ascii="Cambria Math" w:hAnsi="Cambria Math"/>
              </w:rPr>
              <m:t>ME</m:t>
            </m:r>
          </m:sup>
        </m:sSubSup>
        <m:r>
          <w:rPr>
            <w:rFonts w:ascii="Cambria Math" w:hAnsi="Cambria Math"/>
          </w:rPr>
          <m:t>,</m:t>
        </m:r>
      </m:oMath>
      <w:r w:rsidRPr="00022BA7">
        <w:rPr>
          <w:iCs/>
        </w:rPr>
        <w:t xml:space="preserve"> </w:t>
      </w:r>
      <w:r w:rsidRPr="00022BA7">
        <w:t>is calculated using the Admiralty formula as shown in equations (</w:t>
      </w:r>
      <w:r>
        <w:t>6</w:t>
      </w:r>
      <w:r w:rsidRPr="00022BA7">
        <w:t>) and (</w:t>
      </w:r>
      <w:r>
        <w:t>7</w:t>
      </w:r>
      <w:r w:rsidRPr="00022BA7">
        <w:t xml:space="preserve">). The Admiralty formula is widely used for estimating required power depending on </w:t>
      </w:r>
      <w:r>
        <w:t>SOG (</w:t>
      </w:r>
      <w:r w:rsidRPr="00022BA7">
        <w:t>i.e.</w:t>
      </w:r>
      <w:r>
        <w:t>,</w:t>
      </w:r>
      <w:r w:rsidRPr="00022BA7">
        <w:t xml:space="preserve"> ship speed</w:t>
      </w:r>
      <w:r>
        <w:t>)</w:t>
      </w:r>
      <w:r w:rsidRPr="00022BA7">
        <w:t xml:space="preserve"> and displacement for </w:t>
      </w:r>
      <w:r>
        <w:t xml:space="preserve">both </w:t>
      </w:r>
      <w:r w:rsidRPr="00022BA7">
        <w:t>international ships</w:t>
      </w:r>
      <w:r w:rsidR="006D62E6">
        <w:fldChar w:fldCharType="begin"/>
      </w:r>
      <w:r w:rsidR="00C61E16">
        <w:instrText xml:space="preserve"> ADDIN ZOTERO_ITEM CSL_CITATION {"citationID":"OUtZHOcb","properties":{"formattedCitation":"\\super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6D62E6">
        <w:fldChar w:fldCharType="separate"/>
      </w:r>
      <w:r w:rsidR="00C61E16" w:rsidRPr="00C61E16">
        <w:rPr>
          <w:rFonts w:cs="Times New Roman"/>
          <w:szCs w:val="24"/>
          <w:vertAlign w:val="superscript"/>
        </w:rPr>
        <w:t>7</w:t>
      </w:r>
      <w:r w:rsidR="006D62E6">
        <w:fldChar w:fldCharType="end"/>
      </w:r>
      <w:r w:rsidRPr="00022BA7">
        <w:t xml:space="preserve"> and domestic ships</w:t>
      </w:r>
      <w:r w:rsidR="0032053B">
        <w:fldChar w:fldCharType="begin"/>
      </w:r>
      <w:r w:rsidR="00C61E16">
        <w:instrText xml:space="preserve"> ADDIN ZOTERO_ITEM CSL_CITATION {"citationID":"KTyAZiTw","properties":{"formattedCitation":"\\super 8\\nosupersub{}","plainCitation":"8","noteIndex":0},"citationItems":[{"id":193,"uris":["http://zotero.org/users/12468222/items/BC5BXSHK"],"itemData":{"id":193,"type":"report","publisher":"Eastern Research Group, Inc.","title":"Category 1 and 2 Commercial Marine Vessel 2020 Emissions Inventory","URL":"https://gaftp.epa.gov/air/nei/2020/doc/supporting_data/nonpoint/CMV/2020NEI_C1C2_Documentation.pdf","author":[{"literal":"Eastern Research Group, Inc."}],"issued":{"date-parts":[["2022"]]}}}],"schema":"https://github.com/citation-style-language/schema/raw/master/csl-citation.json"} </w:instrText>
      </w:r>
      <w:r w:rsidR="0032053B">
        <w:fldChar w:fldCharType="separate"/>
      </w:r>
      <w:r w:rsidR="00C61E16" w:rsidRPr="00C61E16">
        <w:rPr>
          <w:rFonts w:cs="Times New Roman"/>
          <w:szCs w:val="24"/>
          <w:vertAlign w:val="superscript"/>
        </w:rPr>
        <w:t>8</w:t>
      </w:r>
      <w:r w:rsidR="0032053B">
        <w:fldChar w:fldCharType="end"/>
      </w:r>
      <w:r w:rsidRPr="00022BA7">
        <w:t>. In this study, only ship speed was considered when estimating propulsion power demand, primarily due to the poor quality of draft data associated with smaller</w:t>
      </w:r>
      <w:r>
        <w:t>-</w:t>
      </w:r>
      <w:r w:rsidRPr="00022BA7">
        <w:t>scale vessels.</w:t>
      </w:r>
    </w:p>
    <w:p w14:paraId="40F3C09E" w14:textId="77777777" w:rsidR="004F075A" w:rsidRPr="00022BA7" w:rsidRDefault="004F075A" w:rsidP="004F075A"/>
    <w:p w14:paraId="62313494" w14:textId="77777777" w:rsidR="004F075A" w:rsidRPr="00022BA7" w:rsidRDefault="004F075A" w:rsidP="004F075A">
      <w:pPr>
        <w:rPr>
          <w:i/>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69E7879E" w14:textId="77777777" w:rsidTr="00F95C74">
        <w:trPr>
          <w:trHeight w:val="300"/>
        </w:trPr>
        <w:tc>
          <w:tcPr>
            <w:tcW w:w="720" w:type="dxa"/>
          </w:tcPr>
          <w:p w14:paraId="14BB0109" w14:textId="77777777" w:rsidR="004F075A" w:rsidRPr="00022BA7" w:rsidRDefault="004F075A" w:rsidP="00F95C74">
            <w:pPr>
              <w:rPr>
                <w:i/>
              </w:rPr>
            </w:pPr>
          </w:p>
        </w:tc>
        <w:tc>
          <w:tcPr>
            <w:tcW w:w="7920" w:type="dxa"/>
          </w:tcPr>
          <w:p w14:paraId="652385FE" w14:textId="77777777" w:rsidR="004F075A" w:rsidRPr="00022BA7" w:rsidRDefault="00590C69" w:rsidP="00F95C74">
            <w:pPr>
              <w:rPr>
                <w:rFonts w:eastAsia="Malgun Gothic" w:cs="Times New Roman"/>
                <w:i/>
              </w:rPr>
            </w:pPr>
            <m:oMathPara>
              <m:oMath>
                <m:sSubSup>
                  <m:sSubSupPr>
                    <m:ctrlPr>
                      <w:rPr>
                        <w:rFonts w:ascii="Cambria Math" w:hAnsi="Cambria Math"/>
                        <w:i/>
                        <w:iCs/>
                      </w:rPr>
                    </m:ctrlPr>
                  </m:sSubSupPr>
                  <m:e>
                    <m:r>
                      <w:rPr>
                        <w:rFonts w:ascii="Cambria Math" w:hAnsi="Cambria Math"/>
                      </w:rPr>
                      <m:t>P</m:t>
                    </m:r>
                  </m:e>
                  <m:sub>
                    <m:r>
                      <w:rPr>
                        <w:rFonts w:ascii="Cambria Math" w:hAnsi="Cambria Math"/>
                      </w:rPr>
                      <m:t>v,t</m:t>
                    </m:r>
                  </m:sub>
                  <m:sup>
                    <m:r>
                      <w:rPr>
                        <w:rFonts w:ascii="Cambria Math" w:hAnsi="Cambria Math"/>
                      </w:rPr>
                      <m:t>ME</m:t>
                    </m:r>
                  </m:sup>
                </m:sSubSup>
                <m:r>
                  <w:rPr>
                    <w:rFonts w:ascii="Cambria Math" w:hAnsi="Cambria Math"/>
                  </w:rPr>
                  <m:t>=</m:t>
                </m:r>
                <m:sSubSup>
                  <m:sSubSupPr>
                    <m:ctrlPr>
                      <w:rPr>
                        <w:rFonts w:ascii="Cambria Math" w:hAnsi="Cambria Math"/>
                        <w:i/>
                        <w:iCs/>
                      </w:rPr>
                    </m:ctrlPr>
                  </m:sSubSupPr>
                  <m:e>
                    <m:r>
                      <w:rPr>
                        <w:rFonts w:ascii="Cambria Math" w:hAnsi="Cambria Math"/>
                      </w:rPr>
                      <m:t>CAP</m:t>
                    </m:r>
                  </m:e>
                  <m:sub>
                    <m:r>
                      <w:rPr>
                        <w:rFonts w:ascii="Cambria Math" w:hAnsi="Cambria Math"/>
                      </w:rPr>
                      <m:t>v</m:t>
                    </m:r>
                  </m:sub>
                  <m:sup>
                    <m:r>
                      <w:rPr>
                        <w:rFonts w:ascii="Cambria Math" w:hAnsi="Cambria Math"/>
                      </w:rPr>
                      <m:t>ME</m:t>
                    </m:r>
                  </m:sup>
                </m:sSubSup>
                <m:r>
                  <w:rPr>
                    <w:rFonts w:ascii="Cambria Math" w:hAnsi="Cambria Math"/>
                  </w:rPr>
                  <m:t>⋅</m:t>
                </m:r>
                <m:sSubSup>
                  <m:sSubSupPr>
                    <m:ctrlPr>
                      <w:rPr>
                        <w:rFonts w:ascii="Cambria Math" w:hAnsi="Cambria Math"/>
                        <w:i/>
                        <w:iCs/>
                      </w:rPr>
                    </m:ctrlPr>
                  </m:sSubSupPr>
                  <m:e>
                    <m:r>
                      <w:rPr>
                        <w:rFonts w:ascii="Cambria Math" w:hAnsi="Cambria Math"/>
                      </w:rPr>
                      <m:t>LF</m:t>
                    </m:r>
                  </m:e>
                  <m:sub>
                    <m:r>
                      <w:rPr>
                        <w:rFonts w:ascii="Cambria Math" w:hAnsi="Cambria Math"/>
                      </w:rPr>
                      <m:t>v,t</m:t>
                    </m:r>
                  </m:sub>
                  <m:sup>
                    <m:r>
                      <w:rPr>
                        <w:rFonts w:ascii="Cambria Math" w:hAnsi="Cambria Math"/>
                      </w:rPr>
                      <m:t>ME</m:t>
                    </m:r>
                  </m:sup>
                </m:sSubSup>
              </m:oMath>
            </m:oMathPara>
          </w:p>
        </w:tc>
        <w:tc>
          <w:tcPr>
            <w:tcW w:w="720" w:type="dxa"/>
          </w:tcPr>
          <w:p w14:paraId="1ED8454E" w14:textId="77777777" w:rsidR="004F075A" w:rsidRPr="00022BA7" w:rsidRDefault="004F075A" w:rsidP="00F95C74">
            <w:pPr>
              <w:jc w:val="right"/>
            </w:pPr>
            <w:r w:rsidRPr="00022BA7">
              <w:t>(</w:t>
            </w:r>
            <w:r>
              <w:t>6</w:t>
            </w:r>
            <w:r w:rsidRPr="00022BA7">
              <w:t>)</w:t>
            </w:r>
          </w:p>
        </w:tc>
      </w:tr>
      <w:tr w:rsidR="004F075A" w:rsidRPr="00022BA7" w14:paraId="37FD8621" w14:textId="77777777" w:rsidTr="00F95C74">
        <w:trPr>
          <w:trHeight w:val="300"/>
        </w:trPr>
        <w:tc>
          <w:tcPr>
            <w:tcW w:w="720" w:type="dxa"/>
          </w:tcPr>
          <w:p w14:paraId="724AA0C5" w14:textId="77777777" w:rsidR="004F075A" w:rsidRPr="00022BA7" w:rsidRDefault="004F075A" w:rsidP="00F95C74">
            <w:pPr>
              <w:rPr>
                <w:i/>
              </w:rPr>
            </w:pPr>
          </w:p>
        </w:tc>
        <w:tc>
          <w:tcPr>
            <w:tcW w:w="7920" w:type="dxa"/>
          </w:tcPr>
          <w:p w14:paraId="3406A6BE" w14:textId="77777777" w:rsidR="004F075A" w:rsidRPr="00022BA7" w:rsidRDefault="00590C69" w:rsidP="00F95C74">
            <w:pPr>
              <w:rPr>
                <w:i/>
              </w:rPr>
            </w:pPr>
            <m:oMathPara>
              <m:oMath>
                <m:sSubSup>
                  <m:sSubSupPr>
                    <m:ctrlPr>
                      <w:rPr>
                        <w:rFonts w:ascii="Cambria Math" w:hAnsi="Cambria Math"/>
                        <w:i/>
                        <w:iCs/>
                      </w:rPr>
                    </m:ctrlPr>
                  </m:sSubSupPr>
                  <m:e>
                    <m:r>
                      <w:rPr>
                        <w:rFonts w:ascii="Cambria Math" w:hAnsi="Cambria Math"/>
                      </w:rPr>
                      <m:t>LF</m:t>
                    </m:r>
                  </m:e>
                  <m:sub>
                    <m:r>
                      <w:rPr>
                        <w:rFonts w:ascii="Cambria Math" w:hAnsi="Cambria Math"/>
                      </w:rPr>
                      <m:t>v,t</m:t>
                    </m:r>
                  </m:sub>
                  <m:sup>
                    <m:r>
                      <w:rPr>
                        <w:rFonts w:ascii="Cambria Math" w:hAnsi="Cambria Math"/>
                      </w:rPr>
                      <m:t>ME</m:t>
                    </m:r>
                  </m:sup>
                </m:sSubSup>
                <m:r>
                  <w:rPr>
                    <w:rFonts w:ascii="Cambria Math" w:hAnsi="Cambria Math"/>
                  </w:rPr>
                  <m:t>=</m:t>
                </m:r>
                <m:func>
                  <m:funcPr>
                    <m:ctrlPr>
                      <w:rPr>
                        <w:rFonts w:ascii="Cambria Math" w:hAnsi="Cambria Math"/>
                        <w:i/>
                      </w:rPr>
                    </m:ctrlPr>
                  </m:funcPr>
                  <m:fName>
                    <m:r>
                      <w:rPr>
                        <w:rFonts w:ascii="Cambria Math" w:hAnsi="Cambria Math"/>
                      </w:rPr>
                      <m:t>min</m:t>
                    </m:r>
                  </m:fName>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δ</m:t>
                            </m:r>
                          </m:e>
                          <m:sub>
                            <m:r>
                              <w:rPr>
                                <w:rFonts w:ascii="Cambria Math" w:hAnsi="Cambria Math"/>
                              </w:rPr>
                              <m:t>S</m:t>
                            </m:r>
                            <m:sSub>
                              <m:sSubPr>
                                <m:ctrlPr>
                                  <w:rPr>
                                    <w:rFonts w:ascii="Cambria Math" w:hAnsi="Cambria Math"/>
                                    <w:i/>
                                  </w:rPr>
                                </m:ctrlPr>
                              </m:sSubPr>
                              <m:e>
                                <m:r>
                                  <w:rPr>
                                    <w:rFonts w:ascii="Cambria Math" w:hAnsi="Cambria Math"/>
                                  </w:rPr>
                                  <m:t>T</m:t>
                                </m:r>
                              </m:e>
                              <m:sub>
                                <m:r>
                                  <w:rPr>
                                    <w:rFonts w:ascii="Cambria Math" w:hAnsi="Cambria Math"/>
                                  </w:rPr>
                                  <m:t>v</m:t>
                                </m:r>
                              </m:sub>
                            </m:sSub>
                          </m:sub>
                        </m:sSub>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SOG</m:t>
                                        </m:r>
                                      </m:e>
                                      <m:sub>
                                        <m:r>
                                          <w:rPr>
                                            <w:rFonts w:ascii="Cambria Math" w:hAnsi="Cambria Math"/>
                                          </w:rPr>
                                          <m:t>v,t</m:t>
                                        </m:r>
                                      </m:sub>
                                    </m:sSub>
                                  </m:num>
                                  <m:den>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den>
                                </m:f>
                              </m:e>
                            </m:d>
                          </m:e>
                          <m:sup>
                            <m:r>
                              <w:rPr>
                                <w:rFonts w:ascii="Cambria Math" w:hAnsi="Cambria Math"/>
                              </w:rPr>
                              <m:t>n</m:t>
                            </m:r>
                          </m:sup>
                        </m:sSup>
                        <m:r>
                          <w:rPr>
                            <w:rFonts w:ascii="Cambria Math" w:hAnsi="Cambria Math"/>
                          </w:rPr>
                          <m:t>⋅</m:t>
                        </m:r>
                        <m:sSubSup>
                          <m:sSubSupPr>
                            <m:ctrlPr>
                              <w:rPr>
                                <w:rFonts w:ascii="Cambria Math" w:hAnsi="Cambria Math"/>
                                <w:i/>
                                <w:iCs/>
                              </w:rPr>
                            </m:ctrlPr>
                          </m:sSubSupPr>
                          <m:e>
                            <m:r>
                              <w:rPr>
                                <w:rFonts w:ascii="Cambria Math" w:hAnsi="Cambria Math"/>
                              </w:rPr>
                              <m:t>n</m:t>
                            </m:r>
                          </m:e>
                          <m:sub>
                            <m:r>
                              <w:rPr>
                                <w:rFonts w:ascii="Cambria Math" w:hAnsi="Cambria Math"/>
                              </w:rPr>
                              <m:t>w</m:t>
                            </m:r>
                          </m:sub>
                          <m:sup>
                            <m:r>
                              <w:rPr>
                                <w:rFonts w:ascii="Cambria Math" w:hAnsi="Cambria Math"/>
                              </w:rPr>
                              <m:t>-1</m:t>
                            </m:r>
                          </m:sup>
                        </m:sSubSup>
                        <m:r>
                          <w:rPr>
                            <w:rFonts w:ascii="Cambria Math" w:hAnsi="Cambria Math"/>
                          </w:rPr>
                          <m:t>⋅</m:t>
                        </m:r>
                        <m:sSubSup>
                          <m:sSubSupPr>
                            <m:ctrlPr>
                              <w:rPr>
                                <w:rFonts w:ascii="Cambria Math" w:hAnsi="Cambria Math"/>
                                <w:i/>
                                <w:iCs/>
                              </w:rPr>
                            </m:ctrlPr>
                          </m:sSubSupPr>
                          <m:e>
                            <m:r>
                              <w:rPr>
                                <w:rFonts w:ascii="Cambria Math" w:hAnsi="Cambria Math"/>
                              </w:rPr>
                              <m:t>n</m:t>
                            </m:r>
                          </m:e>
                          <m:sub>
                            <m:r>
                              <w:rPr>
                                <w:rFonts w:ascii="Cambria Math" w:hAnsi="Cambria Math"/>
                              </w:rPr>
                              <m:t>f</m:t>
                            </m:r>
                          </m:sub>
                          <m:sup>
                            <m:r>
                              <w:rPr>
                                <w:rFonts w:ascii="Cambria Math" w:hAnsi="Cambria Math"/>
                              </w:rPr>
                              <m:t>-1</m:t>
                            </m:r>
                          </m:sup>
                        </m:sSubSup>
                        <m:r>
                          <w:rPr>
                            <w:rFonts w:ascii="Cambria Math" w:hAnsi="Cambria Math"/>
                          </w:rPr>
                          <m:t xml:space="preserve">⋅SF, </m:t>
                        </m:r>
                        <m:acc>
                          <m:accPr>
                            <m:chr m:val="̅"/>
                            <m:ctrlPr>
                              <w:rPr>
                                <w:rFonts w:ascii="Cambria Math" w:hAnsi="Cambria Math"/>
                                <w:i/>
                              </w:rPr>
                            </m:ctrlPr>
                          </m:accPr>
                          <m:e>
                            <m:r>
                              <w:rPr>
                                <w:rFonts w:ascii="Cambria Math" w:hAnsi="Cambria Math"/>
                              </w:rPr>
                              <m:t>L</m:t>
                            </m:r>
                            <m:sSup>
                              <m:sSupPr>
                                <m:ctrlPr>
                                  <w:rPr>
                                    <w:rFonts w:ascii="Cambria Math" w:hAnsi="Cambria Math"/>
                                    <w:i/>
                                  </w:rPr>
                                </m:ctrlPr>
                              </m:sSupPr>
                              <m:e>
                                <m:r>
                                  <w:rPr>
                                    <w:rFonts w:ascii="Cambria Math" w:hAnsi="Cambria Math"/>
                                  </w:rPr>
                                  <m:t>F</m:t>
                                </m:r>
                              </m:e>
                              <m:sup>
                                <m:r>
                                  <w:rPr>
                                    <w:rFonts w:ascii="Cambria Math" w:hAnsi="Cambria Math"/>
                                  </w:rPr>
                                  <m:t>ME</m:t>
                                </m:r>
                              </m:sup>
                            </m:sSup>
                          </m:e>
                        </m:acc>
                      </m:e>
                    </m:d>
                  </m:e>
                </m:func>
              </m:oMath>
            </m:oMathPara>
          </w:p>
        </w:tc>
        <w:tc>
          <w:tcPr>
            <w:tcW w:w="720" w:type="dxa"/>
          </w:tcPr>
          <w:p w14:paraId="7E37A68E" w14:textId="77777777" w:rsidR="004F075A" w:rsidRPr="00022BA7" w:rsidRDefault="004F075A" w:rsidP="00F95C74">
            <w:pPr>
              <w:jc w:val="right"/>
            </w:pPr>
            <w:r w:rsidRPr="00022BA7">
              <w:t>(</w:t>
            </w:r>
            <w:r>
              <w:t>7</w:t>
            </w:r>
            <w:r w:rsidRPr="00022BA7">
              <w:t>)</w:t>
            </w:r>
          </w:p>
        </w:tc>
      </w:tr>
    </w:tbl>
    <w:p w14:paraId="140F733D" w14:textId="77777777" w:rsidR="004F075A" w:rsidRPr="00022BA7" w:rsidRDefault="004F075A" w:rsidP="004F075A">
      <w:pPr>
        <w:rPr>
          <w:i/>
        </w:rPr>
      </w:pPr>
    </w:p>
    <w:p w14:paraId="2FC49712" w14:textId="77777777" w:rsidR="004F075A" w:rsidRPr="00022BA7" w:rsidRDefault="004F075A" w:rsidP="004F075A"/>
    <w:p w14:paraId="23E451F3" w14:textId="0E1636B2" w:rsidR="004F075A" w:rsidRPr="00022BA7" w:rsidRDefault="00590C69" w:rsidP="004F075A">
      <m:oMath>
        <m:sSubSup>
          <m:sSubSupPr>
            <m:ctrlPr>
              <w:rPr>
                <w:rFonts w:ascii="Cambria Math" w:hAnsi="Cambria Math"/>
                <w:i/>
                <w:iCs/>
              </w:rPr>
            </m:ctrlPr>
          </m:sSubSupPr>
          <m:e>
            <m:r>
              <w:rPr>
                <w:rFonts w:ascii="Cambria Math" w:hAnsi="Cambria Math"/>
              </w:rPr>
              <m:t>CAP</m:t>
            </m:r>
          </m:e>
          <m:sub>
            <m:r>
              <w:rPr>
                <w:rFonts w:ascii="Cambria Math" w:hAnsi="Cambria Math"/>
              </w:rPr>
              <m:t>v</m:t>
            </m:r>
          </m:sub>
          <m:sup>
            <m:r>
              <w:rPr>
                <w:rFonts w:ascii="Cambria Math" w:hAnsi="Cambria Math"/>
              </w:rPr>
              <m:t>ME</m:t>
            </m:r>
          </m:sup>
        </m:sSubSup>
      </m:oMath>
      <w:r w:rsidR="004F075A" w:rsidRPr="00022BA7">
        <w:rPr>
          <w:iCs/>
        </w:rPr>
        <w:t xml:space="preserve"> is the reference power capacity of </w:t>
      </w:r>
      <w:r w:rsidR="004F075A">
        <w:rPr>
          <w:iCs/>
        </w:rPr>
        <w:t xml:space="preserve">the </w:t>
      </w:r>
      <w:r w:rsidR="004F075A" w:rsidRPr="00022BA7">
        <w:rPr>
          <w:iCs/>
        </w:rPr>
        <w:t xml:space="preserve">main engine of vessel </w:t>
      </w:r>
      <m:oMath>
        <m:r>
          <w:rPr>
            <w:rFonts w:ascii="Cambria Math" w:hAnsi="Cambria Math"/>
          </w:rPr>
          <m:t>v</m:t>
        </m:r>
      </m:oMath>
      <w:r w:rsidR="004F075A" w:rsidRPr="00022BA7">
        <w:t xml:space="preserve">. The value of </w:t>
      </w:r>
      <w:r w:rsidR="004F075A">
        <w:t xml:space="preserve">the </w:t>
      </w:r>
      <w:r w:rsidR="004F075A" w:rsidRPr="00022BA7">
        <w:t>reference power capacity is given in the IHS dataset or USACE dataset</w:t>
      </w:r>
      <w:r w:rsidR="004F075A">
        <w:t xml:space="preserve"> and</w:t>
      </w:r>
      <w:r w:rsidR="004F075A" w:rsidRPr="00022BA7">
        <w:t xml:space="preserve"> estimated as described in</w:t>
      </w:r>
      <w:r w:rsidR="00BB2669">
        <w:t xml:space="preserve"> subsection</w:t>
      </w:r>
      <w:r w:rsidR="004F075A" w:rsidRPr="00022BA7">
        <w:t xml:space="preserve"> </w:t>
      </w:r>
      <w:r w:rsidR="00645BD5">
        <w:t>“</w:t>
      </w:r>
      <w:r w:rsidR="00D211A3" w:rsidRPr="007030EF">
        <w:rPr>
          <w:color w:val="1F497D" w:themeColor="text2"/>
        </w:rPr>
        <w:fldChar w:fldCharType="begin"/>
      </w:r>
      <w:r w:rsidR="00D211A3" w:rsidRPr="007030EF">
        <w:rPr>
          <w:color w:val="1F497D" w:themeColor="text2"/>
        </w:rPr>
        <w:instrText xml:space="preserve"> REF _Ref144852522 \h </w:instrText>
      </w:r>
      <w:r w:rsidR="00D211A3" w:rsidRPr="007030EF">
        <w:rPr>
          <w:color w:val="1F497D" w:themeColor="text2"/>
        </w:rPr>
      </w:r>
      <w:r w:rsidR="00D211A3" w:rsidRPr="007030EF">
        <w:rPr>
          <w:color w:val="1F497D" w:themeColor="text2"/>
        </w:rPr>
        <w:fldChar w:fldCharType="separate"/>
      </w:r>
      <w:r w:rsidR="00C661AC" w:rsidRPr="00022BA7">
        <w:t>Main and Auxiliary Engine Capacities</w:t>
      </w:r>
      <w:r w:rsidR="00D211A3" w:rsidRPr="007030EF">
        <w:rPr>
          <w:color w:val="1F497D" w:themeColor="text2"/>
        </w:rPr>
        <w:fldChar w:fldCharType="end"/>
      </w:r>
      <w:r w:rsidR="004F075A" w:rsidRPr="00022BA7">
        <w:t>.</w:t>
      </w:r>
      <w:r w:rsidR="00645BD5">
        <w:t>”</w:t>
      </w:r>
    </w:p>
    <w:p w14:paraId="0928AAE7" w14:textId="77777777" w:rsidR="004F075A" w:rsidRPr="00022BA7" w:rsidRDefault="004F075A" w:rsidP="004F075A">
      <w:pPr>
        <w:rPr>
          <w:iCs/>
        </w:rPr>
      </w:pPr>
    </w:p>
    <w:p w14:paraId="7831084D" w14:textId="223B1AE3" w:rsidR="004F075A" w:rsidRPr="00022BA7" w:rsidRDefault="00590C69" w:rsidP="004F075A">
      <m:oMath>
        <m:sSubSup>
          <m:sSubSupPr>
            <m:ctrlPr>
              <w:rPr>
                <w:rFonts w:ascii="Cambria Math" w:hAnsi="Cambria Math"/>
                <w:i/>
                <w:iCs/>
              </w:rPr>
            </m:ctrlPr>
          </m:sSubSupPr>
          <m:e>
            <m:r>
              <w:rPr>
                <w:rFonts w:ascii="Cambria Math" w:hAnsi="Cambria Math"/>
              </w:rPr>
              <m:t>LF</m:t>
            </m:r>
          </m:e>
          <m:sub>
            <m:r>
              <w:rPr>
                <w:rFonts w:ascii="Cambria Math" w:hAnsi="Cambria Math"/>
              </w:rPr>
              <m:t>v,t</m:t>
            </m:r>
          </m:sub>
          <m:sup>
            <m:r>
              <w:rPr>
                <w:rFonts w:ascii="Cambria Math" w:hAnsi="Cambria Math"/>
              </w:rPr>
              <m:t>ME</m:t>
            </m:r>
          </m:sup>
        </m:sSubSup>
      </m:oMath>
      <w:r w:rsidR="004F075A" w:rsidRPr="00022BA7">
        <w:rPr>
          <w:iCs/>
        </w:rPr>
        <w:t xml:space="preserve"> is the load factor of</w:t>
      </w:r>
      <w:r w:rsidR="004F075A">
        <w:rPr>
          <w:iCs/>
        </w:rPr>
        <w:t xml:space="preserve"> the</w:t>
      </w:r>
      <w:r w:rsidR="004F075A" w:rsidRPr="00022BA7">
        <w:rPr>
          <w:iCs/>
        </w:rPr>
        <w:t xml:space="preserve"> main engine at time </w:t>
      </w:r>
      <m:oMath>
        <m:r>
          <w:rPr>
            <w:rFonts w:ascii="Cambria Math" w:hAnsi="Cambria Math"/>
          </w:rPr>
          <m:t>t</m:t>
        </m:r>
      </m:oMath>
      <w:r w:rsidR="004F075A" w:rsidRPr="00022BA7">
        <w:rPr>
          <w:szCs w:val="20"/>
        </w:rPr>
        <w:t>. In some cases</w:t>
      </w:r>
      <w:r w:rsidR="004F075A">
        <w:rPr>
          <w:szCs w:val="20"/>
        </w:rPr>
        <w:t>,</w:t>
      </w:r>
      <w:r w:rsidR="004F075A" w:rsidRPr="00022BA7">
        <w:rPr>
          <w:szCs w:val="20"/>
        </w:rPr>
        <w:t xml:space="preserve"> the load factor </w:t>
      </w:r>
      <w:r w:rsidR="004F075A">
        <w:rPr>
          <w:szCs w:val="20"/>
        </w:rPr>
        <w:t xml:space="preserve">exceeds </w:t>
      </w:r>
      <w:r w:rsidR="004F075A" w:rsidRPr="00022BA7">
        <w:rPr>
          <w:szCs w:val="20"/>
        </w:rPr>
        <w:t>1</w:t>
      </w:r>
      <w:r w:rsidR="004F075A">
        <w:rPr>
          <w:szCs w:val="20"/>
        </w:rPr>
        <w:t>,</w:t>
      </w:r>
      <w:r w:rsidR="004F075A" w:rsidRPr="00022BA7">
        <w:rPr>
          <w:szCs w:val="20"/>
        </w:rPr>
        <w:t xml:space="preserve"> which is impossible in </w:t>
      </w:r>
      <w:r w:rsidR="004F075A">
        <w:rPr>
          <w:szCs w:val="20"/>
        </w:rPr>
        <w:t>actual operation</w:t>
      </w:r>
      <w:r w:rsidR="004F075A" w:rsidRPr="00022BA7">
        <w:rPr>
          <w:szCs w:val="20"/>
        </w:rPr>
        <w:t xml:space="preserve">. Thus, the value is capped with </w:t>
      </w:r>
      <m:oMath>
        <m:r>
          <w:rPr>
            <w:rFonts w:ascii="Cambria Math" w:hAnsi="Cambria Math"/>
          </w:rPr>
          <m:t xml:space="preserve"> </m:t>
        </m:r>
        <m:acc>
          <m:accPr>
            <m:chr m:val="̅"/>
            <m:ctrlPr>
              <w:rPr>
                <w:rFonts w:ascii="Cambria Math" w:hAnsi="Cambria Math" w:cs="Times New Roman"/>
                <w:i/>
                <w:szCs w:val="20"/>
              </w:rPr>
            </m:ctrlPr>
          </m:accPr>
          <m:e>
            <m:r>
              <w:rPr>
                <w:rFonts w:ascii="Cambria Math" w:hAnsi="Cambria Math"/>
              </w:rPr>
              <m:t>L</m:t>
            </m:r>
            <m:sSup>
              <m:sSupPr>
                <m:ctrlPr>
                  <w:rPr>
                    <w:rFonts w:ascii="Cambria Math" w:hAnsi="Cambria Math"/>
                    <w:i/>
                  </w:rPr>
                </m:ctrlPr>
              </m:sSupPr>
              <m:e>
                <m:r>
                  <w:rPr>
                    <w:rFonts w:ascii="Cambria Math" w:hAnsi="Cambria Math"/>
                  </w:rPr>
                  <m:t>F</m:t>
                </m:r>
              </m:e>
              <m:sup>
                <m:r>
                  <w:rPr>
                    <w:rFonts w:ascii="Cambria Math" w:hAnsi="Cambria Math"/>
                  </w:rPr>
                  <m:t>ME</m:t>
                </m:r>
              </m:sup>
            </m:sSup>
          </m:e>
        </m:acc>
      </m:oMath>
      <w:r w:rsidR="004F075A">
        <w:rPr>
          <w:szCs w:val="20"/>
        </w:rPr>
        <w:t>,</w:t>
      </w:r>
      <w:r w:rsidR="004F075A" w:rsidRPr="00022BA7">
        <w:rPr>
          <w:szCs w:val="20"/>
        </w:rPr>
        <w:t xml:space="preserve"> which is 0.98</w:t>
      </w:r>
      <w:r w:rsidR="00F56F11">
        <w:fldChar w:fldCharType="begin"/>
      </w:r>
      <w:r w:rsidR="00C61E16">
        <w:instrText xml:space="preserve"> ADDIN ZOTERO_ITEM CSL_CITATION {"citationID":"BKIZ3nrr","properties":{"formattedCitation":"\\super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F56F11">
        <w:fldChar w:fldCharType="separate"/>
      </w:r>
      <w:r w:rsidR="00C61E16" w:rsidRPr="00C61E16">
        <w:rPr>
          <w:rFonts w:cs="Times New Roman"/>
          <w:szCs w:val="24"/>
          <w:vertAlign w:val="superscript"/>
        </w:rPr>
        <w:t>7</w:t>
      </w:r>
      <w:r w:rsidR="00F56F11">
        <w:fldChar w:fldCharType="end"/>
      </w:r>
      <w:r w:rsidR="004F075A" w:rsidRPr="00022BA7">
        <w:rPr>
          <w:szCs w:val="20"/>
        </w:rPr>
        <w:t xml:space="preserve">. </w:t>
      </w:r>
      <m:oMath>
        <m:r>
          <w:rPr>
            <w:rFonts w:ascii="Cambria Math" w:hAnsi="Cambria Math"/>
          </w:rPr>
          <m:t>δ</m:t>
        </m:r>
      </m:oMath>
      <w:r w:rsidR="004F075A" w:rsidRPr="00022BA7">
        <w:t xml:space="preserve"> is a speed-power correction factor</w:t>
      </w:r>
      <w:r w:rsidR="004F075A">
        <w:t>, with</w:t>
      </w:r>
      <w:r w:rsidR="004F075A" w:rsidRPr="00022BA7">
        <w:t xml:space="preserve"> the percentage of maximum continuous rating corresponding to the </w:t>
      </w:r>
      <w:r w:rsidR="004F075A" w:rsidRPr="00022BA7">
        <w:rPr>
          <w:iCs/>
        </w:rPr>
        <w:t xml:space="preserve">main engine </w:t>
      </w:r>
      <w:r w:rsidR="004F075A" w:rsidRPr="00022BA7">
        <w:t>load at the reference speed</w:t>
      </w:r>
      <w:r w:rsidR="00765662">
        <w:fldChar w:fldCharType="begin"/>
      </w:r>
      <w:r w:rsidR="00C61E16">
        <w:instrText xml:space="preserve"> ADDIN ZOTERO_ITEM CSL_CITATION {"citationID":"ezztsnRh","properties":{"formattedCitation":"\\super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765662">
        <w:fldChar w:fldCharType="separate"/>
      </w:r>
      <w:r w:rsidR="00C61E16" w:rsidRPr="00C61E16">
        <w:rPr>
          <w:rFonts w:cs="Times New Roman"/>
          <w:szCs w:val="24"/>
          <w:vertAlign w:val="superscript"/>
        </w:rPr>
        <w:t>7</w:t>
      </w:r>
      <w:r w:rsidR="00765662">
        <w:fldChar w:fldCharType="end"/>
      </w:r>
      <w:r w:rsidR="004F075A" w:rsidRPr="00022BA7">
        <w:t>.</w:t>
      </w:r>
    </w:p>
    <w:p w14:paraId="0C186E82" w14:textId="77777777" w:rsidR="004F075A" w:rsidRPr="00022BA7" w:rsidRDefault="004F075A" w:rsidP="004F075A"/>
    <w:p w14:paraId="61FA9621" w14:textId="0B496E4E" w:rsidR="00186A21" w:rsidRDefault="004F075A" w:rsidP="00560ADC">
      <w:pPr>
        <w:widowControl/>
        <w:spacing w:line="276" w:lineRule="auto"/>
      </w:pPr>
      <w:r w:rsidRPr="00022BA7">
        <w:t xml:space="preserve"> </w:t>
      </w:r>
      <m:oMath>
        <m:sSub>
          <m:sSubPr>
            <m:ctrlPr>
              <w:rPr>
                <w:rFonts w:ascii="Cambria Math" w:hAnsi="Cambria Math"/>
                <w:i/>
                <w:iCs/>
              </w:rPr>
            </m:ctrlPr>
          </m:sSubPr>
          <m:e>
            <m:r>
              <w:rPr>
                <w:rFonts w:ascii="Cambria Math" w:hAnsi="Cambria Math"/>
              </w:rPr>
              <m:t>SOG</m:t>
            </m:r>
          </m:e>
          <m:sub>
            <m:r>
              <w:rPr>
                <w:rFonts w:ascii="Cambria Math" w:hAnsi="Cambria Math"/>
              </w:rPr>
              <m:t>v,t</m:t>
            </m:r>
          </m:sub>
        </m:sSub>
      </m:oMath>
      <w:r w:rsidRPr="00022BA7">
        <w:rPr>
          <w:iCs/>
        </w:rPr>
        <w:t xml:space="preserve"> is the </w:t>
      </w:r>
      <w:r>
        <w:rPr>
          <w:iCs/>
        </w:rPr>
        <w:t>speed</w:t>
      </w:r>
      <w:r w:rsidRPr="00022BA7">
        <w:rPr>
          <w:iCs/>
        </w:rPr>
        <w:t xml:space="preserve"> of vessel </w:t>
      </w:r>
      <m:oMath>
        <m:r>
          <w:rPr>
            <w:rFonts w:ascii="Cambria Math" w:hAnsi="Cambria Math"/>
          </w:rPr>
          <m:t>v</m:t>
        </m:r>
      </m:oMath>
      <w:r w:rsidRPr="00022BA7">
        <w:rPr>
          <w:iCs/>
        </w:rPr>
        <w:t xml:space="preserve"> at time </w:t>
      </w:r>
      <m:oMath>
        <m:r>
          <w:rPr>
            <w:rFonts w:ascii="Cambria Math" w:hAnsi="Cambria Math"/>
          </w:rPr>
          <m:t>t</m:t>
        </m:r>
      </m:oMath>
      <w:r w:rsidRPr="00022BA7">
        <w:rPr>
          <w:iCs/>
        </w:rPr>
        <w:t xml:space="preserve">, </w:t>
      </w:r>
      <m:oMath>
        <m:sSubSup>
          <m:sSubSupPr>
            <m:ctrlPr>
              <w:rPr>
                <w:rFonts w:ascii="Cambria Math" w:hAnsi="Cambria Math"/>
                <w:i/>
                <w:iCs/>
              </w:rPr>
            </m:ctrlPr>
          </m:sSubSupPr>
          <m:e>
            <m:r>
              <w:rPr>
                <w:rFonts w:ascii="Cambria Math" w:hAnsi="Cambria Math"/>
              </w:rPr>
              <m:t>V</m:t>
            </m:r>
          </m:e>
          <m:sub>
            <m:r>
              <w:rPr>
                <w:rFonts w:ascii="Cambria Math" w:hAnsi="Cambria Math"/>
              </w:rPr>
              <m:t>v</m:t>
            </m:r>
          </m:sub>
          <m:sup>
            <m:r>
              <w:rPr>
                <w:rFonts w:ascii="Cambria Math" w:hAnsi="Cambria Math"/>
              </w:rPr>
              <m:t>ref</m:t>
            </m:r>
          </m:sup>
        </m:sSubSup>
      </m:oMath>
      <w:r w:rsidRPr="00022BA7">
        <w:rPr>
          <w:iCs/>
        </w:rPr>
        <w:t xml:space="preserve"> is the reference speed of vessel </w:t>
      </w:r>
      <m:oMath>
        <m:r>
          <w:rPr>
            <w:rFonts w:ascii="Cambria Math" w:hAnsi="Cambria Math"/>
          </w:rPr>
          <m:t>v</m:t>
        </m:r>
      </m:oMath>
      <w:r w:rsidRPr="00022BA7">
        <w:t xml:space="preserve"> </w:t>
      </w:r>
      <w:r w:rsidR="00645BD5">
        <w:t xml:space="preserve">as </w:t>
      </w:r>
      <w:r>
        <w:t>described</w:t>
      </w:r>
      <w:r w:rsidRPr="00022BA7">
        <w:t xml:space="preserve"> in </w:t>
      </w:r>
      <w:r w:rsidR="002423E0">
        <w:t xml:space="preserve">subsection </w:t>
      </w:r>
      <w:r w:rsidR="00645BD5">
        <w:t>“</w:t>
      </w:r>
      <w:r w:rsidR="00021DA2" w:rsidRPr="007030EF">
        <w:rPr>
          <w:color w:val="1F497D" w:themeColor="text2"/>
        </w:rPr>
        <w:fldChar w:fldCharType="begin"/>
      </w:r>
      <w:r w:rsidR="00021DA2" w:rsidRPr="007030EF">
        <w:rPr>
          <w:color w:val="1F497D" w:themeColor="text2"/>
        </w:rPr>
        <w:instrText xml:space="preserve"> REF _Ref144852646 \h </w:instrText>
      </w:r>
      <w:r w:rsidR="00C079AD">
        <w:rPr>
          <w:color w:val="1F497D" w:themeColor="text2"/>
        </w:rPr>
        <w:instrText xml:space="preserve"> \* MERGEFORMAT </w:instrText>
      </w:r>
      <w:r w:rsidR="00021DA2" w:rsidRPr="007030EF">
        <w:rPr>
          <w:color w:val="1F497D" w:themeColor="text2"/>
        </w:rPr>
      </w:r>
      <w:r w:rsidR="00021DA2" w:rsidRPr="007030EF">
        <w:rPr>
          <w:color w:val="1F497D" w:themeColor="text2"/>
        </w:rPr>
        <w:fldChar w:fldCharType="separate"/>
      </w:r>
      <w:r w:rsidR="00C661AC" w:rsidRPr="00022BA7">
        <w:t>Reference Speed</w:t>
      </w:r>
      <w:r w:rsidR="00021DA2" w:rsidRPr="007030EF">
        <w:rPr>
          <w:color w:val="1F497D" w:themeColor="text2"/>
        </w:rPr>
        <w:fldChar w:fldCharType="end"/>
      </w:r>
      <w:r w:rsidR="00645BD5">
        <w:rPr>
          <w:color w:val="1F497D" w:themeColor="text2"/>
        </w:rPr>
        <w:t>,</w:t>
      </w:r>
      <w:r w:rsidR="00645BD5">
        <w:rPr>
          <w:iCs/>
        </w:rPr>
        <w:t>”</w:t>
      </w:r>
      <w:r w:rsidRPr="00022BA7">
        <w:rPr>
          <w:iCs/>
        </w:rPr>
        <w:t xml:space="preserve"> </w:t>
      </w:r>
      <m:oMath>
        <m:sSub>
          <m:sSubPr>
            <m:ctrlPr>
              <w:rPr>
                <w:rFonts w:ascii="Cambria Math" w:hAnsi="Cambria Math"/>
                <w:i/>
              </w:rPr>
            </m:ctrlPr>
          </m:sSubPr>
          <m:e>
            <m:r>
              <w:rPr>
                <w:rFonts w:ascii="Cambria Math" w:hAnsi="Cambria Math"/>
              </w:rPr>
              <m:t>n</m:t>
            </m:r>
          </m:e>
          <m:sub>
            <m:r>
              <w:rPr>
                <w:rFonts w:ascii="Cambria Math" w:hAnsi="Cambria Math"/>
              </w:rPr>
              <m:t>w</m:t>
            </m:r>
          </m:sub>
        </m:sSub>
      </m:oMath>
      <w:r w:rsidRPr="00022BA7">
        <w:t xml:space="preserve"> is a weather modifier to capture rough weather (e.g., waves, wind, and current) which is assumed as 0.909 </w:t>
      </w:r>
      <w:r>
        <w:t>and</w:t>
      </w:r>
      <w:r w:rsidRPr="00022BA7">
        <w:t xml:space="preserve"> leads to 10% increased power demand, </w:t>
      </w:r>
      <m:oMath>
        <m:sSub>
          <m:sSubPr>
            <m:ctrlPr>
              <w:rPr>
                <w:rFonts w:ascii="Cambria Math" w:hAnsi="Cambria Math"/>
                <w:i/>
              </w:rPr>
            </m:ctrlPr>
          </m:sSubPr>
          <m:e>
            <m:r>
              <w:rPr>
                <w:rFonts w:ascii="Cambria Math" w:hAnsi="Cambria Math"/>
              </w:rPr>
              <m:t>n</m:t>
            </m:r>
          </m:e>
          <m:sub>
            <m:r>
              <w:rPr>
                <w:rFonts w:ascii="Cambria Math" w:hAnsi="Cambria Math"/>
              </w:rPr>
              <m:t>f</m:t>
            </m:r>
          </m:sub>
        </m:sSub>
      </m:oMath>
      <w:r w:rsidRPr="00022BA7">
        <w:t xml:space="preserve"> is fouling modifier to capture hull and propeller fouling, which is assumed as 0.917, </w:t>
      </w:r>
      <w:r w:rsidRPr="00022BA7">
        <w:rPr>
          <w:rFonts w:ascii="Cambria Math" w:hAnsi="Cambria Math" w:cs="Cambria Math"/>
        </w:rPr>
        <w:t>𝑛 is a s</w:t>
      </w:r>
      <w:r w:rsidRPr="00022BA7">
        <w:t xml:space="preserve">peed ratio exponent, representing the power correction factor for different speeds, which is assumed as 3, and </w:t>
      </w:r>
      <m:oMath>
        <m:r>
          <w:rPr>
            <w:rFonts w:ascii="Cambria Math" w:hAnsi="Cambria Math"/>
          </w:rPr>
          <m:t>SF</m:t>
        </m:r>
      </m:oMath>
      <w:r w:rsidRPr="00022BA7">
        <w:t xml:space="preserve"> is a safety factor accounting for any uncertainty in vessel total power demand which is assumed as 1.05. </w:t>
      </w:r>
      <w:r>
        <w:t>Parameters used in the Admiralty formula also can be found in</w:t>
      </w:r>
      <w:r w:rsidR="00490E0F">
        <w:t xml:space="preserve"> </w:t>
      </w:r>
      <w:r w:rsidR="00490E0F">
        <w:fldChar w:fldCharType="begin"/>
      </w:r>
      <w:r w:rsidR="00490E0F">
        <w:instrText xml:space="preserve"> REF _Ref144852670 \h </w:instrText>
      </w:r>
      <w:r w:rsidR="00C079AD">
        <w:instrText xml:space="preserve"> \* MERGEFORMAT </w:instrText>
      </w:r>
      <w:r w:rsidR="00490E0F">
        <w:fldChar w:fldCharType="separate"/>
      </w:r>
      <w:r w:rsidR="00C661AC">
        <w:rPr>
          <w:noProof/>
        </w:rPr>
        <w:t>Supplementary</w:t>
      </w:r>
      <w:r w:rsidR="00C661AC">
        <w:t xml:space="preserve"> </w:t>
      </w:r>
      <w:r w:rsidR="00C661AC" w:rsidRPr="00022BA7">
        <w:rPr>
          <w:noProof/>
        </w:rPr>
        <w:t>Table</w:t>
      </w:r>
      <w:r w:rsidR="00C661AC" w:rsidRPr="00022BA7">
        <w:t xml:space="preserve"> </w:t>
      </w:r>
      <w:r w:rsidR="00C661AC">
        <w:rPr>
          <w:noProof/>
        </w:rPr>
        <w:t>9</w:t>
      </w:r>
      <w:r w:rsidR="00490E0F">
        <w:fldChar w:fldCharType="end"/>
      </w:r>
      <w:r>
        <w:t>.</w:t>
      </w:r>
    </w:p>
    <w:p w14:paraId="2259F42E" w14:textId="6500858B" w:rsidR="00560ADC" w:rsidRDefault="00560ADC">
      <w:pPr>
        <w:widowControl/>
        <w:spacing w:line="240" w:lineRule="auto"/>
        <w:rPr>
          <w:rFonts w:cs="Times New Roman"/>
          <w:b/>
          <w:szCs w:val="20"/>
        </w:rPr>
      </w:pPr>
    </w:p>
    <w:p w14:paraId="2087ADD2" w14:textId="5649A721" w:rsidR="004F075A" w:rsidRPr="00022BA7" w:rsidRDefault="004F075A" w:rsidP="00B84F31">
      <w:r w:rsidRPr="00022BA7">
        <w:t xml:space="preserve">Based on SOG in each 5-minute interval, operational modes are defined as shown in </w:t>
      </w:r>
      <w:r w:rsidR="00067091">
        <w:rPr>
          <w:b/>
        </w:rPr>
        <w:fldChar w:fldCharType="begin"/>
      </w:r>
      <w:r w:rsidR="00067091">
        <w:rPr>
          <w:b/>
        </w:rPr>
        <w:instrText xml:space="preserve"> REF _Ref144852681 \h </w:instrText>
      </w:r>
      <w:r w:rsidR="00067091">
        <w:rPr>
          <w:b/>
        </w:rPr>
      </w:r>
      <w:r w:rsidR="00067091">
        <w:rPr>
          <w:b/>
        </w:rPr>
        <w:fldChar w:fldCharType="separate"/>
      </w:r>
      <w:r w:rsidR="00C661AC">
        <w:t xml:space="preserve">Supplementary </w:t>
      </w:r>
      <w:r w:rsidR="00C661AC" w:rsidRPr="00022BA7">
        <w:t xml:space="preserve">Table </w:t>
      </w:r>
      <w:r w:rsidR="00C661AC">
        <w:rPr>
          <w:noProof/>
        </w:rPr>
        <w:t>10</w:t>
      </w:r>
      <w:r w:rsidR="00067091">
        <w:rPr>
          <w:b/>
        </w:rPr>
        <w:fldChar w:fldCharType="end"/>
      </w:r>
      <w:r w:rsidRPr="00022BA7">
        <w:t xml:space="preserve">. </w:t>
      </w:r>
    </w:p>
    <w:p w14:paraId="7FDC3630" w14:textId="77777777" w:rsidR="004F075A" w:rsidRDefault="004F075A" w:rsidP="004F075A"/>
    <w:p w14:paraId="3E17C60D" w14:textId="2E10E3D9" w:rsidR="004F075A" w:rsidRPr="00022BA7" w:rsidRDefault="004F075A" w:rsidP="004F075A">
      <w:r w:rsidRPr="00022BA7">
        <w:t>Auxiliary power demand is calculated as shown in equations (</w:t>
      </w:r>
      <w:r>
        <w:t>8</w:t>
      </w:r>
      <w:r w:rsidRPr="00022BA7">
        <w:t>) and (</w:t>
      </w:r>
      <w:r>
        <w:t>9</w:t>
      </w:r>
      <w:r w:rsidRPr="00022BA7">
        <w:t>)</w:t>
      </w:r>
      <w:r w:rsidR="004A44A2">
        <w:t>:</w:t>
      </w:r>
      <w:r w:rsidRPr="00022BA7">
        <w:t xml:space="preserve"> </w:t>
      </w:r>
    </w:p>
    <w:p w14:paraId="3115A8E1"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6EDB032D" w14:textId="77777777" w:rsidTr="00F95C74">
        <w:trPr>
          <w:trHeight w:val="300"/>
        </w:trPr>
        <w:tc>
          <w:tcPr>
            <w:tcW w:w="720" w:type="dxa"/>
          </w:tcPr>
          <w:p w14:paraId="26FC9682" w14:textId="77777777" w:rsidR="004F075A" w:rsidRPr="00022BA7" w:rsidRDefault="004F075A" w:rsidP="00F95C74">
            <w:pPr>
              <w:rPr>
                <w:i/>
              </w:rPr>
            </w:pPr>
          </w:p>
        </w:tc>
        <w:tc>
          <w:tcPr>
            <w:tcW w:w="7920" w:type="dxa"/>
          </w:tcPr>
          <w:p w14:paraId="4326B9BD" w14:textId="77777777" w:rsidR="004F075A" w:rsidRPr="00022BA7" w:rsidRDefault="00590C69" w:rsidP="00F95C74">
            <w:pPr>
              <w:rPr>
                <w:rFonts w:eastAsia="Malgun Gothic" w:cs="Times New Roman"/>
                <w:i/>
              </w:rPr>
            </w:pPr>
            <m:oMathPara>
              <m:oMath>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AE,OM</m:t>
                    </m:r>
                  </m:sup>
                </m:sSubSup>
                <m:r>
                  <w:rPr>
                    <w:rFonts w:ascii="Cambria Math" w:hAnsi="Cambria Math"/>
                  </w:rPr>
                  <m:t>=</m:t>
                </m:r>
                <m:sSubSup>
                  <m:sSubSupPr>
                    <m:ctrlPr>
                      <w:rPr>
                        <w:rFonts w:ascii="Cambria Math" w:hAnsi="Cambria Math"/>
                        <w:i/>
                      </w:rPr>
                    </m:ctrlPr>
                  </m:sSubSupPr>
                  <m:e>
                    <m:r>
                      <w:rPr>
                        <w:rFonts w:ascii="Cambria Math" w:hAnsi="Cambria Math"/>
                      </w:rPr>
                      <m:t>CAP</m:t>
                    </m:r>
                  </m:e>
                  <m:sub>
                    <m:r>
                      <w:rPr>
                        <w:rFonts w:ascii="Cambria Math" w:hAnsi="Cambria Math"/>
                      </w:rPr>
                      <m:t>v</m:t>
                    </m:r>
                  </m:sub>
                  <m:sup>
                    <m:r>
                      <w:rPr>
                        <w:rFonts w:ascii="Cambria Math" w:hAnsi="Cambria Math"/>
                      </w:rPr>
                      <m:t>AE</m:t>
                    </m:r>
                  </m:sup>
                </m:sSubSup>
                <m:r>
                  <w:rPr>
                    <w:rFonts w:ascii="Cambria Math" w:hAnsi="Cambria Math" w:cs="Cambria Math"/>
                  </w:rPr>
                  <m:t>⋅</m:t>
                </m:r>
                <m:sSubSup>
                  <m:sSubSupPr>
                    <m:ctrlPr>
                      <w:rPr>
                        <w:rFonts w:ascii="Cambria Math" w:hAnsi="Cambria Math"/>
                        <w:i/>
                      </w:rPr>
                    </m:ctrlPr>
                  </m:sSubSupPr>
                  <m:e>
                    <m:r>
                      <w:rPr>
                        <w:rFonts w:ascii="Cambria Math" w:hAnsi="Cambria Math"/>
                      </w:rPr>
                      <m:t>LF</m:t>
                    </m:r>
                    <m:ctrlPr>
                      <w:rPr>
                        <w:rFonts w:ascii="Cambria Math" w:hAnsi="Cambria Math" w:cs="Cambria Math"/>
                        <w:i/>
                      </w:rPr>
                    </m:ctrlPr>
                  </m:e>
                  <m:sub>
                    <m:r>
                      <w:rPr>
                        <w:rFonts w:ascii="Cambria Math" w:hAnsi="Cambria Math"/>
                      </w:rPr>
                      <m:t>v</m:t>
                    </m:r>
                  </m:sub>
                  <m:sup>
                    <m:r>
                      <w:rPr>
                        <w:rFonts w:ascii="Cambria Math" w:hAnsi="Cambria Math"/>
                      </w:rPr>
                      <m:t>AE</m:t>
                    </m:r>
                  </m:sup>
                </m:sSubSup>
                <m:r>
                  <w:rPr>
                    <w:rFonts w:ascii="Cambria Math" w:hAnsi="Cambria Math"/>
                  </w:rPr>
                  <m:t xml:space="preserve">  (</m:t>
                </m:r>
                <m:sSub>
                  <m:sSubPr>
                    <m:ctrlPr>
                      <w:rPr>
                        <w:rFonts w:ascii="Cambria Math" w:hAnsi="Cambria Math"/>
                        <w:i/>
                      </w:rPr>
                    </m:ctrlPr>
                  </m:sSubPr>
                  <m:e>
                    <m:r>
                      <w:rPr>
                        <w:rFonts w:ascii="Cambria Math" w:hAnsi="Cambria Math"/>
                      </w:rPr>
                      <m:t>OM</m:t>
                    </m:r>
                  </m:e>
                  <m:sub>
                    <m:r>
                      <w:rPr>
                        <w:rFonts w:ascii="Cambria Math" w:hAnsi="Cambria Math"/>
                      </w:rPr>
                      <m:t>v,t</m:t>
                    </m:r>
                  </m:sub>
                </m:sSub>
                <m:r>
                  <w:rPr>
                    <w:rFonts w:ascii="Cambria Math" w:hAnsi="Cambria Math"/>
                  </w:rPr>
                  <m:t>,</m:t>
                </m:r>
                <m:sSub>
                  <m:sSubPr>
                    <m:ctrlPr>
                      <w:rPr>
                        <w:rFonts w:ascii="Cambria Math" w:hAnsi="Cambria Math"/>
                        <w:i/>
                      </w:rPr>
                    </m:ctrlPr>
                  </m:sSubPr>
                  <m:e>
                    <m:r>
                      <w:rPr>
                        <w:rFonts w:ascii="Cambria Math" w:hAnsi="Cambria Math"/>
                      </w:rPr>
                      <m:t>ST</m:t>
                    </m:r>
                  </m:e>
                  <m:sub>
                    <m:r>
                      <w:rPr>
                        <w:rFonts w:ascii="Cambria Math" w:hAnsi="Cambria Math"/>
                      </w:rPr>
                      <m:t>v</m:t>
                    </m:r>
                  </m:sub>
                </m:sSub>
                <m:r>
                  <w:rPr>
                    <w:rFonts w:ascii="Cambria Math" w:hAnsi="Cambria Math"/>
                  </w:rPr>
                  <m:t>)</m:t>
                </m:r>
              </m:oMath>
            </m:oMathPara>
          </w:p>
        </w:tc>
        <w:tc>
          <w:tcPr>
            <w:tcW w:w="720" w:type="dxa"/>
          </w:tcPr>
          <w:p w14:paraId="3FB0708F" w14:textId="77777777" w:rsidR="004F075A" w:rsidRPr="00022BA7" w:rsidRDefault="004F075A" w:rsidP="00F95C74">
            <w:pPr>
              <w:jc w:val="right"/>
            </w:pPr>
            <w:r w:rsidRPr="00022BA7">
              <w:t>(</w:t>
            </w:r>
            <w:r>
              <w:t>8</w:t>
            </w:r>
            <w:r w:rsidRPr="00022BA7">
              <w:t>)</w:t>
            </w:r>
          </w:p>
        </w:tc>
      </w:tr>
      <w:tr w:rsidR="004F075A" w:rsidRPr="00022BA7" w14:paraId="5517947B" w14:textId="77777777" w:rsidTr="005C6D34">
        <w:trPr>
          <w:trHeight w:val="47"/>
        </w:trPr>
        <w:tc>
          <w:tcPr>
            <w:tcW w:w="720" w:type="dxa"/>
          </w:tcPr>
          <w:p w14:paraId="6315BE65" w14:textId="77777777" w:rsidR="004F075A" w:rsidRPr="00022BA7" w:rsidRDefault="004F075A" w:rsidP="00F95C74">
            <w:pPr>
              <w:rPr>
                <w:i/>
              </w:rPr>
            </w:pPr>
          </w:p>
        </w:tc>
        <w:tc>
          <w:tcPr>
            <w:tcW w:w="7920" w:type="dxa"/>
          </w:tcPr>
          <w:p w14:paraId="54361C01" w14:textId="77777777" w:rsidR="004F075A" w:rsidRPr="00022BA7" w:rsidRDefault="00590C69" w:rsidP="00F95C74">
            <w:pPr>
              <w:rPr>
                <w:i/>
              </w:rPr>
            </w:pPr>
            <m:oMathPara>
              <m:oMath>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AE,OM</m:t>
                    </m:r>
                  </m:sup>
                </m:sSubSup>
                <m:r>
                  <w:rPr>
                    <w:rFonts w:ascii="Cambria Math" w:hAnsi="Cambria Math" w:cs="Cambria Math"/>
                  </w:rPr>
                  <m:t>⋅</m:t>
                </m:r>
                <m:sSup>
                  <m:sSupPr>
                    <m:ctrlPr>
                      <w:rPr>
                        <w:rFonts w:ascii="Cambria Math" w:hAnsi="Cambria Math"/>
                        <w:i/>
                      </w:rPr>
                    </m:ctrlPr>
                  </m:sSupPr>
                  <m:e>
                    <m:d>
                      <m:dPr>
                        <m:ctrlPr>
                          <w:rPr>
                            <w:rFonts w:ascii="Cambria Math" w:hAnsi="Cambria Math"/>
                            <w:i/>
                          </w:rPr>
                        </m:ctrlPr>
                      </m:dPr>
                      <m:e>
                        <m:nary>
                          <m:naryPr>
                            <m:chr m:val="∑"/>
                            <m:supHide m:val="1"/>
                            <m:ctrlPr>
                              <w:rPr>
                                <w:rFonts w:ascii="Cambria Math" w:hAnsi="Cambria Math"/>
                                <w:i/>
                              </w:rPr>
                            </m:ctrlPr>
                          </m:naryPr>
                          <m:sub>
                            <m:r>
                              <w:rPr>
                                <w:rFonts w:ascii="Cambria Math" w:hAnsi="Cambria Math"/>
                              </w:rPr>
                              <m:t>t</m:t>
                            </m:r>
                          </m:sub>
                          <m:sup/>
                          <m:e>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AE,OM</m:t>
                                </m:r>
                              </m:sup>
                            </m:sSubSup>
                          </m:e>
                        </m:nary>
                      </m:e>
                    </m:d>
                    <m:ctrlPr>
                      <w:rPr>
                        <w:rFonts w:ascii="Cambria Math" w:hAnsi="Cambria Math" w:cs="Cambria Math"/>
                        <w:i/>
                      </w:rPr>
                    </m:ctrlPr>
                  </m:e>
                  <m:sup>
                    <m:r>
                      <w:rPr>
                        <w:rFonts w:ascii="Cambria Math" w:hAnsi="Cambria Math"/>
                      </w:rPr>
                      <m:t>-1</m:t>
                    </m:r>
                  </m:sup>
                </m:sSup>
                <m:r>
                  <w:rPr>
                    <w:rFonts w:ascii="Cambria Math" w:hAnsi="Cambria Math" w:cs="Cambria Math"/>
                  </w:rPr>
                  <m:t>⋅</m:t>
                </m:r>
                <m:r>
                  <w:rPr>
                    <w:rFonts w:ascii="Cambria Math" w:hAnsi="Cambria Math"/>
                  </w:rPr>
                  <m:t xml:space="preserve"> </m:t>
                </m:r>
                <m:sSubSup>
                  <m:sSubSupPr>
                    <m:ctrlPr>
                      <w:rPr>
                        <w:rFonts w:ascii="Cambria Math" w:hAnsi="Cambria Math"/>
                        <w:i/>
                      </w:rPr>
                    </m:ctrlPr>
                  </m:sSubSupPr>
                  <m:e>
                    <m:r>
                      <w:rPr>
                        <w:rFonts w:ascii="Cambria Math" w:hAnsi="Cambria Math"/>
                      </w:rPr>
                      <m:t>R</m:t>
                    </m:r>
                  </m:e>
                  <m:sub>
                    <m:sSub>
                      <m:sSubPr>
                        <m:ctrlPr>
                          <w:rPr>
                            <w:rFonts w:ascii="Cambria Math" w:hAnsi="Cambria Math"/>
                            <w:i/>
                          </w:rPr>
                        </m:ctrlPr>
                      </m:sSubPr>
                      <m:e>
                        <m:r>
                          <w:rPr>
                            <w:rFonts w:ascii="Cambria Math" w:hAnsi="Cambria Math"/>
                          </w:rPr>
                          <m:t>ST</m:t>
                        </m:r>
                      </m:e>
                      <m:sub>
                        <m:r>
                          <w:rPr>
                            <w:rFonts w:ascii="Cambria Math" w:hAnsi="Cambria Math"/>
                          </w:rPr>
                          <m:t>v</m:t>
                        </m:r>
                      </m:sub>
                    </m:sSub>
                  </m:sub>
                  <m:sup>
                    <m:r>
                      <w:rPr>
                        <w:rFonts w:ascii="Cambria Math" w:hAnsi="Cambria Math"/>
                      </w:rPr>
                      <m:t>AEME</m:t>
                    </m:r>
                  </m:sup>
                </m:sSubSup>
                <m:r>
                  <w:rPr>
                    <w:rFonts w:ascii="Cambria Math" w:hAnsi="Cambria Math" w:cs="Cambria Math"/>
                  </w:rPr>
                  <m:t>⋅</m:t>
                </m:r>
                <m:nary>
                  <m:naryPr>
                    <m:chr m:val="∑"/>
                    <m:supHide m:val="1"/>
                    <m:ctrlPr>
                      <w:rPr>
                        <w:rFonts w:ascii="Cambria Math" w:hAnsi="Cambria Math"/>
                        <w:i/>
                      </w:rPr>
                    </m:ctrlPr>
                  </m:naryPr>
                  <m:sub>
                    <m:r>
                      <w:rPr>
                        <w:rFonts w:ascii="Cambria Math" w:hAnsi="Cambria Math"/>
                      </w:rPr>
                      <m:t>t</m:t>
                    </m:r>
                  </m:sub>
                  <m:sup/>
                  <m:e>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ME</m:t>
                        </m:r>
                      </m:sup>
                    </m:sSubSup>
                  </m:e>
                </m:nary>
                <m:r>
                  <w:rPr>
                    <w:rFonts w:ascii="Cambria Math" w:hAnsi="Cambria Math"/>
                  </w:rPr>
                  <m:t xml:space="preserve">   </m:t>
                </m:r>
              </m:oMath>
            </m:oMathPara>
          </w:p>
        </w:tc>
        <w:tc>
          <w:tcPr>
            <w:tcW w:w="720" w:type="dxa"/>
          </w:tcPr>
          <w:p w14:paraId="3ADD411C" w14:textId="77777777" w:rsidR="004F075A" w:rsidRPr="00022BA7" w:rsidRDefault="004F075A" w:rsidP="00F95C74">
            <w:pPr>
              <w:jc w:val="right"/>
            </w:pPr>
            <w:r w:rsidRPr="00022BA7">
              <w:t>(</w:t>
            </w:r>
            <w:r>
              <w:t>9</w:t>
            </w:r>
            <w:r w:rsidRPr="00022BA7">
              <w:t>)</w:t>
            </w:r>
          </w:p>
        </w:tc>
      </w:tr>
    </w:tbl>
    <w:p w14:paraId="04A80D33" w14:textId="77777777" w:rsidR="004F075A" w:rsidRPr="00022BA7" w:rsidRDefault="004F075A" w:rsidP="004F075A"/>
    <w:p w14:paraId="3E0F2130" w14:textId="18AD2913" w:rsidR="004F075A" w:rsidRDefault="00590C69" w:rsidP="004F075A">
      <w:pPr>
        <w:rPr>
          <w:iCs/>
        </w:rPr>
      </w:pPr>
      <m:oMath>
        <m:sSubSup>
          <m:sSubSupPr>
            <m:ctrlPr>
              <w:rPr>
                <w:rFonts w:ascii="Cambria Math" w:hAnsi="Cambria Math"/>
                <w:iCs/>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r>
              <m:rPr>
                <m:sty m:val="p"/>
              </m:rPr>
              <w:rPr>
                <w:rFonts w:ascii="Cambria Math" w:hAnsi="Cambria Math"/>
              </w:rPr>
              <m:t>,</m:t>
            </m:r>
            <m:r>
              <w:rPr>
                <w:rFonts w:ascii="Cambria Math" w:hAnsi="Cambria Math"/>
              </w:rPr>
              <m:t>OM</m:t>
            </m:r>
          </m:sup>
        </m:sSubSup>
      </m:oMath>
      <w:r w:rsidR="004F075A" w:rsidRPr="00022BA7">
        <w:rPr>
          <w:iCs/>
        </w:rPr>
        <w:t xml:space="preserve"> is the auxiliary demand power based solely on operational mode in time </w:t>
      </w:r>
      <m:oMath>
        <m:r>
          <w:rPr>
            <w:rFonts w:ascii="Cambria Math" w:hAnsi="Cambria Math"/>
          </w:rPr>
          <m:t>t</m:t>
        </m:r>
      </m:oMath>
      <w:r w:rsidR="004F075A" w:rsidRPr="00022BA7">
        <w:rPr>
          <w:iCs/>
        </w:rPr>
        <w:t xml:space="preserve">, </w:t>
      </w:r>
      <m:oMath>
        <m:sSubSup>
          <m:sSubSupPr>
            <m:ctrlPr>
              <w:rPr>
                <w:rFonts w:ascii="Cambria Math" w:hAnsi="Cambria Math"/>
                <w:i/>
                <w:iCs/>
              </w:rPr>
            </m:ctrlPr>
          </m:sSubSupPr>
          <m:e>
            <m:r>
              <w:rPr>
                <w:rFonts w:ascii="Cambria Math" w:hAnsi="Cambria Math"/>
              </w:rPr>
              <m:t>CAP</m:t>
            </m:r>
          </m:e>
          <m:sub>
            <m:r>
              <w:rPr>
                <w:rFonts w:ascii="Cambria Math" w:hAnsi="Cambria Math"/>
              </w:rPr>
              <m:t>v</m:t>
            </m:r>
          </m:sub>
          <m:sup>
            <m:r>
              <w:rPr>
                <w:rFonts w:ascii="Cambria Math" w:hAnsi="Cambria Math"/>
              </w:rPr>
              <m:t>AE</m:t>
            </m:r>
          </m:sup>
        </m:sSubSup>
      </m:oMath>
      <w:r w:rsidR="004F075A" w:rsidRPr="00022BA7">
        <w:rPr>
          <w:iCs/>
        </w:rPr>
        <w:t xml:space="preserve"> is the capacity of the auxiliary engine of vessel </w:t>
      </w:r>
      <m:oMath>
        <m:r>
          <w:rPr>
            <w:rFonts w:ascii="Cambria Math" w:hAnsi="Cambria Math"/>
          </w:rPr>
          <m:t>v</m:t>
        </m:r>
      </m:oMath>
      <w:r w:rsidR="004F075A" w:rsidRPr="00022BA7">
        <w:t>,</w:t>
      </w:r>
      <w:r w:rsidR="004F075A" w:rsidRPr="00022BA7">
        <w:rPr>
          <w:iCs/>
        </w:rPr>
        <w:t xml:space="preserve"> and </w:t>
      </w:r>
      <m:oMath>
        <m:sSubSup>
          <m:sSubSupPr>
            <m:ctrlPr>
              <w:rPr>
                <w:rFonts w:ascii="Cambria Math" w:hAnsi="Cambria Math"/>
                <w:i/>
                <w:iCs/>
              </w:rPr>
            </m:ctrlPr>
          </m:sSubSupPr>
          <m:e>
            <m:r>
              <w:rPr>
                <w:rFonts w:ascii="Cambria Math" w:hAnsi="Cambria Math"/>
              </w:rPr>
              <m:t>LF</m:t>
            </m:r>
          </m:e>
          <m:sub>
            <m:r>
              <w:rPr>
                <w:rFonts w:ascii="Cambria Math" w:hAnsi="Cambria Math"/>
              </w:rPr>
              <m:t>v,t</m:t>
            </m:r>
          </m:sub>
          <m:sup>
            <m:r>
              <w:rPr>
                <w:rFonts w:ascii="Cambria Math" w:hAnsi="Cambria Math"/>
              </w:rPr>
              <m:t>AE</m:t>
            </m:r>
          </m:sup>
        </m:sSubSup>
      </m:oMath>
      <w:r w:rsidR="004F075A" w:rsidRPr="00022BA7">
        <w:rPr>
          <w:iCs/>
        </w:rPr>
        <w:t xml:space="preserve"> is a function that returns the load factor of the auxiliary engine by operational mode </w:t>
      </w:r>
      <m:oMath>
        <m:sSub>
          <m:sSubPr>
            <m:ctrlPr>
              <w:rPr>
                <w:rFonts w:ascii="Cambria Math" w:hAnsi="Cambria Math"/>
                <w:i/>
              </w:rPr>
            </m:ctrlPr>
          </m:sSubPr>
          <m:e>
            <m:r>
              <w:rPr>
                <w:rFonts w:ascii="Cambria Math" w:hAnsi="Cambria Math"/>
              </w:rPr>
              <m:t>OM</m:t>
            </m:r>
          </m:e>
          <m:sub>
            <m:r>
              <w:rPr>
                <w:rFonts w:ascii="Cambria Math" w:hAnsi="Cambria Math"/>
              </w:rPr>
              <m:t>v,t</m:t>
            </m:r>
          </m:sub>
        </m:sSub>
      </m:oMath>
      <w:r w:rsidR="004F075A" w:rsidRPr="00022BA7">
        <w:rPr>
          <w:iCs/>
        </w:rPr>
        <w:t xml:space="preserve"> and ship type </w:t>
      </w:r>
      <m:oMath>
        <m:sSub>
          <m:sSubPr>
            <m:ctrlPr>
              <w:rPr>
                <w:rFonts w:ascii="Cambria Math" w:hAnsi="Cambria Math"/>
                <w:i/>
              </w:rPr>
            </m:ctrlPr>
          </m:sSubPr>
          <m:e>
            <m:r>
              <w:rPr>
                <w:rFonts w:ascii="Cambria Math" w:hAnsi="Cambria Math"/>
              </w:rPr>
              <m:t>ST</m:t>
            </m:r>
          </m:e>
          <m:sub>
            <m:r>
              <w:rPr>
                <w:rFonts w:ascii="Cambria Math" w:hAnsi="Cambria Math"/>
              </w:rPr>
              <m:t>v</m:t>
            </m:r>
          </m:sub>
        </m:sSub>
      </m:oMath>
      <w:r w:rsidR="004F075A" w:rsidRPr="00022BA7">
        <w:t xml:space="preserve"> </w:t>
      </w:r>
      <w:r w:rsidR="004F075A" w:rsidRPr="00022BA7">
        <w:rPr>
          <w:iCs/>
        </w:rPr>
        <w:t xml:space="preserve">as shown in </w:t>
      </w:r>
      <w:r w:rsidR="00D650E1">
        <w:rPr>
          <w:iCs/>
        </w:rPr>
        <w:fldChar w:fldCharType="begin"/>
      </w:r>
      <w:r w:rsidR="00D650E1">
        <w:rPr>
          <w:iCs/>
        </w:rPr>
        <w:instrText xml:space="preserve"> REF _Ref144852719 \h </w:instrText>
      </w:r>
      <w:r w:rsidR="00D650E1">
        <w:rPr>
          <w:iCs/>
        </w:rPr>
      </w:r>
      <w:r w:rsidR="00D650E1">
        <w:rPr>
          <w:iCs/>
        </w:rPr>
        <w:fldChar w:fldCharType="separate"/>
      </w:r>
      <w:r w:rsidR="00C661AC">
        <w:t xml:space="preserve">Supplementary </w:t>
      </w:r>
      <w:r w:rsidR="00C661AC" w:rsidRPr="00022BA7">
        <w:t xml:space="preserve">Table </w:t>
      </w:r>
      <w:r w:rsidR="00C661AC">
        <w:rPr>
          <w:noProof/>
        </w:rPr>
        <w:t>11</w:t>
      </w:r>
      <w:r w:rsidR="00D650E1">
        <w:rPr>
          <w:iCs/>
        </w:rPr>
        <w:fldChar w:fldCharType="end"/>
      </w:r>
      <w:r w:rsidR="00971246">
        <w:rPr>
          <w:iCs/>
        </w:rPr>
        <w:fldChar w:fldCharType="begin"/>
      </w:r>
      <w:r w:rsidR="00C61E16">
        <w:rPr>
          <w:iCs/>
        </w:rPr>
        <w:instrText xml:space="preserve"> ADDIN ZOTERO_ITEM CSL_CITATION {"citationID":"bJttZDDT","properties":{"formattedCitation":"\\super 14\\nosupersub{}","plainCitation":"14","noteIndex":0},"citationItems":[{"id":272,"uris":["http://zotero.org/users/12468222/items/DMRL742K"],"itemData":{"id":272,"type":"report","language":"en","publisher":"U.S. Environmental Protection Agency","title":"Proposal to Designate an Emission Control Area for Nitrogen Oxides, Sulphur Oxides and Particulate Matter: Technical Support Document","URL":"https://nepis.epa.gov/Exe/ZyNET.exe/P10081MU.TXT?ZyActionD=ZyDocument&amp;Client=EPA&amp;Index=2006+Thru+2010&amp;Docs=&amp;Query=&amp;Time=&amp;EndTime=&amp;SearchMethod=1&amp;TocRestrict=n&amp;Toc=&amp;TocEntry=&amp;QField=&amp;QFieldYear=&amp;QFieldMonth=&amp;QFieldDay=&amp;IntQFieldOp=0&amp;ExtQFieldOp=0&amp;XmlQuery=&amp;File=D%3A%5Czyfiles%5CIndex%20Data%5C06thru10%5CTxt%5C00000019%5CP10081MU.txt&amp;User=ANONYMOUS&amp;Password=anonymous&amp;SortMethod=h%7C-&amp;MaximumDocuments=1&amp;FuzzyDegree=0&amp;ImageQuality=r75g8/r75g8/x150y150g16/i425&amp;Display=hpfr&amp;DefSeekPage=x&amp;SearchBack=ZyActionL&amp;Back=ZyActionS&amp;BackDesc=Results%20page&amp;MaximumPages=1&amp;ZyEntry=1&amp;SeekPage=x&amp;ZyPURL","author":[{"literal":"U.S. Environmental Protection Agency"}],"accessed":{"date-parts":[["2023",9,26]]},"issued":{"date-parts":[["2009"]]}}}],"schema":"https://github.com/citation-style-language/schema/raw/master/csl-citation.json"} </w:instrText>
      </w:r>
      <w:r w:rsidR="00971246">
        <w:rPr>
          <w:iCs/>
        </w:rPr>
        <w:fldChar w:fldCharType="separate"/>
      </w:r>
      <w:r w:rsidR="00C61E16" w:rsidRPr="00C61E16">
        <w:rPr>
          <w:rFonts w:cs="Times New Roman"/>
          <w:szCs w:val="24"/>
          <w:vertAlign w:val="superscript"/>
        </w:rPr>
        <w:t>14</w:t>
      </w:r>
      <w:r w:rsidR="00971246">
        <w:rPr>
          <w:iCs/>
        </w:rPr>
        <w:fldChar w:fldCharType="end"/>
      </w:r>
      <w:r w:rsidR="004F075A" w:rsidRPr="00022BA7">
        <w:rPr>
          <w:iCs/>
        </w:rPr>
        <w:t>. However, relying solely on the operational mode to compute the auxiliary demand can lead to excessive auxiliary power demand, especially when compared to propulsion demand for certain ships. This situation often occurs when ships remain relatively stationary with the AIS system turned on, resulting in a constant auxiliary demand, as per equation (</w:t>
      </w:r>
      <w:r w:rsidR="004F075A">
        <w:rPr>
          <w:iCs/>
        </w:rPr>
        <w:t>8</w:t>
      </w:r>
      <w:r w:rsidR="004F075A" w:rsidRPr="00022BA7">
        <w:rPr>
          <w:iCs/>
        </w:rPr>
        <w:t>). To address this, the auxiliary power demand calculated in equation (</w:t>
      </w:r>
      <w:r w:rsidR="004F075A">
        <w:rPr>
          <w:iCs/>
        </w:rPr>
        <w:t>8</w:t>
      </w:r>
      <w:r w:rsidR="004F075A" w:rsidRPr="00022BA7">
        <w:rPr>
          <w:iCs/>
        </w:rPr>
        <w:t>) has been adjusted to incorporate the average ratio of energy consumption in</w:t>
      </w:r>
      <w:r w:rsidR="004F075A">
        <w:rPr>
          <w:iCs/>
        </w:rPr>
        <w:t xml:space="preserve"> the</w:t>
      </w:r>
      <w:r w:rsidR="004F075A" w:rsidRPr="00022BA7">
        <w:rPr>
          <w:iCs/>
        </w:rPr>
        <w:t xml:space="preserve"> main engine to that in auxiliary engine, as presented in the IMO 4th Emission Study</w:t>
      </w:r>
      <w:r w:rsidR="006B1EEA">
        <w:fldChar w:fldCharType="begin"/>
      </w:r>
      <w:r w:rsidR="00C61E16">
        <w:instrText xml:space="preserve"> ADDIN ZOTERO_ITEM CSL_CITATION {"citationID":"zs6XWUwx","properties":{"formattedCitation":"\\super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6B1EEA">
        <w:fldChar w:fldCharType="separate"/>
      </w:r>
      <w:r w:rsidR="00C61E16" w:rsidRPr="00C61E16">
        <w:rPr>
          <w:rFonts w:cs="Times New Roman"/>
          <w:szCs w:val="24"/>
          <w:vertAlign w:val="superscript"/>
        </w:rPr>
        <w:t>7</w:t>
      </w:r>
      <w:r w:rsidR="006B1EEA">
        <w:fldChar w:fldCharType="end"/>
      </w:r>
      <w:r w:rsidR="004F075A" w:rsidRPr="00022BA7">
        <w:rPr>
          <w:iCs/>
        </w:rPr>
        <w:t>. Equation (</w:t>
      </w:r>
      <w:r w:rsidR="004F075A">
        <w:rPr>
          <w:iCs/>
        </w:rPr>
        <w:t>9</w:t>
      </w:r>
      <w:r w:rsidR="004F075A" w:rsidRPr="00022BA7">
        <w:rPr>
          <w:iCs/>
        </w:rPr>
        <w:t xml:space="preserve">) includes the ratio denoted as </w:t>
      </w:r>
      <m:oMath>
        <m:sSubSup>
          <m:sSubSupPr>
            <m:ctrlPr>
              <w:rPr>
                <w:rStyle w:val="EquationChar"/>
                <w:rFonts w:eastAsia="Times New Roman" w:cstheme="minorBidi"/>
                <w:i w:val="0"/>
              </w:rPr>
            </m:ctrlPr>
          </m:sSubSupPr>
          <m:e>
            <m:r>
              <m:rPr>
                <m:sty m:val="p"/>
              </m:rPr>
              <w:rPr>
                <w:rStyle w:val="EquationChar"/>
              </w:rPr>
              <m:t>R</m:t>
            </m:r>
            <m:ctrlPr>
              <w:rPr>
                <w:rStyle w:val="EquationChar"/>
                <w:i w:val="0"/>
              </w:rPr>
            </m:ctrlPr>
          </m:e>
          <m:sub>
            <m:r>
              <m:rPr>
                <m:sty m:val="p"/>
              </m:rPr>
              <w:rPr>
                <w:rStyle w:val="EquationChar"/>
              </w:rPr>
              <m:t>S</m:t>
            </m:r>
            <m:sSub>
              <m:sSubPr>
                <m:ctrlPr>
                  <w:rPr>
                    <w:rStyle w:val="EquationChar"/>
                    <w:i w:val="0"/>
                  </w:rPr>
                </m:ctrlPr>
              </m:sSubPr>
              <m:e>
                <m:r>
                  <m:rPr>
                    <m:sty m:val="p"/>
                  </m:rPr>
                  <w:rPr>
                    <w:rStyle w:val="EquationChar"/>
                  </w:rPr>
                  <m:t>T</m:t>
                </m:r>
              </m:e>
              <m:sub>
                <m:r>
                  <m:rPr>
                    <m:sty m:val="p"/>
                  </m:rPr>
                  <w:rPr>
                    <w:rStyle w:val="EquationChar"/>
                  </w:rPr>
                  <m:t>v</m:t>
                </m:r>
              </m:sub>
            </m:sSub>
          </m:sub>
          <m:sup>
            <m:r>
              <m:rPr>
                <m:sty m:val="p"/>
              </m:rPr>
              <w:rPr>
                <w:rFonts w:ascii="Cambria Math" w:eastAsia="Times New Roman" w:hAnsi="Cambria Math"/>
                <w:color w:val="000000"/>
              </w:rPr>
              <m:t>AE/ME</m:t>
            </m:r>
            <m:ctrlPr>
              <w:rPr>
                <w:rStyle w:val="EquationChar"/>
                <w:i w:val="0"/>
              </w:rPr>
            </m:ctrlPr>
          </m:sup>
        </m:sSubSup>
      </m:oMath>
      <w:r w:rsidR="004F075A" w:rsidRPr="005465FC">
        <w:rPr>
          <w:iCs/>
        </w:rPr>
        <w:t>,</w:t>
      </w:r>
      <w:r w:rsidR="004F075A" w:rsidRPr="00022BA7">
        <w:rPr>
          <w:iCs/>
        </w:rPr>
        <w:t xml:space="preserve"> which varies by ship type as shown in </w:t>
      </w:r>
      <w:r w:rsidR="00A113DE">
        <w:rPr>
          <w:iCs/>
        </w:rPr>
        <w:fldChar w:fldCharType="begin"/>
      </w:r>
      <w:r w:rsidR="00A113DE">
        <w:rPr>
          <w:iCs/>
        </w:rPr>
        <w:instrText xml:space="preserve"> REF _Ref144852748 \h </w:instrText>
      </w:r>
      <w:r w:rsidR="00A113DE">
        <w:rPr>
          <w:iCs/>
        </w:rPr>
      </w:r>
      <w:r w:rsidR="00A113DE">
        <w:rPr>
          <w:iCs/>
        </w:rPr>
        <w:fldChar w:fldCharType="separate"/>
      </w:r>
      <w:r w:rsidR="00C661AC">
        <w:t xml:space="preserve">Supplementary </w:t>
      </w:r>
      <w:r w:rsidR="00C661AC" w:rsidRPr="00022BA7">
        <w:t xml:space="preserve">Table </w:t>
      </w:r>
      <w:r w:rsidR="00C661AC">
        <w:rPr>
          <w:noProof/>
        </w:rPr>
        <w:t>12</w:t>
      </w:r>
      <w:r w:rsidR="00A113DE">
        <w:rPr>
          <w:iCs/>
        </w:rPr>
        <w:fldChar w:fldCharType="end"/>
      </w:r>
      <w:r w:rsidR="004F075A" w:rsidRPr="00022BA7">
        <w:rPr>
          <w:iCs/>
        </w:rPr>
        <w:t>. This ratio is factored with the inverse of the sum of operational-mode-based auxiliary demand and the total propulsion demand.</w:t>
      </w:r>
    </w:p>
    <w:p w14:paraId="65790919" w14:textId="77777777" w:rsidR="004F075A" w:rsidRPr="00022BA7" w:rsidRDefault="004F075A" w:rsidP="004F075A">
      <w:pPr>
        <w:rPr>
          <w:iCs/>
        </w:rPr>
      </w:pPr>
    </w:p>
    <w:p w14:paraId="119BBC8E" w14:textId="77777777" w:rsidR="004F075A" w:rsidRPr="00022BA7" w:rsidRDefault="004F075A" w:rsidP="00B84F31">
      <w:pPr>
        <w:pStyle w:val="Heading3"/>
      </w:pPr>
      <w:r w:rsidRPr="00022BA7">
        <w:t xml:space="preserve">Power Flow </w:t>
      </w:r>
      <w:r>
        <w:t>D</w:t>
      </w:r>
      <w:r w:rsidRPr="00022BA7">
        <w:t xml:space="preserve">uring Battery Charging and Discharging </w:t>
      </w:r>
    </w:p>
    <w:p w14:paraId="1E9D3FCC" w14:textId="2FAFC391" w:rsidR="004F075A" w:rsidRPr="00022BA7" w:rsidRDefault="004F075A" w:rsidP="004F075A">
      <w:pPr>
        <w:rPr>
          <w:iCs/>
        </w:rPr>
      </w:pPr>
      <w:r w:rsidRPr="00022BA7">
        <w:rPr>
          <w:iCs/>
        </w:rPr>
        <w:t xml:space="preserve">As shown in </w:t>
      </w:r>
      <w:r w:rsidR="006A48E1">
        <w:rPr>
          <w:iCs/>
        </w:rPr>
        <w:fldChar w:fldCharType="begin"/>
      </w:r>
      <w:r w:rsidR="006A48E1">
        <w:rPr>
          <w:iCs/>
        </w:rPr>
        <w:instrText xml:space="preserve"> REF _Ref144852797 \h </w:instrText>
      </w:r>
      <w:r w:rsidR="006A48E1">
        <w:rPr>
          <w:iCs/>
        </w:rPr>
      </w:r>
      <w:r w:rsidR="006A48E1">
        <w:rPr>
          <w:iCs/>
        </w:rPr>
        <w:fldChar w:fldCharType="separate"/>
      </w:r>
      <w:r w:rsidR="00C661AC">
        <w:t xml:space="preserve">Supplementary </w:t>
      </w:r>
      <w:r w:rsidR="00C661AC" w:rsidRPr="00022BA7">
        <w:t xml:space="preserve">Figure </w:t>
      </w:r>
      <w:r w:rsidR="00C661AC">
        <w:rPr>
          <w:noProof/>
        </w:rPr>
        <w:t>10</w:t>
      </w:r>
      <w:r w:rsidR="006A48E1">
        <w:rPr>
          <w:iCs/>
        </w:rPr>
        <w:fldChar w:fldCharType="end"/>
      </w:r>
      <w:r w:rsidR="00EC758C">
        <w:rPr>
          <w:iCs/>
        </w:rPr>
        <w:t>,</w:t>
      </w:r>
      <w:r w:rsidR="006A48E1">
        <w:rPr>
          <w:iCs/>
        </w:rPr>
        <w:t xml:space="preserve"> </w:t>
      </w:r>
      <w:r w:rsidRPr="00022BA7">
        <w:rPr>
          <w:iCs/>
        </w:rPr>
        <w:t xml:space="preserve">when the BES is connected to the SPC for charging, the charging power from the SPC follows a path through the AC/DC converter, main DC switchboard, </w:t>
      </w:r>
      <w:r>
        <w:rPr>
          <w:iCs/>
        </w:rPr>
        <w:t xml:space="preserve">and </w:t>
      </w:r>
      <w:r w:rsidRPr="00022BA7">
        <w:rPr>
          <w:iCs/>
        </w:rPr>
        <w:t>DC/DC converter</w:t>
      </w:r>
      <w:r>
        <w:rPr>
          <w:iCs/>
        </w:rPr>
        <w:t xml:space="preserve"> to the </w:t>
      </w:r>
      <w:r w:rsidRPr="00022BA7">
        <w:rPr>
          <w:iCs/>
        </w:rPr>
        <w:t xml:space="preserve">battery. Additionally, we assumed that while the BES is connected to the SPC, the auxiliary demand is supplied from the SPC and passes through the AC/DC converter, main DC switchboard, and DC/AC converter. </w:t>
      </w:r>
    </w:p>
    <w:p w14:paraId="11A52F08" w14:textId="77777777" w:rsidR="004F075A" w:rsidRPr="00022BA7" w:rsidRDefault="004F075A" w:rsidP="004F075A">
      <w:pPr>
        <w:rPr>
          <w:iCs/>
        </w:rPr>
      </w:pPr>
    </w:p>
    <w:p w14:paraId="090A090C" w14:textId="77777777" w:rsidR="004F075A" w:rsidRPr="00022BA7" w:rsidRDefault="004F075A" w:rsidP="004F075A">
      <w:pPr>
        <w:rPr>
          <w:iCs/>
        </w:rPr>
      </w:pPr>
      <w:r w:rsidRPr="00022BA7">
        <w:rPr>
          <w:iCs/>
        </w:rPr>
        <w:t>Considering the power losses in each component, we calculated the efficiency from the SPC to the battery (</w:t>
      </w:r>
      <m:oMath>
        <m:sSub>
          <m:sSubPr>
            <m:ctrlPr>
              <w:rPr>
                <w:rFonts w:ascii="Cambria Math" w:hAnsi="Cambria Math"/>
                <w:iCs/>
              </w:rPr>
            </m:ctrlPr>
          </m:sSubPr>
          <m:e>
            <m:r>
              <w:rPr>
                <w:rFonts w:ascii="Cambria Math" w:hAnsi="Cambria Math"/>
              </w:rPr>
              <m:t>η</m:t>
            </m:r>
          </m:e>
          <m:sub>
            <m:r>
              <w:rPr>
                <w:rFonts w:ascii="Cambria Math" w:hAnsi="Cambria Math"/>
              </w:rPr>
              <m:t>SB</m:t>
            </m:r>
          </m:sub>
        </m:sSub>
      </m:oMath>
      <w:r w:rsidRPr="00022BA7">
        <w:rPr>
          <w:iCs/>
        </w:rPr>
        <w:t>) and to the auxiliary demand (</w:t>
      </w:r>
      <m:oMath>
        <m:sSub>
          <m:sSubPr>
            <m:ctrlPr>
              <w:rPr>
                <w:rFonts w:ascii="Cambria Math" w:hAnsi="Cambria Math"/>
                <w:iCs/>
              </w:rPr>
            </m:ctrlPr>
          </m:sSubPr>
          <m:e>
            <m:r>
              <w:rPr>
                <w:rFonts w:ascii="Cambria Math" w:hAnsi="Cambria Math"/>
              </w:rPr>
              <m:t>η</m:t>
            </m:r>
          </m:e>
          <m:sub>
            <m:r>
              <w:rPr>
                <w:rFonts w:ascii="Cambria Math" w:hAnsi="Cambria Math"/>
              </w:rPr>
              <m:t>SA</m:t>
            </m:r>
          </m:sub>
        </m:sSub>
      </m:oMath>
      <w:r w:rsidRPr="00022BA7">
        <w:rPr>
          <w:iCs/>
        </w:rPr>
        <w:t>) using equations (</w:t>
      </w:r>
      <w:r>
        <w:rPr>
          <w:iCs/>
        </w:rPr>
        <w:t>10</w:t>
      </w:r>
      <w:r w:rsidRPr="00022BA7">
        <w:rPr>
          <w:iCs/>
        </w:rPr>
        <w:t>) and (1</w:t>
      </w:r>
      <w:r>
        <w:rPr>
          <w:iCs/>
        </w:rPr>
        <w:t>1</w:t>
      </w:r>
      <w:r w:rsidRPr="00022BA7">
        <w:rPr>
          <w:iCs/>
        </w:rPr>
        <w:t>).</w:t>
      </w:r>
    </w:p>
    <w:p w14:paraId="6109BB3E"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0CD46C2E" w14:textId="77777777" w:rsidTr="00F95C74">
        <w:trPr>
          <w:trHeight w:val="300"/>
        </w:trPr>
        <w:tc>
          <w:tcPr>
            <w:tcW w:w="720" w:type="dxa"/>
          </w:tcPr>
          <w:p w14:paraId="4D6127F8" w14:textId="77777777" w:rsidR="004F075A" w:rsidRPr="00022BA7" w:rsidRDefault="004F075A" w:rsidP="00F95C74">
            <w:pPr>
              <w:rPr>
                <w:i/>
              </w:rPr>
            </w:pPr>
          </w:p>
        </w:tc>
        <w:tc>
          <w:tcPr>
            <w:tcW w:w="7920" w:type="dxa"/>
          </w:tcPr>
          <w:p w14:paraId="234724E5" w14:textId="77777777" w:rsidR="004F075A" w:rsidRPr="00022BA7" w:rsidRDefault="00590C69" w:rsidP="00F95C74">
            <w:pPr>
              <w:rPr>
                <w:rFonts w:eastAsia="Malgun Gothic" w:cs="Times New Roman"/>
                <w:i/>
              </w:rPr>
            </w:pPr>
            <m:oMathPara>
              <m:oMathParaPr>
                <m:jc m:val="center"/>
              </m:oMathParaPr>
              <m:oMath>
                <m:sSub>
                  <m:sSubPr>
                    <m:ctrlPr>
                      <w:rPr>
                        <w:rFonts w:ascii="Cambria Math" w:hAnsi="Cambria Math"/>
                        <w:i/>
                        <w:iCs/>
                      </w:rPr>
                    </m:ctrlPr>
                  </m:sSubPr>
                  <m:e>
                    <m:r>
                      <w:rPr>
                        <w:rFonts w:ascii="Cambria Math" w:hAnsi="Cambria Math"/>
                      </w:rPr>
                      <m:t>η</m:t>
                    </m:r>
                  </m:e>
                  <m:sub>
                    <m:r>
                      <w:rPr>
                        <w:rFonts w:ascii="Cambria Math" w:hAnsi="Cambria Math"/>
                      </w:rPr>
                      <m:t>SB</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ACDC</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SWBD</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DCDC</m:t>
                    </m:r>
                  </m:sub>
                </m:sSub>
                <m:r>
                  <w:rPr>
                    <w:rFonts w:ascii="Cambria Math" w:hAnsi="Cambria Math"/>
                  </w:rPr>
                  <m:t>⋅</m:t>
                </m:r>
                <m:rad>
                  <m:radPr>
                    <m:degHide m:val="1"/>
                    <m:ctrlPr>
                      <w:rPr>
                        <w:rFonts w:ascii="Cambria Math" w:hAnsi="Cambria Math"/>
                        <w:i/>
                        <w:iCs/>
                      </w:rPr>
                    </m:ctrlPr>
                  </m:radPr>
                  <m:deg/>
                  <m:e>
                    <m:sSub>
                      <m:sSubPr>
                        <m:ctrlPr>
                          <w:rPr>
                            <w:rFonts w:ascii="Cambria Math" w:hAnsi="Cambria Math"/>
                            <w:i/>
                            <w:iCs/>
                          </w:rPr>
                        </m:ctrlPr>
                      </m:sSubPr>
                      <m:e>
                        <m:r>
                          <w:rPr>
                            <w:rFonts w:ascii="Cambria Math" w:hAnsi="Cambria Math"/>
                          </w:rPr>
                          <m:t>η</m:t>
                        </m:r>
                      </m:e>
                      <m:sub>
                        <m:r>
                          <w:rPr>
                            <w:rFonts w:ascii="Cambria Math" w:hAnsi="Cambria Math"/>
                          </w:rPr>
                          <m:t>Bat</m:t>
                        </m:r>
                      </m:sub>
                    </m:sSub>
                  </m:e>
                </m:rad>
              </m:oMath>
            </m:oMathPara>
          </w:p>
        </w:tc>
        <w:tc>
          <w:tcPr>
            <w:tcW w:w="720" w:type="dxa"/>
          </w:tcPr>
          <w:p w14:paraId="7B5F29D3" w14:textId="77777777" w:rsidR="004F075A" w:rsidRPr="00022BA7" w:rsidRDefault="004F075A" w:rsidP="00F95C74">
            <w:pPr>
              <w:jc w:val="right"/>
            </w:pPr>
            <w:r w:rsidRPr="00022BA7">
              <w:t>(</w:t>
            </w:r>
            <w:r>
              <w:t>10</w:t>
            </w:r>
            <w:r w:rsidRPr="00022BA7">
              <w:t>)</w:t>
            </w:r>
          </w:p>
        </w:tc>
      </w:tr>
      <w:tr w:rsidR="004F075A" w:rsidRPr="00022BA7" w14:paraId="60838917" w14:textId="77777777" w:rsidTr="00F95C74">
        <w:trPr>
          <w:trHeight w:val="300"/>
        </w:trPr>
        <w:tc>
          <w:tcPr>
            <w:tcW w:w="720" w:type="dxa"/>
          </w:tcPr>
          <w:p w14:paraId="4C46E32C" w14:textId="77777777" w:rsidR="004F075A" w:rsidRPr="00022BA7" w:rsidRDefault="004F075A" w:rsidP="00F95C74">
            <w:pPr>
              <w:rPr>
                <w:i/>
              </w:rPr>
            </w:pPr>
          </w:p>
        </w:tc>
        <w:tc>
          <w:tcPr>
            <w:tcW w:w="7920" w:type="dxa"/>
          </w:tcPr>
          <w:p w14:paraId="5685ED3E" w14:textId="77777777" w:rsidR="004F075A" w:rsidRPr="00022BA7" w:rsidRDefault="00590C69" w:rsidP="00F95C74">
            <w:pPr>
              <w:rPr>
                <w:i/>
              </w:rPr>
            </w:pPr>
            <m:oMathPara>
              <m:oMath>
                <m:sSub>
                  <m:sSubPr>
                    <m:ctrlPr>
                      <w:rPr>
                        <w:rFonts w:ascii="Cambria Math" w:hAnsi="Cambria Math"/>
                        <w:i/>
                        <w:iCs/>
                      </w:rPr>
                    </m:ctrlPr>
                  </m:sSubPr>
                  <m:e>
                    <m:r>
                      <w:rPr>
                        <w:rFonts w:ascii="Cambria Math" w:hAnsi="Cambria Math"/>
                      </w:rPr>
                      <m:t>η</m:t>
                    </m:r>
                  </m:e>
                  <m:sub>
                    <m:r>
                      <w:rPr>
                        <w:rFonts w:ascii="Cambria Math" w:hAnsi="Cambria Math"/>
                      </w:rPr>
                      <m:t>SA</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ACDC</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SWBD</m:t>
                    </m:r>
                  </m:sub>
                </m:sSub>
                <m:r>
                  <w:rPr>
                    <w:rFonts w:ascii="Cambria Math" w:hAnsi="Cambria Math"/>
                  </w:rPr>
                  <m:t>⋅</m:t>
                </m:r>
                <m:sSub>
                  <m:sSubPr>
                    <m:ctrlPr>
                      <w:rPr>
                        <w:rFonts w:ascii="Cambria Math" w:hAnsi="Cambria Math"/>
                        <w:i/>
                        <w:iCs/>
                      </w:rPr>
                    </m:ctrlPr>
                  </m:sSubPr>
                  <m:e>
                    <m:r>
                      <w:rPr>
                        <w:rFonts w:ascii="Cambria Math" w:hAnsi="Cambria Math"/>
                      </w:rPr>
                      <m:t>η</m:t>
                    </m:r>
                  </m:e>
                  <m:sub>
                    <m:r>
                      <w:rPr>
                        <w:rFonts w:ascii="Cambria Math" w:hAnsi="Cambria Math"/>
                      </w:rPr>
                      <m:t>DCAC</m:t>
                    </m:r>
                  </m:sub>
                </m:sSub>
                <m:r>
                  <w:rPr>
                    <w:rFonts w:ascii="Cambria Math" w:hAnsi="Cambria Math"/>
                  </w:rPr>
                  <m:t xml:space="preserve"> </m:t>
                </m:r>
              </m:oMath>
            </m:oMathPara>
          </w:p>
        </w:tc>
        <w:tc>
          <w:tcPr>
            <w:tcW w:w="720" w:type="dxa"/>
          </w:tcPr>
          <w:p w14:paraId="6AEB50B1" w14:textId="77777777" w:rsidR="004F075A" w:rsidRPr="00022BA7" w:rsidRDefault="004F075A" w:rsidP="00F95C74">
            <w:pPr>
              <w:jc w:val="right"/>
            </w:pPr>
            <w:r w:rsidRPr="00022BA7">
              <w:t>(1</w:t>
            </w:r>
            <w:r>
              <w:t>1</w:t>
            </w:r>
            <w:r w:rsidRPr="00022BA7">
              <w:t>)</w:t>
            </w:r>
          </w:p>
        </w:tc>
      </w:tr>
    </w:tbl>
    <w:p w14:paraId="312F1BB0" w14:textId="77777777" w:rsidR="004F075A" w:rsidRPr="00022BA7" w:rsidRDefault="004F075A" w:rsidP="004F075A"/>
    <w:p w14:paraId="7745EABA" w14:textId="77777777" w:rsidR="004F075A" w:rsidRPr="00022BA7" w:rsidRDefault="004F075A" w:rsidP="004F075A">
      <w:pPr>
        <w:rPr>
          <w:iCs/>
        </w:rPr>
      </w:pPr>
      <w:r w:rsidRPr="00022BA7">
        <w:rPr>
          <w:iCs/>
        </w:rPr>
        <w:t xml:space="preserve">where </w:t>
      </w:r>
      <m:oMath>
        <m:sSub>
          <m:sSubPr>
            <m:ctrlPr>
              <w:rPr>
                <w:rFonts w:ascii="Cambria Math" w:hAnsi="Cambria Math"/>
              </w:rPr>
            </m:ctrlPr>
          </m:sSubPr>
          <m:e>
            <m:r>
              <w:rPr>
                <w:rFonts w:ascii="Cambria Math" w:hAnsi="Cambria Math"/>
              </w:rPr>
              <m:t>η</m:t>
            </m:r>
          </m:e>
          <m:sub>
            <m:r>
              <w:rPr>
                <w:rFonts w:ascii="Cambria Math" w:hAnsi="Cambria Math"/>
              </w:rPr>
              <m:t>ACDC</m:t>
            </m:r>
          </m:sub>
        </m:sSub>
      </m:oMath>
      <w:r w:rsidRPr="00022BA7">
        <w:t xml:space="preserve">, </w:t>
      </w:r>
      <m:oMath>
        <m:sSub>
          <m:sSubPr>
            <m:ctrlPr>
              <w:rPr>
                <w:rFonts w:ascii="Cambria Math" w:hAnsi="Cambria Math"/>
              </w:rPr>
            </m:ctrlPr>
          </m:sSubPr>
          <m:e>
            <m:r>
              <w:rPr>
                <w:rFonts w:ascii="Cambria Math" w:hAnsi="Cambria Math"/>
              </w:rPr>
              <m:t>η</m:t>
            </m:r>
          </m:e>
          <m:sub>
            <m:r>
              <w:rPr>
                <w:rFonts w:ascii="Cambria Math" w:hAnsi="Cambria Math"/>
              </w:rPr>
              <m:t>SWBD</m:t>
            </m:r>
          </m:sub>
        </m:sSub>
      </m:oMath>
      <w:r w:rsidRPr="00022BA7">
        <w:t xml:space="preserve">, </w:t>
      </w:r>
      <m:oMath>
        <m:sSub>
          <m:sSubPr>
            <m:ctrlPr>
              <w:rPr>
                <w:rFonts w:ascii="Cambria Math" w:hAnsi="Cambria Math"/>
              </w:rPr>
            </m:ctrlPr>
          </m:sSubPr>
          <m:e>
            <m:r>
              <w:rPr>
                <w:rFonts w:ascii="Cambria Math" w:hAnsi="Cambria Math"/>
              </w:rPr>
              <m:t>η</m:t>
            </m:r>
          </m:e>
          <m:sub>
            <m:r>
              <w:rPr>
                <w:rFonts w:ascii="Cambria Math" w:hAnsi="Cambria Math"/>
              </w:rPr>
              <m:t>DCDC</m:t>
            </m:r>
          </m:sub>
        </m:sSub>
      </m:oMath>
      <w:r w:rsidRPr="00022BA7">
        <w:t xml:space="preserve">, and </w:t>
      </w:r>
      <m:oMath>
        <m:sSub>
          <m:sSubPr>
            <m:ctrlPr>
              <w:rPr>
                <w:rFonts w:ascii="Cambria Math" w:hAnsi="Cambria Math"/>
              </w:rPr>
            </m:ctrlPr>
          </m:sSubPr>
          <m:e>
            <m:r>
              <w:rPr>
                <w:rFonts w:ascii="Cambria Math" w:hAnsi="Cambria Math"/>
              </w:rPr>
              <m:t>η</m:t>
            </m:r>
          </m:e>
          <m:sub>
            <m:r>
              <w:rPr>
                <w:rFonts w:ascii="Cambria Math" w:hAnsi="Cambria Math"/>
              </w:rPr>
              <m:t>Bat</m:t>
            </m:r>
          </m:sub>
        </m:sSub>
      </m:oMath>
      <w:r w:rsidRPr="00022BA7">
        <w:t xml:space="preserve"> are </w:t>
      </w:r>
      <w:r>
        <w:t xml:space="preserve">the </w:t>
      </w:r>
      <w:r w:rsidRPr="00022BA7">
        <w:t>efficienc</w:t>
      </w:r>
      <w:r>
        <w:t>ies</w:t>
      </w:r>
      <w:r w:rsidRPr="00022BA7">
        <w:t xml:space="preserve"> of the </w:t>
      </w:r>
      <w:r w:rsidRPr="00022BA7">
        <w:rPr>
          <w:iCs/>
        </w:rPr>
        <w:t>AC/DC converter,</w:t>
      </w:r>
      <w:r w:rsidRPr="00022BA7">
        <w:t xml:space="preserve"> </w:t>
      </w:r>
      <w:r w:rsidRPr="00022BA7">
        <w:rPr>
          <w:iCs/>
        </w:rPr>
        <w:t xml:space="preserve">main DC switchboard, DC/DC converter, and battery pack, respectively. Regarding battery </w:t>
      </w:r>
      <w:r w:rsidRPr="00022BA7">
        <w:t>pack</w:t>
      </w:r>
      <w:r w:rsidRPr="00022BA7">
        <w:rPr>
          <w:iCs/>
        </w:rPr>
        <w:t xml:space="preserve"> efficiency, the square root is applied to equation (</w:t>
      </w:r>
      <w:r>
        <w:rPr>
          <w:iCs/>
        </w:rPr>
        <w:t>10</w:t>
      </w:r>
      <w:r w:rsidRPr="00022BA7">
        <w:rPr>
          <w:iCs/>
        </w:rPr>
        <w:t xml:space="preserve">) since </w:t>
      </w:r>
      <m:oMath>
        <m:sSub>
          <m:sSubPr>
            <m:ctrlPr>
              <w:rPr>
                <w:rFonts w:ascii="Cambria Math" w:hAnsi="Cambria Math"/>
              </w:rPr>
            </m:ctrlPr>
          </m:sSubPr>
          <m:e>
            <m:r>
              <w:rPr>
                <w:rFonts w:ascii="Cambria Math" w:hAnsi="Cambria Math"/>
              </w:rPr>
              <m:t>η</m:t>
            </m:r>
          </m:e>
          <m:sub>
            <m:r>
              <w:rPr>
                <w:rFonts w:ascii="Cambria Math" w:hAnsi="Cambria Math"/>
              </w:rPr>
              <m:t>Bat</m:t>
            </m:r>
          </m:sub>
        </m:sSub>
      </m:oMath>
      <w:r w:rsidRPr="00022BA7">
        <w:rPr>
          <w:iCs/>
        </w:rPr>
        <w:t xml:space="preserve"> represents the round-trip efficiency of the battery pack.</w:t>
      </w:r>
    </w:p>
    <w:p w14:paraId="5EBE9916" w14:textId="77777777" w:rsidR="004F075A" w:rsidRPr="00022BA7" w:rsidRDefault="004F075A" w:rsidP="004F075A">
      <w:pPr>
        <w:rPr>
          <w:b/>
        </w:rPr>
      </w:pPr>
    </w:p>
    <w:p w14:paraId="5103BBF4" w14:textId="4F847715" w:rsidR="004F075A" w:rsidRPr="00022BA7" w:rsidRDefault="004F075A" w:rsidP="004F075A">
      <w:pPr>
        <w:rPr>
          <w:iCs/>
        </w:rPr>
      </w:pPr>
      <w:r w:rsidRPr="00022BA7">
        <w:rPr>
          <w:iCs/>
        </w:rPr>
        <w:t xml:space="preserve">As shown in </w:t>
      </w:r>
      <w:r w:rsidR="00EF33ED">
        <w:rPr>
          <w:iCs/>
        </w:rPr>
        <w:fldChar w:fldCharType="begin"/>
      </w:r>
      <w:r w:rsidR="00EF33ED">
        <w:rPr>
          <w:iCs/>
        </w:rPr>
        <w:instrText xml:space="preserve"> REF _Ref144852810 \h </w:instrText>
      </w:r>
      <w:r w:rsidR="00EF33ED">
        <w:rPr>
          <w:iCs/>
        </w:rPr>
      </w:r>
      <w:r w:rsidR="00EF33ED">
        <w:rPr>
          <w:iCs/>
        </w:rPr>
        <w:fldChar w:fldCharType="separate"/>
      </w:r>
      <w:r w:rsidR="00C661AC">
        <w:t xml:space="preserve">Supplementary </w:t>
      </w:r>
      <w:r w:rsidR="00C661AC" w:rsidRPr="00022BA7">
        <w:t xml:space="preserve">Figure </w:t>
      </w:r>
      <w:r w:rsidR="00C661AC">
        <w:rPr>
          <w:noProof/>
        </w:rPr>
        <w:t>11</w:t>
      </w:r>
      <w:r w:rsidR="00EF33ED">
        <w:rPr>
          <w:iCs/>
        </w:rPr>
        <w:fldChar w:fldCharType="end"/>
      </w:r>
      <w:r w:rsidRPr="00022BA7">
        <w:rPr>
          <w:iCs/>
        </w:rPr>
        <w:t xml:space="preserve">, when the battery supplies power to the propulsion system, the power flow goes through several components: battery to DC/DC </w:t>
      </w:r>
      <w:r>
        <w:rPr>
          <w:iCs/>
        </w:rPr>
        <w:t>c</w:t>
      </w:r>
      <w:r w:rsidRPr="00022BA7">
        <w:rPr>
          <w:iCs/>
        </w:rPr>
        <w:t>onverter</w:t>
      </w:r>
      <w:r>
        <w:rPr>
          <w:iCs/>
        </w:rPr>
        <w:t>,</w:t>
      </w:r>
      <w:r w:rsidRPr="00022BA7">
        <w:rPr>
          <w:iCs/>
        </w:rPr>
        <w:t xml:space="preserve"> to main DC switchboard</w:t>
      </w:r>
      <w:r>
        <w:rPr>
          <w:iCs/>
        </w:rPr>
        <w:t>,</w:t>
      </w:r>
      <w:r w:rsidRPr="00022BA7">
        <w:rPr>
          <w:iCs/>
        </w:rPr>
        <w:t xml:space="preserve"> to AC/DC inverter</w:t>
      </w:r>
      <w:r>
        <w:rPr>
          <w:iCs/>
        </w:rPr>
        <w:t>,</w:t>
      </w:r>
      <w:r w:rsidRPr="00022BA7">
        <w:rPr>
          <w:iCs/>
        </w:rPr>
        <w:t xml:space="preserve"> to propulsion electric motor. On the other hand, power for auxiliary demand is supplied from the battery through the DC/DC </w:t>
      </w:r>
      <w:r>
        <w:rPr>
          <w:iCs/>
        </w:rPr>
        <w:t>c</w:t>
      </w:r>
      <w:r w:rsidRPr="00022BA7">
        <w:rPr>
          <w:iCs/>
        </w:rPr>
        <w:t>onverter</w:t>
      </w:r>
      <w:r>
        <w:rPr>
          <w:iCs/>
        </w:rPr>
        <w:t>,</w:t>
      </w:r>
      <w:r w:rsidRPr="00022BA7">
        <w:rPr>
          <w:iCs/>
        </w:rPr>
        <w:t xml:space="preserve"> to main DC switchboard</w:t>
      </w:r>
      <w:r>
        <w:rPr>
          <w:iCs/>
        </w:rPr>
        <w:t>,</w:t>
      </w:r>
      <w:r w:rsidRPr="00022BA7">
        <w:rPr>
          <w:iCs/>
        </w:rPr>
        <w:t xml:space="preserve"> to DC/AC inverter. Because there is a loss of power in each component, the efficiency from battery to propulsion demand (</w:t>
      </w:r>
      <m:oMath>
        <m:sSub>
          <m:sSubPr>
            <m:ctrlPr>
              <w:rPr>
                <w:rFonts w:ascii="Cambria Math" w:hAnsi="Cambria Math"/>
                <w:iCs/>
              </w:rPr>
            </m:ctrlPr>
          </m:sSubPr>
          <m:e>
            <m:r>
              <w:rPr>
                <w:rFonts w:ascii="Cambria Math" w:hAnsi="Cambria Math"/>
              </w:rPr>
              <m:t>η</m:t>
            </m:r>
          </m:e>
          <m:sub>
            <m:r>
              <w:rPr>
                <w:rFonts w:ascii="Cambria Math" w:hAnsi="Cambria Math"/>
              </w:rPr>
              <m:t>BP</m:t>
            </m:r>
          </m:sub>
        </m:sSub>
      </m:oMath>
      <w:r w:rsidRPr="00022BA7">
        <w:rPr>
          <w:iCs/>
        </w:rPr>
        <w:t>) and auxiliary demand (</w:t>
      </w:r>
      <m:oMath>
        <m:sSub>
          <m:sSubPr>
            <m:ctrlPr>
              <w:rPr>
                <w:rFonts w:ascii="Cambria Math" w:hAnsi="Cambria Math"/>
                <w:iCs/>
              </w:rPr>
            </m:ctrlPr>
          </m:sSubPr>
          <m:e>
            <m:r>
              <w:rPr>
                <w:rFonts w:ascii="Cambria Math" w:hAnsi="Cambria Math"/>
              </w:rPr>
              <m:t>η</m:t>
            </m:r>
          </m:e>
          <m:sub>
            <m:r>
              <w:rPr>
                <w:rFonts w:ascii="Cambria Math" w:hAnsi="Cambria Math"/>
              </w:rPr>
              <m:t>BA</m:t>
            </m:r>
          </m:sub>
        </m:sSub>
      </m:oMath>
      <w:r w:rsidRPr="00022BA7">
        <w:rPr>
          <w:iCs/>
        </w:rPr>
        <w:t>) is calculated using equations (</w:t>
      </w:r>
      <w:r>
        <w:rPr>
          <w:iCs/>
        </w:rPr>
        <w:t>12</w:t>
      </w:r>
      <w:r w:rsidRPr="00022BA7">
        <w:rPr>
          <w:iCs/>
        </w:rPr>
        <w:t>) and (</w:t>
      </w:r>
      <w:r>
        <w:rPr>
          <w:iCs/>
        </w:rPr>
        <w:t>13</w:t>
      </w:r>
      <w:r w:rsidRPr="00022BA7">
        <w:rPr>
          <w:iCs/>
        </w:rPr>
        <w:t>)</w:t>
      </w:r>
      <w:r w:rsidR="004A44A2">
        <w:rPr>
          <w:iCs/>
        </w:rPr>
        <w:t>:</w:t>
      </w:r>
    </w:p>
    <w:p w14:paraId="174E6D1D"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6AC843CB" w14:textId="77777777" w:rsidTr="00F95C74">
        <w:trPr>
          <w:trHeight w:val="300"/>
        </w:trPr>
        <w:tc>
          <w:tcPr>
            <w:tcW w:w="720" w:type="dxa"/>
          </w:tcPr>
          <w:p w14:paraId="36BCB379" w14:textId="77777777" w:rsidR="004F075A" w:rsidRPr="00022BA7" w:rsidRDefault="004F075A" w:rsidP="00F95C74">
            <w:pPr>
              <w:rPr>
                <w:i/>
              </w:rPr>
            </w:pPr>
          </w:p>
        </w:tc>
        <w:tc>
          <w:tcPr>
            <w:tcW w:w="7920" w:type="dxa"/>
          </w:tcPr>
          <w:p w14:paraId="003DFCCE" w14:textId="77777777" w:rsidR="004F075A" w:rsidRPr="00022BA7" w:rsidRDefault="00590C69" w:rsidP="00F95C74">
            <w:pPr>
              <w:rPr>
                <w:rFonts w:eastAsia="Malgun Gothic" w:cs="Times New Roman"/>
                <w:i/>
              </w:rPr>
            </w:pPr>
            <m:oMathPara>
              <m:oMathParaPr>
                <m:jc m:val="center"/>
              </m:oMathParaPr>
              <m:oMath>
                <m:sSub>
                  <m:sSubPr>
                    <m:ctrlPr>
                      <w:rPr>
                        <w:rFonts w:ascii="Cambria Math" w:hAnsi="Cambria Math"/>
                        <w:iCs/>
                      </w:rPr>
                    </m:ctrlPr>
                  </m:sSubPr>
                  <m:e>
                    <m:r>
                      <w:rPr>
                        <w:rFonts w:ascii="Cambria Math" w:hAnsi="Cambria Math"/>
                      </w:rPr>
                      <m:t>η</m:t>
                    </m:r>
                  </m:e>
                  <m:sub>
                    <m:r>
                      <w:rPr>
                        <w:rFonts w:ascii="Cambria Math" w:hAnsi="Cambria Math"/>
                      </w:rPr>
                      <m:t>BP</m:t>
                    </m:r>
                  </m:sub>
                </m:sSub>
                <m:r>
                  <m:rPr>
                    <m:sty m:val="p"/>
                  </m:rPr>
                  <w:rPr>
                    <w:rFonts w:ascii="Cambria Math" w:hAnsi="Cambria Math"/>
                  </w:rPr>
                  <m:t>=</m:t>
                </m:r>
                <m:rad>
                  <m:radPr>
                    <m:degHide m:val="1"/>
                    <m:ctrlPr>
                      <w:rPr>
                        <w:rFonts w:ascii="Cambria Math" w:hAnsi="Cambria Math"/>
                        <w:iCs/>
                      </w:rPr>
                    </m:ctrlPr>
                  </m:radPr>
                  <m:deg/>
                  <m:e>
                    <m:sSub>
                      <m:sSubPr>
                        <m:ctrlPr>
                          <w:rPr>
                            <w:rFonts w:ascii="Cambria Math" w:hAnsi="Cambria Math"/>
                            <w:iCs/>
                          </w:rPr>
                        </m:ctrlPr>
                      </m:sSubPr>
                      <m:e>
                        <m:r>
                          <w:rPr>
                            <w:rFonts w:ascii="Cambria Math" w:hAnsi="Cambria Math"/>
                          </w:rPr>
                          <m:t>η</m:t>
                        </m:r>
                      </m:e>
                      <m:sub>
                        <m:r>
                          <w:rPr>
                            <w:rFonts w:ascii="Cambria Math" w:hAnsi="Cambria Math"/>
                          </w:rPr>
                          <m:t>Bat</m:t>
                        </m:r>
                      </m:sub>
                    </m:sSub>
                  </m:e>
                </m:rad>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DCDC</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SWBD</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DCAC</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Motor</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SF</m:t>
                    </m:r>
                  </m:sub>
                </m:sSub>
              </m:oMath>
            </m:oMathPara>
          </w:p>
        </w:tc>
        <w:tc>
          <w:tcPr>
            <w:tcW w:w="720" w:type="dxa"/>
          </w:tcPr>
          <w:p w14:paraId="65182820" w14:textId="77777777" w:rsidR="004F075A" w:rsidRPr="00022BA7" w:rsidRDefault="004F075A" w:rsidP="00F95C74">
            <w:pPr>
              <w:jc w:val="right"/>
            </w:pPr>
            <w:r w:rsidRPr="00022BA7">
              <w:t>(1</w:t>
            </w:r>
            <w:r>
              <w:t>2</w:t>
            </w:r>
            <w:r w:rsidRPr="00022BA7">
              <w:t>)</w:t>
            </w:r>
          </w:p>
        </w:tc>
      </w:tr>
      <w:tr w:rsidR="004F075A" w:rsidRPr="00022BA7" w14:paraId="1AE328BF" w14:textId="77777777" w:rsidTr="00F95C74">
        <w:trPr>
          <w:trHeight w:val="300"/>
        </w:trPr>
        <w:tc>
          <w:tcPr>
            <w:tcW w:w="720" w:type="dxa"/>
          </w:tcPr>
          <w:p w14:paraId="1FDDA7C0" w14:textId="77777777" w:rsidR="004F075A" w:rsidRPr="00022BA7" w:rsidRDefault="004F075A" w:rsidP="00F95C74">
            <w:pPr>
              <w:rPr>
                <w:i/>
              </w:rPr>
            </w:pPr>
          </w:p>
        </w:tc>
        <w:tc>
          <w:tcPr>
            <w:tcW w:w="7920" w:type="dxa"/>
          </w:tcPr>
          <w:p w14:paraId="157944E6" w14:textId="77777777" w:rsidR="004F075A" w:rsidRPr="00022BA7" w:rsidRDefault="00590C69" w:rsidP="00F95C74">
            <w:pPr>
              <w:rPr>
                <w:i/>
              </w:rPr>
            </w:pPr>
            <m:oMathPara>
              <m:oMath>
                <m:sSub>
                  <m:sSubPr>
                    <m:ctrlPr>
                      <w:rPr>
                        <w:rFonts w:ascii="Cambria Math" w:hAnsi="Cambria Math"/>
                        <w:iCs/>
                      </w:rPr>
                    </m:ctrlPr>
                  </m:sSubPr>
                  <m:e>
                    <m:r>
                      <w:rPr>
                        <w:rFonts w:ascii="Cambria Math" w:hAnsi="Cambria Math"/>
                      </w:rPr>
                      <m:t>η</m:t>
                    </m:r>
                  </m:e>
                  <m:sub>
                    <m:r>
                      <w:rPr>
                        <w:rFonts w:ascii="Cambria Math" w:hAnsi="Cambria Math"/>
                      </w:rPr>
                      <m:t>BA</m:t>
                    </m:r>
                  </m:sub>
                </m:sSub>
                <m:r>
                  <m:rPr>
                    <m:sty m:val="p"/>
                  </m:rPr>
                  <w:rPr>
                    <w:rFonts w:ascii="Cambria Math" w:hAnsi="Cambria Math"/>
                  </w:rPr>
                  <m:t>=</m:t>
                </m:r>
                <m:rad>
                  <m:radPr>
                    <m:degHide m:val="1"/>
                    <m:ctrlPr>
                      <w:rPr>
                        <w:rFonts w:ascii="Cambria Math" w:hAnsi="Cambria Math"/>
                        <w:iCs/>
                      </w:rPr>
                    </m:ctrlPr>
                  </m:radPr>
                  <m:deg/>
                  <m:e>
                    <m:sSub>
                      <m:sSubPr>
                        <m:ctrlPr>
                          <w:rPr>
                            <w:rFonts w:ascii="Cambria Math" w:hAnsi="Cambria Math"/>
                            <w:iCs/>
                          </w:rPr>
                        </m:ctrlPr>
                      </m:sSubPr>
                      <m:e>
                        <m:r>
                          <w:rPr>
                            <w:rFonts w:ascii="Cambria Math" w:hAnsi="Cambria Math"/>
                          </w:rPr>
                          <m:t>η</m:t>
                        </m:r>
                      </m:e>
                      <m:sub>
                        <m:r>
                          <w:rPr>
                            <w:rFonts w:ascii="Cambria Math" w:hAnsi="Cambria Math"/>
                          </w:rPr>
                          <m:t>Bat</m:t>
                        </m:r>
                      </m:sub>
                    </m:sSub>
                  </m:e>
                </m:rad>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DCDC</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SWBD</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DCAC</m:t>
                    </m:r>
                  </m:sub>
                </m:sSub>
                <m:r>
                  <m:rPr>
                    <m:sty m:val="p"/>
                  </m:rPr>
                  <w:rPr>
                    <w:rFonts w:ascii="Cambria Math" w:hAnsi="Cambria Math"/>
                  </w:rPr>
                  <m:t>⋅</m:t>
                </m:r>
                <m:sSub>
                  <m:sSubPr>
                    <m:ctrlPr>
                      <w:rPr>
                        <w:rFonts w:ascii="Cambria Math" w:hAnsi="Cambria Math"/>
                        <w:iCs/>
                      </w:rPr>
                    </m:ctrlPr>
                  </m:sSubPr>
                  <m:e>
                    <m:r>
                      <w:rPr>
                        <w:rFonts w:ascii="Cambria Math" w:hAnsi="Cambria Math"/>
                      </w:rPr>
                      <m:t>η</m:t>
                    </m:r>
                  </m:e>
                  <m:sub>
                    <m:r>
                      <w:rPr>
                        <w:rFonts w:ascii="Cambria Math" w:hAnsi="Cambria Math"/>
                      </w:rPr>
                      <m:t>SF</m:t>
                    </m:r>
                  </m:sub>
                </m:sSub>
              </m:oMath>
            </m:oMathPara>
          </w:p>
        </w:tc>
        <w:tc>
          <w:tcPr>
            <w:tcW w:w="720" w:type="dxa"/>
          </w:tcPr>
          <w:p w14:paraId="6854DE5B" w14:textId="77777777" w:rsidR="004F075A" w:rsidRPr="00022BA7" w:rsidRDefault="004F075A" w:rsidP="00F95C74">
            <w:pPr>
              <w:jc w:val="right"/>
            </w:pPr>
            <w:r w:rsidRPr="00022BA7">
              <w:t>(1</w:t>
            </w:r>
            <w:r>
              <w:t>3</w:t>
            </w:r>
            <w:r w:rsidRPr="00022BA7">
              <w:t>)</w:t>
            </w:r>
          </w:p>
        </w:tc>
      </w:tr>
    </w:tbl>
    <w:p w14:paraId="179ED924" w14:textId="77777777" w:rsidR="004F075A" w:rsidRPr="00022BA7" w:rsidRDefault="004F075A" w:rsidP="004F075A"/>
    <w:p w14:paraId="43FD04EE" w14:textId="77777777" w:rsidR="004F075A" w:rsidRPr="00022BA7" w:rsidRDefault="004F075A" w:rsidP="004F075A">
      <w:pPr>
        <w:rPr>
          <w:iCs/>
        </w:rPr>
      </w:pPr>
      <w:r w:rsidRPr="00022BA7">
        <w:rPr>
          <w:iCs/>
        </w:rPr>
        <w:t xml:space="preserve">Where </w:t>
      </w:r>
      <m:oMath>
        <m:sSub>
          <m:sSubPr>
            <m:ctrlPr>
              <w:rPr>
                <w:rFonts w:ascii="Cambria Math" w:hAnsi="Cambria Math"/>
                <w:iCs/>
              </w:rPr>
            </m:ctrlPr>
          </m:sSubPr>
          <m:e>
            <m:r>
              <w:rPr>
                <w:rFonts w:ascii="Cambria Math" w:hAnsi="Cambria Math"/>
              </w:rPr>
              <m:t>η</m:t>
            </m:r>
          </m:e>
          <m:sub>
            <m:r>
              <w:rPr>
                <w:rFonts w:ascii="Cambria Math" w:hAnsi="Cambria Math"/>
              </w:rPr>
              <m:t>Motor</m:t>
            </m:r>
          </m:sub>
        </m:sSub>
      </m:oMath>
      <w:r w:rsidRPr="00022BA7">
        <w:rPr>
          <w:iCs/>
        </w:rPr>
        <w:t xml:space="preserve"> and</w:t>
      </w:r>
      <w:r w:rsidRPr="00022BA7">
        <w:t xml:space="preserve"> </w:t>
      </w:r>
      <m:oMath>
        <m:sSub>
          <m:sSubPr>
            <m:ctrlPr>
              <w:rPr>
                <w:rFonts w:ascii="Cambria Math" w:hAnsi="Cambria Math"/>
                <w:iCs/>
              </w:rPr>
            </m:ctrlPr>
          </m:sSubPr>
          <m:e>
            <m:r>
              <w:rPr>
                <w:rFonts w:ascii="Cambria Math" w:hAnsi="Cambria Math"/>
              </w:rPr>
              <m:t>η</m:t>
            </m:r>
          </m:e>
          <m:sub>
            <m:r>
              <w:rPr>
                <w:rFonts w:ascii="Cambria Math" w:hAnsi="Cambria Math"/>
              </w:rPr>
              <m:t>SF</m:t>
            </m:r>
          </m:sub>
        </m:sSub>
      </m:oMath>
      <w:r w:rsidRPr="00022BA7">
        <w:rPr>
          <w:iCs/>
        </w:rPr>
        <w:t xml:space="preserve"> </w:t>
      </w:r>
      <w:r w:rsidRPr="00022BA7">
        <w:t xml:space="preserve">are </w:t>
      </w:r>
      <w:r>
        <w:t xml:space="preserve">the </w:t>
      </w:r>
      <w:r w:rsidRPr="00022BA7">
        <w:t xml:space="preserve">efficiency of </w:t>
      </w:r>
      <w:r>
        <w:t xml:space="preserve">the </w:t>
      </w:r>
      <w:r w:rsidRPr="00022BA7">
        <w:t xml:space="preserve">electric motor and </w:t>
      </w:r>
      <w:r>
        <w:t xml:space="preserve">the </w:t>
      </w:r>
      <w:r w:rsidRPr="00022BA7">
        <w:rPr>
          <w:iCs/>
        </w:rPr>
        <w:t xml:space="preserve">efficiency safety factor, respectively. Note that the efficiency safety factor </w:t>
      </w:r>
      <m:oMath>
        <m:sSub>
          <m:sSubPr>
            <m:ctrlPr>
              <w:rPr>
                <w:rFonts w:ascii="Cambria Math" w:hAnsi="Cambria Math"/>
                <w:iCs/>
              </w:rPr>
            </m:ctrlPr>
          </m:sSubPr>
          <m:e>
            <m:r>
              <w:rPr>
                <w:rFonts w:ascii="Cambria Math" w:hAnsi="Cambria Math"/>
              </w:rPr>
              <m:t>η</m:t>
            </m:r>
          </m:e>
          <m:sub>
            <m:r>
              <w:rPr>
                <w:rFonts w:ascii="Cambria Math" w:hAnsi="Cambria Math"/>
              </w:rPr>
              <m:t>SF</m:t>
            </m:r>
          </m:sub>
        </m:sSub>
      </m:oMath>
      <w:r w:rsidRPr="00022BA7">
        <w:rPr>
          <w:iCs/>
        </w:rPr>
        <w:t xml:space="preserve"> is incorporated to account for any uncertainties in the aforementioned efficiencies. </w:t>
      </w:r>
    </w:p>
    <w:p w14:paraId="3CC08EA3" w14:textId="7A4BAC98" w:rsidR="004F075A" w:rsidRPr="00022BA7" w:rsidRDefault="00C32E45" w:rsidP="00CB1B8F">
      <w:pPr>
        <w:keepNext/>
        <w:widowControl/>
      </w:pPr>
      <w:r w:rsidRPr="00C32E45">
        <w:rPr>
          <w:noProof/>
        </w:rPr>
        <w:t xml:space="preserve"> </w:t>
      </w:r>
    </w:p>
    <w:p w14:paraId="422CDCC1" w14:textId="4CD9518E" w:rsidR="004F075A" w:rsidRPr="00022BA7" w:rsidRDefault="004F075A" w:rsidP="004F075A">
      <w:r w:rsidRPr="00022BA7">
        <w:t xml:space="preserve">The efficiency of each component can be found in </w:t>
      </w:r>
      <w:r w:rsidR="00575883">
        <w:fldChar w:fldCharType="begin"/>
      </w:r>
      <w:r w:rsidR="00575883">
        <w:instrText xml:space="preserve"> REF _Ref144852826 \h </w:instrText>
      </w:r>
      <w:r w:rsidR="00575883">
        <w:fldChar w:fldCharType="separate"/>
      </w:r>
      <w:r w:rsidR="00C661AC">
        <w:t xml:space="preserve">Supplementary </w:t>
      </w:r>
      <w:r w:rsidR="00C661AC" w:rsidRPr="00022BA7">
        <w:t xml:space="preserve">Table </w:t>
      </w:r>
      <w:r w:rsidR="00C661AC">
        <w:rPr>
          <w:noProof/>
        </w:rPr>
        <w:t>13</w:t>
      </w:r>
      <w:r w:rsidR="00575883">
        <w:fldChar w:fldCharType="end"/>
      </w:r>
      <w:r w:rsidRPr="00022BA7">
        <w:t>.</w:t>
      </w:r>
    </w:p>
    <w:p w14:paraId="4E1DB446" w14:textId="77777777" w:rsidR="004F075A" w:rsidRPr="00022BA7" w:rsidRDefault="004F075A" w:rsidP="004F075A"/>
    <w:p w14:paraId="2BF616ED" w14:textId="77777777" w:rsidR="004F075A" w:rsidRPr="00022BA7" w:rsidRDefault="004F075A" w:rsidP="00B84F31">
      <w:pPr>
        <w:pStyle w:val="Heading3"/>
      </w:pPr>
      <w:r w:rsidRPr="00022BA7">
        <w:t>Battery Sizing Based on Trip Energy Demand</w:t>
      </w:r>
    </w:p>
    <w:p w14:paraId="1ADA599E" w14:textId="2629E899" w:rsidR="004F075A" w:rsidRPr="00022BA7" w:rsidRDefault="004F075A" w:rsidP="004F075A">
      <w:r w:rsidRPr="00022BA7">
        <w:t xml:space="preserve">To determine BES battery size, we defined the concept of a trip as a set of consecutive times the BES is moving and cannot be charged. The motion status of a BES is therefore categorized as either </w:t>
      </w:r>
      <w:r w:rsidR="00190F27">
        <w:t>“</w:t>
      </w:r>
      <w:r w:rsidRPr="00022BA7">
        <w:t>Moving</w:t>
      </w:r>
      <w:r w:rsidR="00190F27">
        <w:t>”</w:t>
      </w:r>
      <w:r w:rsidRPr="00022BA7">
        <w:t xml:space="preserve"> or </w:t>
      </w:r>
      <w:r w:rsidR="00190F27">
        <w:t>“</w:t>
      </w:r>
      <w:r w:rsidRPr="00022BA7">
        <w:t>Chargeable.</w:t>
      </w:r>
      <w:r w:rsidR="00190F27">
        <w:t>”</w:t>
      </w:r>
      <w:r w:rsidRPr="00022BA7">
        <w:t xml:space="preserve"> The term </w:t>
      </w:r>
      <w:r w:rsidR="00190F27">
        <w:t>“</w:t>
      </w:r>
      <w:r w:rsidRPr="00022BA7">
        <w:t>Moving</w:t>
      </w:r>
      <w:r w:rsidR="00190F27">
        <w:t>”</w:t>
      </w:r>
      <w:r w:rsidRPr="00022BA7">
        <w:t xml:space="preserve"> refers to a state in which the BES is in motion. During each time slot, we assign the Moving state when the operational mode of the BES falls into the categories of Maneuvering or Cruising. Conversely, the term </w:t>
      </w:r>
      <w:r w:rsidR="00190F27">
        <w:t>“</w:t>
      </w:r>
      <w:r w:rsidRPr="00022BA7">
        <w:t>Chargeable</w:t>
      </w:r>
      <w:r w:rsidR="00190F27">
        <w:t>”</w:t>
      </w:r>
      <w:r w:rsidRPr="00022BA7">
        <w:t xml:space="preserve"> describes a stationary state where the BES can be charged using a SPC. We assign the Chargeable state when the operational mode is classified as No Activity, At Berth, or Anchored. Assignments by mode are summarized by equation (1</w:t>
      </w:r>
      <w:r>
        <w:t>4</w:t>
      </w:r>
      <w:r w:rsidRPr="00022BA7">
        <w:t>):</w:t>
      </w:r>
    </w:p>
    <w:p w14:paraId="45ACBBDE"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DC53818" w14:textId="77777777" w:rsidTr="00F95C74">
        <w:trPr>
          <w:trHeight w:val="300"/>
        </w:trPr>
        <w:tc>
          <w:tcPr>
            <w:tcW w:w="720" w:type="dxa"/>
          </w:tcPr>
          <w:p w14:paraId="0EB019B4" w14:textId="77777777" w:rsidR="004F075A" w:rsidRPr="00022BA7" w:rsidRDefault="004F075A" w:rsidP="00F95C74">
            <w:pPr>
              <w:rPr>
                <w:i/>
              </w:rPr>
            </w:pPr>
          </w:p>
        </w:tc>
        <w:tc>
          <w:tcPr>
            <w:tcW w:w="7920" w:type="dxa"/>
          </w:tcPr>
          <w:p w14:paraId="14D6D101" w14:textId="77777777" w:rsidR="004F075A" w:rsidRPr="00022BA7" w:rsidRDefault="00590C69" w:rsidP="00F95C74">
            <w:pPr>
              <w:rPr>
                <w:rFonts w:eastAsia="Malgun Gothic" w:cs="Times New Roman"/>
                <w:i/>
              </w:rPr>
            </w:pPr>
            <m:oMathPara>
              <m:oMathParaPr>
                <m:jc m:val="center"/>
              </m:oMathParaPr>
              <m:oMath>
                <m:sSub>
                  <m:sSubPr>
                    <m:ctrlPr>
                      <w:rPr>
                        <w:rFonts w:ascii="Cambria Math" w:hAnsi="Cambria Math"/>
                        <w:i/>
                      </w:rPr>
                    </m:ctrlPr>
                  </m:sSubPr>
                  <m:e>
                    <m:r>
                      <w:rPr>
                        <w:rFonts w:ascii="Cambria Math" w:hAnsi="Cambria Math"/>
                      </w:rPr>
                      <m:t>MS</m:t>
                    </m:r>
                  </m:e>
                  <m:sub>
                    <m:r>
                      <w:rPr>
                        <w:rFonts w:ascii="Cambria Math" w:hAnsi="Cambria Math"/>
                      </w:rPr>
                      <m:t>v,t</m:t>
                    </m:r>
                  </m:sub>
                </m:sSub>
                <m:d>
                  <m:dPr>
                    <m:ctrlPr>
                      <w:rPr>
                        <w:rFonts w:ascii="Cambria Math" w:hAnsi="Cambria Math"/>
                        <w:i/>
                      </w:rPr>
                    </m:ctrlPr>
                  </m:dPr>
                  <m:e>
                    <m:sSub>
                      <m:sSubPr>
                        <m:ctrlPr>
                          <w:rPr>
                            <w:rFonts w:ascii="Cambria Math" w:hAnsi="Cambria Math"/>
                            <w:bCs/>
                            <w:i/>
                            <w:iCs/>
                            <w:color w:val="000000" w:themeColor="text1"/>
                          </w:rPr>
                        </m:ctrlPr>
                      </m:sSubPr>
                      <m:e>
                        <m:r>
                          <w:rPr>
                            <w:rFonts w:ascii="Cambria Math" w:hAnsi="Cambria Math"/>
                            <w:color w:val="000000" w:themeColor="text1"/>
                          </w:rPr>
                          <m:t>OM</m:t>
                        </m:r>
                      </m:e>
                      <m:sub>
                        <m:r>
                          <w:rPr>
                            <w:rFonts w:ascii="Cambria Math" w:hAnsi="Cambria Math"/>
                            <w:color w:val="000000" w:themeColor="text1"/>
                          </w:rPr>
                          <m:t>v,t</m:t>
                        </m:r>
                      </m:sub>
                    </m:sSub>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Moving</m:t>
                        </m:r>
                        <m:r>
                          <w:rPr>
                            <w:rFonts w:ascii="Cambria Math" w:hAnsi="Cambria Math"/>
                            <w:color w:val="000000" w:themeColor="text1"/>
                          </w:rPr>
                          <m:t>,  &amp;</m:t>
                        </m:r>
                        <m:sSub>
                          <m:sSubPr>
                            <m:ctrlPr>
                              <w:rPr>
                                <w:rFonts w:ascii="Cambria Math" w:hAnsi="Cambria Math"/>
                                <w:bCs/>
                                <w:i/>
                                <w:iCs/>
                                <w:color w:val="000000" w:themeColor="text1"/>
                              </w:rPr>
                            </m:ctrlPr>
                          </m:sSubPr>
                          <m:e>
                            <m:r>
                              <w:rPr>
                                <w:rFonts w:ascii="Cambria Math" w:hAnsi="Cambria Math"/>
                                <w:color w:val="000000" w:themeColor="text1"/>
                              </w:rPr>
                              <m:t>OM</m:t>
                            </m:r>
                          </m:e>
                          <m:sub>
                            <m:r>
                              <w:rPr>
                                <w:rFonts w:ascii="Cambria Math" w:hAnsi="Cambria Math"/>
                                <w:color w:val="000000" w:themeColor="text1"/>
                              </w:rPr>
                              <m:t>v,t</m:t>
                            </m:r>
                          </m:sub>
                        </m:sSub>
                        <m:r>
                          <w:rPr>
                            <w:rFonts w:ascii="Cambria Math" w:hAnsi="Cambria Math" w:hint="eastAsia"/>
                            <w:color w:val="000000" w:themeColor="text1"/>
                          </w:rPr>
                          <m:t>∈</m:t>
                        </m:r>
                        <m:r>
                          <w:rPr>
                            <w:rFonts w:ascii="Cambria Math" w:hAnsi="Cambria Math"/>
                            <w:color w:val="000000" w:themeColor="text1"/>
                          </w:rPr>
                          <m:t>{</m:t>
                        </m:r>
                        <m:r>
                          <w:rPr>
                            <w:rFonts w:ascii="Cambria Math" w:hAnsi="Cambria Math"/>
                          </w:rPr>
                          <m:t>Maneuvering, Cruising}</m:t>
                        </m:r>
                      </m:e>
                      <m:e>
                        <m:r>
                          <w:rPr>
                            <w:rFonts w:ascii="Cambria Math" w:hAnsi="Cambria Math"/>
                          </w:rPr>
                          <m:t>Chargeable,  &amp;</m:t>
                        </m:r>
                        <m:sSub>
                          <m:sSubPr>
                            <m:ctrlPr>
                              <w:rPr>
                                <w:rFonts w:ascii="Cambria Math" w:hAnsi="Cambria Math"/>
                                <w:bCs/>
                                <w:i/>
                                <w:iCs/>
                                <w:color w:val="000000" w:themeColor="text1"/>
                              </w:rPr>
                            </m:ctrlPr>
                          </m:sSubPr>
                          <m:e>
                            <m:r>
                              <w:rPr>
                                <w:rFonts w:ascii="Cambria Math" w:hAnsi="Cambria Math"/>
                                <w:color w:val="000000" w:themeColor="text1"/>
                              </w:rPr>
                              <m:t>OM</m:t>
                            </m:r>
                          </m:e>
                          <m:sub>
                            <m:r>
                              <w:rPr>
                                <w:rFonts w:ascii="Cambria Math" w:hAnsi="Cambria Math"/>
                                <w:color w:val="000000" w:themeColor="text1"/>
                              </w:rPr>
                              <m:t>v,t</m:t>
                            </m:r>
                          </m:sub>
                        </m:sSub>
                        <m:r>
                          <w:rPr>
                            <w:rFonts w:ascii="Cambria Math" w:hAnsi="Cambria Math"/>
                            <w:color w:val="000000" w:themeColor="text1"/>
                          </w:rPr>
                          <m:t>∈{No Activity, At Berth, A</m:t>
                        </m:r>
                        <m:r>
                          <w:rPr>
                            <w:rFonts w:ascii="Cambria Math" w:hAnsi="Cambria Math"/>
                          </w:rPr>
                          <m:t>nchored</m:t>
                        </m:r>
                        <m:r>
                          <w:rPr>
                            <w:rFonts w:ascii="Cambria Math" w:hAnsi="Cambria Math"/>
                            <w:color w:val="000000" w:themeColor="text1"/>
                          </w:rPr>
                          <m:t>}</m:t>
                        </m:r>
                      </m:e>
                    </m:eqArr>
                  </m:e>
                </m:d>
                <m:r>
                  <w:rPr>
                    <w:rFonts w:ascii="Cambria Math" w:hAnsi="Cambria Math"/>
                  </w:rPr>
                  <m:t xml:space="preserve"> </m:t>
                </m:r>
              </m:oMath>
            </m:oMathPara>
          </w:p>
        </w:tc>
        <w:tc>
          <w:tcPr>
            <w:tcW w:w="720" w:type="dxa"/>
          </w:tcPr>
          <w:p w14:paraId="101CD933" w14:textId="77777777" w:rsidR="004F075A" w:rsidRPr="00022BA7" w:rsidRDefault="004F075A" w:rsidP="00F95C74">
            <w:pPr>
              <w:jc w:val="right"/>
            </w:pPr>
            <w:r w:rsidRPr="00022BA7">
              <w:t>(1</w:t>
            </w:r>
            <w:r>
              <w:t>4</w:t>
            </w:r>
            <w:r w:rsidRPr="00022BA7">
              <w:t>)</w:t>
            </w:r>
          </w:p>
        </w:tc>
      </w:tr>
    </w:tbl>
    <w:p w14:paraId="5205BDE5" w14:textId="77777777" w:rsidR="004F075A" w:rsidRPr="00022BA7" w:rsidRDefault="004F075A" w:rsidP="004F075A"/>
    <w:p w14:paraId="4152D77A" w14:textId="44F25E1F" w:rsidR="004F075A" w:rsidRPr="00022BA7" w:rsidRDefault="004F075A" w:rsidP="004F075A">
      <w:r w:rsidRPr="00022BA7">
        <w:t xml:space="preserve">where </w:t>
      </w:r>
      <m:oMath>
        <m:sSub>
          <m:sSubPr>
            <m:ctrlPr>
              <w:rPr>
                <w:rFonts w:ascii="Cambria Math" w:hAnsi="Cambria Math"/>
                <w:i/>
              </w:rPr>
            </m:ctrlPr>
          </m:sSubPr>
          <m:e>
            <m:r>
              <w:rPr>
                <w:rFonts w:ascii="Cambria Math" w:hAnsi="Cambria Math"/>
              </w:rPr>
              <m:t>MS</m:t>
            </m:r>
          </m:e>
          <m:sub>
            <m:r>
              <w:rPr>
                <w:rFonts w:ascii="Cambria Math" w:hAnsi="Cambria Math"/>
              </w:rPr>
              <m:t>v,t</m:t>
            </m:r>
          </m:sub>
        </m:sSub>
      </m:oMath>
      <w:r w:rsidRPr="00022BA7">
        <w:t xml:space="preserve"> indicates motion states of vessel </w:t>
      </w:r>
      <m:oMath>
        <m:r>
          <w:rPr>
            <w:rFonts w:ascii="Cambria Math" w:hAnsi="Cambria Math"/>
            <w:color w:val="000000" w:themeColor="text1"/>
          </w:rPr>
          <m:t>v</m:t>
        </m:r>
      </m:oMath>
      <w:r w:rsidRPr="00022BA7">
        <w:t xml:space="preserve"> in time </w:t>
      </w:r>
      <m:oMath>
        <m:r>
          <w:rPr>
            <w:rFonts w:ascii="Cambria Math" w:hAnsi="Cambria Math"/>
            <w:color w:val="000000" w:themeColor="text1"/>
          </w:rPr>
          <m:t>t</m:t>
        </m:r>
      </m:oMath>
      <w:r w:rsidRPr="00022BA7">
        <w:rPr>
          <w:color w:val="000000" w:themeColor="text1"/>
        </w:rPr>
        <w:t>.</w:t>
      </w:r>
      <w:r w:rsidRPr="00022BA7">
        <w:t xml:space="preserve"> Once we assign BES motion status, we group consecutive periods of Moving states together as trips. Chargeable </w:t>
      </w:r>
      <w:r>
        <w:t>s</w:t>
      </w:r>
      <w:r w:rsidRPr="00022BA7">
        <w:t xml:space="preserve">tates </w:t>
      </w:r>
      <w:r>
        <w:t>of less than</w:t>
      </w:r>
      <w:r w:rsidRPr="00022BA7">
        <w:t xml:space="preserve"> 5</w:t>
      </w:r>
      <w:r>
        <w:t xml:space="preserve"> </w:t>
      </w:r>
      <w:r w:rsidRPr="00022BA7">
        <w:t>minute</w:t>
      </w:r>
      <w:r>
        <w:t>s</w:t>
      </w:r>
      <w:r w:rsidRPr="00022BA7">
        <w:t xml:space="preserve"> are consolidated with adjacent trips</w:t>
      </w:r>
      <w:r>
        <w:t xml:space="preserve">, under the assumption </w:t>
      </w:r>
      <w:r w:rsidRPr="00022BA7">
        <w:t xml:space="preserve">that charging procedures </w:t>
      </w:r>
      <w:r>
        <w:t>(</w:t>
      </w:r>
      <w:r w:rsidRPr="00022BA7">
        <w:t>including connecting the BES to the SPC, charging, and disconnecting</w:t>
      </w:r>
      <w:r>
        <w:t>)</w:t>
      </w:r>
      <w:r w:rsidRPr="00022BA7">
        <w:t xml:space="preserve"> exceed </w:t>
      </w:r>
      <w:r>
        <w:t>a</w:t>
      </w:r>
      <w:r w:rsidRPr="00022BA7">
        <w:t xml:space="preserve"> 5-minute</w:t>
      </w:r>
      <w:r>
        <w:t xml:space="preserve"> window</w:t>
      </w:r>
      <w:r w:rsidRPr="00022BA7">
        <w:t xml:space="preserve">. </w:t>
      </w:r>
      <w:r w:rsidR="00190F27">
        <w:t>“</w:t>
      </w:r>
      <w:r w:rsidRPr="00022BA7">
        <w:t>Inter-trips</w:t>
      </w:r>
      <w:r w:rsidR="00190F27">
        <w:t>”</w:t>
      </w:r>
      <w:r w:rsidRPr="00022BA7">
        <w:t xml:space="preserve"> refers to periods between trips </w:t>
      </w:r>
      <w:r>
        <w:t xml:space="preserve">of 10 minutes or more, </w:t>
      </w:r>
      <w:r w:rsidRPr="00022BA7">
        <w:t xml:space="preserve">during which the BES is </w:t>
      </w:r>
      <w:r>
        <w:t xml:space="preserve">deemed </w:t>
      </w:r>
      <w:r w:rsidRPr="00022BA7">
        <w:t xml:space="preserve">Chargeable. </w:t>
      </w:r>
    </w:p>
    <w:p w14:paraId="222142A2" w14:textId="77777777" w:rsidR="004F075A" w:rsidRPr="00022BA7" w:rsidRDefault="004F075A" w:rsidP="004F075A"/>
    <w:p w14:paraId="7105F61F" w14:textId="35103B0B" w:rsidR="004F075A" w:rsidRPr="00022BA7" w:rsidRDefault="00E804C6" w:rsidP="004F075A">
      <w:r>
        <w:fldChar w:fldCharType="begin"/>
      </w:r>
      <w:r>
        <w:instrText xml:space="preserve"> REF _Ref144852847 \h </w:instrText>
      </w:r>
      <w:r>
        <w:fldChar w:fldCharType="separate"/>
      </w:r>
      <w:r w:rsidR="00C661AC">
        <w:t xml:space="preserve">Supplementary </w:t>
      </w:r>
      <w:r w:rsidR="00C661AC" w:rsidRPr="00022BA7">
        <w:t xml:space="preserve">Figure </w:t>
      </w:r>
      <w:r w:rsidR="00C661AC">
        <w:rPr>
          <w:noProof/>
        </w:rPr>
        <w:t>12</w:t>
      </w:r>
      <w:r>
        <w:fldChar w:fldCharType="end"/>
      </w:r>
      <w:r w:rsidR="004F075A" w:rsidRPr="00022BA7">
        <w:t xml:space="preserve"> depicts example heatmap</w:t>
      </w:r>
      <w:r w:rsidR="004F075A">
        <w:t>s</w:t>
      </w:r>
      <w:r w:rsidR="004F075A" w:rsidRPr="00022BA7">
        <w:t xml:space="preserve"> of SOG by time for (a) Passenger ship and (b) Tug (Coastal-Harbor). The </w:t>
      </w:r>
      <w:r w:rsidR="004F075A">
        <w:t>p</w:t>
      </w:r>
      <w:r w:rsidR="004F075A" w:rsidRPr="00022BA7">
        <w:t xml:space="preserve">assenger ship tends to exhibit more regular and shorter trip patterns, whereas the </w:t>
      </w:r>
      <w:r w:rsidR="004F075A">
        <w:t>t</w:t>
      </w:r>
      <w:r w:rsidR="004F075A" w:rsidRPr="00022BA7">
        <w:t>ug</w:t>
      </w:r>
      <w:r w:rsidR="004F075A">
        <w:t xml:space="preserve"> </w:t>
      </w:r>
      <w:r w:rsidR="004F075A" w:rsidRPr="00022BA7">
        <w:t xml:space="preserve">displays greater variability with occasional longer trips. </w:t>
      </w:r>
      <w:r w:rsidR="004F075A">
        <w:t>T</w:t>
      </w:r>
      <w:r w:rsidR="004F075A" w:rsidRPr="00022BA7">
        <w:t xml:space="preserve">hese tendencies are not restricted to the examples </w:t>
      </w:r>
      <w:r w:rsidR="004F075A">
        <w:t xml:space="preserve">presented here and </w:t>
      </w:r>
      <w:r w:rsidR="004F075A" w:rsidRPr="00022BA7">
        <w:t xml:space="preserve">can be observed within the same ship types, albeit </w:t>
      </w:r>
      <w:r w:rsidR="004F075A">
        <w:t xml:space="preserve">to </w:t>
      </w:r>
      <w:r w:rsidR="004F075A" w:rsidRPr="00022BA7">
        <w:t xml:space="preserve">potentially varying </w:t>
      </w:r>
      <w:r w:rsidR="004F075A">
        <w:t xml:space="preserve">extents </w:t>
      </w:r>
      <w:r w:rsidR="004F075A" w:rsidRPr="00022BA7">
        <w:t>across different vessels.</w:t>
      </w:r>
    </w:p>
    <w:p w14:paraId="650358B6" w14:textId="2455D7DB" w:rsidR="004F075A" w:rsidRDefault="004F075A" w:rsidP="004F075A"/>
    <w:p w14:paraId="0C46C19B" w14:textId="77777777" w:rsidR="00B97EDC" w:rsidRPr="00022BA7" w:rsidRDefault="00B97EDC" w:rsidP="004F075A"/>
    <w:p w14:paraId="4C6F1DF3" w14:textId="77777777" w:rsidR="004F075A" w:rsidRPr="00022BA7" w:rsidRDefault="004F075A" w:rsidP="004F075A">
      <w:r w:rsidRPr="00022BA7">
        <w:t xml:space="preserve">In this context, </w:t>
      </w:r>
      <m:oMath>
        <m:r>
          <w:rPr>
            <w:rFonts w:ascii="Cambria Math" w:hAnsi="Cambria Math"/>
          </w:rPr>
          <m:t>tr</m:t>
        </m:r>
      </m:oMath>
      <w:r w:rsidRPr="00022BA7">
        <w:t xml:space="preserve"> refers to a distinct period consisting of 5-minute time slots, classified as either a trip or an inter-trip. </w:t>
      </w:r>
      <m:oMath>
        <m:sSub>
          <m:sSubPr>
            <m:ctrlPr>
              <w:rPr>
                <w:rFonts w:ascii="Cambria Math" w:hAnsi="Cambria Math"/>
                <w:i/>
              </w:rPr>
            </m:ctrlPr>
          </m:sSubPr>
          <m:e>
            <m:r>
              <w:rPr>
                <w:rFonts w:ascii="Cambria Math" w:hAnsi="Cambria Math"/>
              </w:rPr>
              <m:t>T</m:t>
            </m:r>
          </m:e>
          <m:sub>
            <m:r>
              <w:rPr>
                <w:rFonts w:ascii="Cambria Math" w:hAnsi="Cambria Math"/>
              </w:rPr>
              <m:t>v,tr</m:t>
            </m:r>
          </m:sub>
        </m:sSub>
      </m:oMath>
      <w:r w:rsidRPr="00022BA7">
        <w:t xml:space="preserve"> is the set of time slots that fall within the</w:t>
      </w:r>
      <m:oMath>
        <m:r>
          <w:rPr>
            <w:rFonts w:ascii="Cambria Math" w:hAnsi="Cambria Math"/>
          </w:rPr>
          <m:t xml:space="preserve"> tr</m:t>
        </m:r>
      </m:oMath>
      <w:r w:rsidRPr="00022BA7">
        <w:t xml:space="preserve"> for vessel </w:t>
      </w:r>
      <m:oMath>
        <m:r>
          <w:rPr>
            <w:rFonts w:ascii="Cambria Math" w:hAnsi="Cambria Math"/>
          </w:rPr>
          <m:t>v</m:t>
        </m:r>
      </m:oMath>
      <w:r w:rsidRPr="00022BA7">
        <w:t xml:space="preserve">. After categorizing each time slot as a trip or an inter-trip, we can establish two distinct sets for each vessel </w:t>
      </w:r>
      <m:oMath>
        <m:r>
          <w:rPr>
            <w:rFonts w:ascii="Cambria Math" w:hAnsi="Cambria Math"/>
          </w:rPr>
          <m:t>v</m:t>
        </m:r>
      </m:oMath>
      <w:r w:rsidRPr="00022BA7">
        <w:t xml:space="preserve">: a set of trips, </w:t>
      </w:r>
      <m:oMath>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T</m:t>
            </m:r>
          </m:sup>
        </m:sSubSup>
      </m:oMath>
      <w:r w:rsidRPr="00022BA7">
        <w:t xml:space="preserve">, and a set of inter-trips, </w:t>
      </w:r>
      <m:oMath>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IT</m:t>
            </m:r>
          </m:sup>
        </m:sSubSup>
      </m:oMath>
      <w:r w:rsidRPr="00022BA7">
        <w:t xml:space="preserve">. It is crucial to note that each </w:t>
      </w:r>
      <m:oMath>
        <m:r>
          <w:rPr>
            <w:rFonts w:ascii="Cambria Math" w:hAnsi="Cambria Math"/>
          </w:rPr>
          <m:t>tr</m:t>
        </m:r>
      </m:oMath>
      <w:r w:rsidRPr="00022BA7">
        <w:t xml:space="preserve"> period belongs solely to either the set of trips, </w:t>
      </w:r>
      <m:oMath>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T</m:t>
            </m:r>
          </m:sup>
        </m:sSubSup>
      </m:oMath>
      <w:r w:rsidRPr="00022BA7">
        <w:t xml:space="preserve">, or the set of inter-trips, </w:t>
      </w:r>
      <m:oMath>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IT</m:t>
            </m:r>
          </m:sup>
        </m:sSubSup>
      </m:oMath>
      <w:r w:rsidRPr="00022BA7">
        <w:t>, but not both.</w:t>
      </w:r>
    </w:p>
    <w:p w14:paraId="5DDCD954" w14:textId="77777777" w:rsidR="004F075A" w:rsidRPr="00022BA7" w:rsidRDefault="004F075A" w:rsidP="004F075A"/>
    <w:p w14:paraId="7C8A547D" w14:textId="77777777" w:rsidR="004F075A" w:rsidRPr="00022BA7" w:rsidRDefault="004F075A" w:rsidP="004F075A">
      <w:r w:rsidRPr="00022BA7">
        <w:t xml:space="preserve">Calculating the energy demand for each trip holds significant importance because battery </w:t>
      </w:r>
      <w:r>
        <w:t xml:space="preserve">size </w:t>
      </w:r>
      <w:r w:rsidRPr="00022BA7">
        <w:t xml:space="preserve">is based on the trip with the largest energy demand that the battery can accommodate. </w:t>
      </w:r>
      <w:r>
        <w:t>The e</w:t>
      </w:r>
      <w:r w:rsidRPr="00022BA7">
        <w:t xml:space="preserve">nergy demand for each trip or inter-trip, </w:t>
      </w:r>
      <m:oMath>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oMath>
      <w:r w:rsidRPr="00022BA7">
        <w:t xml:space="preserve">, is the sum of the energy consumption during the time in </w:t>
      </w:r>
      <m:oMath>
        <m:sSub>
          <m:sSubPr>
            <m:ctrlPr>
              <w:rPr>
                <w:rFonts w:ascii="Cambria Math" w:hAnsi="Cambria Math"/>
                <w:i/>
              </w:rPr>
            </m:ctrlPr>
          </m:sSubPr>
          <m:e>
            <m:r>
              <w:rPr>
                <w:rFonts w:ascii="Cambria Math" w:hAnsi="Cambria Math"/>
              </w:rPr>
              <m:t>T</m:t>
            </m:r>
          </m:e>
          <m:sub>
            <m:r>
              <w:rPr>
                <w:rFonts w:ascii="Cambria Math" w:hAnsi="Cambria Math"/>
              </w:rPr>
              <m:t>v,tr</m:t>
            </m:r>
          </m:sub>
        </m:sSub>
      </m:oMath>
      <w:r w:rsidRPr="00022BA7">
        <w:t xml:space="preserve"> as shown in equation (1</w:t>
      </w:r>
      <w:r>
        <w:t>5</w:t>
      </w:r>
      <w:r w:rsidRPr="00022BA7">
        <w:t>)</w:t>
      </w:r>
      <w:r>
        <w:t>:</w:t>
      </w:r>
    </w:p>
    <w:p w14:paraId="61D82B9B"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13D7C95B" w14:textId="77777777" w:rsidTr="00F95C74">
        <w:trPr>
          <w:trHeight w:val="300"/>
        </w:trPr>
        <w:tc>
          <w:tcPr>
            <w:tcW w:w="720" w:type="dxa"/>
          </w:tcPr>
          <w:p w14:paraId="3D0DBE3D" w14:textId="77777777" w:rsidR="004F075A" w:rsidRPr="00022BA7" w:rsidRDefault="004F075A" w:rsidP="00F95C74">
            <w:pPr>
              <w:rPr>
                <w:i/>
              </w:rPr>
            </w:pPr>
          </w:p>
        </w:tc>
        <w:tc>
          <w:tcPr>
            <w:tcW w:w="7920" w:type="dxa"/>
          </w:tcPr>
          <w:p w14:paraId="5347F756"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b/>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r>
                  <m:rPr>
                    <m:sty m:val="p"/>
                  </m:rPr>
                  <w:rPr>
                    <w:rFonts w:ascii="Cambria Math" w:hAnsi="Cambria Math"/>
                  </w:rPr>
                  <m:t>=</m:t>
                </m:r>
                <m:sSub>
                  <m:sSubPr>
                    <m:ctrlPr>
                      <w:rPr>
                        <w:rFonts w:ascii="Cambria Math" w:hAnsi="Cambria Math"/>
                        <w:b/>
                      </w:rPr>
                    </m:ctrlPr>
                  </m:sSubPr>
                  <m:e>
                    <m:r>
                      <m:rPr>
                        <m:sty m:val="p"/>
                      </m:rPr>
                      <w:rPr>
                        <w:rFonts w:ascii="Cambria Math" w:hAnsi="Cambria Math"/>
                      </w:rPr>
                      <m:t>Σ</m:t>
                    </m:r>
                  </m:e>
                  <m:sub>
                    <m:r>
                      <w:rPr>
                        <w:rFonts w:ascii="Cambria Math" w:hAnsi="Cambria Math"/>
                      </w:rPr>
                      <m:t>t</m:t>
                    </m:r>
                    <m:r>
                      <m:rPr>
                        <m:sty m:val="p"/>
                      </m:rPr>
                      <w:rPr>
                        <w:rFonts w:ascii="Cambria Math" w:hAnsi="Cambria Math" w:hint="eastAsia"/>
                      </w:rPr>
                      <m:t>∈</m:t>
                    </m:r>
                    <m:sSub>
                      <m:sSubPr>
                        <m:ctrlPr>
                          <w:rPr>
                            <w:rFonts w:ascii="Cambria Math" w:hAnsi="Cambria Math"/>
                            <w:b/>
                            <w:i/>
                          </w:rPr>
                        </m:ctrlPr>
                      </m:sSubPr>
                      <m:e>
                        <m:r>
                          <w:rPr>
                            <w:rFonts w:ascii="Cambria Math" w:hAnsi="Cambria Math"/>
                          </w:rPr>
                          <m:t>T</m:t>
                        </m:r>
                      </m:e>
                      <m:sub>
                        <m:r>
                          <w:rPr>
                            <w:rFonts w:ascii="Cambria Math" w:hAnsi="Cambria Math"/>
                          </w:rPr>
                          <m:t>v,tr</m:t>
                        </m:r>
                      </m:sub>
                    </m:sSub>
                  </m:sub>
                </m:sSub>
                <m:d>
                  <m:dPr>
                    <m:ctrlPr>
                      <w:rPr>
                        <w:rFonts w:ascii="Cambria Math" w:hAnsi="Cambria Math"/>
                        <w:b/>
                      </w:rPr>
                    </m:ctrlPr>
                  </m:dPr>
                  <m:e>
                    <m:sSubSup>
                      <m:sSubSupPr>
                        <m:ctrlPr>
                          <w:rPr>
                            <w:rFonts w:ascii="Cambria Math" w:hAnsi="Cambria Math"/>
                            <w:b/>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r>
                      <m:rPr>
                        <m:sty m:val="p"/>
                      </m:rPr>
                      <w:rPr>
                        <w:rFonts w:ascii="Cambria Math" w:hAnsi="Cambria Math"/>
                      </w:rPr>
                      <m:t>⋅</m:t>
                    </m:r>
                    <m:sSubSup>
                      <m:sSubSupPr>
                        <m:ctrlPr>
                          <w:rPr>
                            <w:rFonts w:ascii="Cambria Math" w:hAnsi="Cambria Math"/>
                            <w:b/>
                          </w:rPr>
                        </m:ctrlPr>
                      </m:sSubSupPr>
                      <m:e>
                        <m:r>
                          <w:rPr>
                            <w:rFonts w:ascii="Cambria Math" w:hAnsi="Cambria Math"/>
                          </w:rPr>
                          <m:t>η</m:t>
                        </m:r>
                      </m:e>
                      <m:sub>
                        <m:r>
                          <w:rPr>
                            <w:rFonts w:ascii="Cambria Math" w:hAnsi="Cambria Math"/>
                          </w:rPr>
                          <m:t>BP</m:t>
                        </m:r>
                      </m:sub>
                      <m:sup>
                        <m:r>
                          <m:rPr>
                            <m:sty m:val="p"/>
                          </m:rPr>
                          <w:rPr>
                            <w:rFonts w:ascii="Cambria Math" w:hAnsi="Cambria Math"/>
                          </w:rPr>
                          <m:t>-1</m:t>
                        </m:r>
                      </m:sup>
                    </m:sSubSup>
                    <m:r>
                      <m:rPr>
                        <m:sty m:val="p"/>
                      </m:rPr>
                      <w:rPr>
                        <w:rFonts w:ascii="Cambria Math" w:hAnsi="Cambria Math"/>
                      </w:rPr>
                      <m:t>+</m:t>
                    </m:r>
                    <m:sSubSup>
                      <m:sSubSupPr>
                        <m:ctrlPr>
                          <w:rPr>
                            <w:rFonts w:ascii="Cambria Math" w:hAnsi="Cambria Math"/>
                            <w:b/>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r>
                      <m:rPr>
                        <m:sty m:val="p"/>
                      </m:rPr>
                      <w:rPr>
                        <w:rFonts w:ascii="Cambria Math" w:hAnsi="Cambria Math"/>
                      </w:rPr>
                      <m:t>⋅</m:t>
                    </m:r>
                    <m:sSubSup>
                      <m:sSubSupPr>
                        <m:ctrlPr>
                          <w:rPr>
                            <w:rFonts w:ascii="Cambria Math" w:hAnsi="Cambria Math"/>
                            <w:b/>
                          </w:rPr>
                        </m:ctrlPr>
                      </m:sSubSupPr>
                      <m:e>
                        <m:r>
                          <w:rPr>
                            <w:rFonts w:ascii="Cambria Math" w:hAnsi="Cambria Math"/>
                          </w:rPr>
                          <m:t>η</m:t>
                        </m:r>
                      </m:e>
                      <m:sub>
                        <m:r>
                          <w:rPr>
                            <w:rFonts w:ascii="Cambria Math" w:hAnsi="Cambria Math"/>
                          </w:rPr>
                          <m:t>BA</m:t>
                        </m:r>
                      </m:sub>
                      <m:sup>
                        <m:r>
                          <m:rPr>
                            <m:sty m:val="p"/>
                          </m:rPr>
                          <w:rPr>
                            <w:rFonts w:ascii="Cambria Math" w:hAnsi="Cambria Math"/>
                          </w:rPr>
                          <m:t>-1</m:t>
                        </m:r>
                      </m:sup>
                    </m:sSubSup>
                  </m:e>
                </m:d>
                <m:r>
                  <m:rPr>
                    <m:sty m:val="p"/>
                  </m:rPr>
                  <w:rPr>
                    <w:rFonts w:ascii="Cambria Math" w:hAnsi="Cambria Math"/>
                  </w:rPr>
                  <m:t>/12</m:t>
                </m:r>
              </m:oMath>
            </m:oMathPara>
          </w:p>
        </w:tc>
        <w:tc>
          <w:tcPr>
            <w:tcW w:w="720" w:type="dxa"/>
          </w:tcPr>
          <w:p w14:paraId="0AE87B88" w14:textId="77777777" w:rsidR="004F075A" w:rsidRPr="00022BA7" w:rsidRDefault="004F075A" w:rsidP="00F95C74">
            <w:pPr>
              <w:jc w:val="right"/>
            </w:pPr>
            <w:r w:rsidRPr="00022BA7">
              <w:t>(1</w:t>
            </w:r>
            <w:r>
              <w:t>5</w:t>
            </w:r>
            <w:r w:rsidRPr="00022BA7">
              <w:t>)</w:t>
            </w:r>
          </w:p>
        </w:tc>
      </w:tr>
    </w:tbl>
    <w:p w14:paraId="58545D55" w14:textId="77777777" w:rsidR="004F075A" w:rsidRPr="00022BA7" w:rsidRDefault="004F075A" w:rsidP="004F075A"/>
    <w:p w14:paraId="378D6557" w14:textId="30CFE3B8" w:rsidR="004F075A" w:rsidRDefault="004F075A" w:rsidP="004F075A">
      <w:r w:rsidRPr="00022BA7">
        <w:t xml:space="preserve">Where </w:t>
      </w:r>
      <m:oMath>
        <m:sSub>
          <m:sSubPr>
            <m:ctrlPr>
              <w:rPr>
                <w:rFonts w:ascii="Cambria Math" w:hAnsi="Cambria Math"/>
                <w:i/>
              </w:rPr>
            </m:ctrlPr>
          </m:sSubPr>
          <m:e>
            <m:r>
              <w:rPr>
                <w:rFonts w:ascii="Cambria Math" w:hAnsi="Cambria Math"/>
              </w:rPr>
              <m:t>T</m:t>
            </m:r>
          </m:e>
          <m:sub>
            <m:r>
              <w:rPr>
                <w:rFonts w:ascii="Cambria Math" w:hAnsi="Cambria Math"/>
              </w:rPr>
              <m:t>v, tr</m:t>
            </m:r>
          </m:sub>
        </m:sSub>
      </m:oMath>
      <w:r w:rsidRPr="00022BA7">
        <w:t xml:space="preserve"> is a set of times included in the period </w:t>
      </w:r>
      <m:oMath>
        <m:r>
          <w:rPr>
            <w:rFonts w:ascii="Cambria Math" w:hAnsi="Cambria Math"/>
          </w:rPr>
          <m:t>tr</m:t>
        </m:r>
      </m:oMath>
      <w:r>
        <w:t>,</w:t>
      </w:r>
      <w:r w:rsidRPr="00022BA7">
        <w:t xml:space="preserve"> </w:t>
      </w:r>
      <m:oMath>
        <m:sSubSup>
          <m:sSubSupPr>
            <m:ctrlPr>
              <w:rPr>
                <w:rFonts w:ascii="Cambria Math" w:hAnsi="Cambria Math"/>
                <w:b/>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oMath>
      <w:r w:rsidRPr="00022BA7">
        <w:t xml:space="preserve"> is the required energy during period </w:t>
      </w:r>
      <m:oMath>
        <m:r>
          <w:rPr>
            <w:rFonts w:ascii="Cambria Math" w:hAnsi="Cambria Math"/>
          </w:rPr>
          <m:t>tr</m:t>
        </m:r>
      </m:oMath>
      <w:r w:rsidRPr="00022BA7">
        <w:t xml:space="preserve"> of vessel </w:t>
      </w:r>
      <m:oMath>
        <m:r>
          <w:rPr>
            <w:rFonts w:ascii="Cambria Math" w:hAnsi="Cambria Math"/>
          </w:rPr>
          <m:t>v</m:t>
        </m:r>
      </m:oMath>
      <w:r w:rsidRPr="00022BA7">
        <w:t xml:space="preserve"> in kWh,</w:t>
      </w:r>
      <w:r>
        <w:t xml:space="preserve"> and</w:t>
      </w:r>
      <w:r w:rsidRPr="00022BA7">
        <w:t xml:space="preserve"> </w:t>
      </w:r>
      <m:oMath>
        <m:sSub>
          <m:sSubPr>
            <m:ctrlPr>
              <w:rPr>
                <w:rFonts w:ascii="Cambria Math" w:hAnsi="Cambria Math"/>
                <w:i/>
              </w:rPr>
            </m:ctrlPr>
          </m:sSubPr>
          <m:e>
            <m:r>
              <w:rPr>
                <w:rFonts w:ascii="Cambria Math" w:hAnsi="Cambria Math"/>
              </w:rPr>
              <m:t>η</m:t>
            </m:r>
          </m:e>
          <m:sub>
            <m:r>
              <w:rPr>
                <w:rFonts w:ascii="Cambria Math" w:hAnsi="Cambria Math"/>
              </w:rPr>
              <m:t>BP</m:t>
            </m:r>
          </m:sub>
        </m:sSub>
      </m:oMath>
      <w:r w:rsidRPr="00022BA7">
        <w:t xml:space="preserve"> and </w:t>
      </w:r>
      <m:oMath>
        <m:sSub>
          <m:sSubPr>
            <m:ctrlPr>
              <w:rPr>
                <w:rFonts w:ascii="Cambria Math" w:hAnsi="Cambria Math"/>
                <w:i/>
              </w:rPr>
            </m:ctrlPr>
          </m:sSubPr>
          <m:e>
            <m:r>
              <w:rPr>
                <w:rFonts w:ascii="Cambria Math" w:hAnsi="Cambria Math"/>
              </w:rPr>
              <m:t>η</m:t>
            </m:r>
          </m:e>
          <m:sub>
            <m:r>
              <w:rPr>
                <w:rFonts w:ascii="Cambria Math" w:hAnsi="Cambria Math"/>
              </w:rPr>
              <m:t>BA</m:t>
            </m:r>
          </m:sub>
        </m:sSub>
      </m:oMath>
      <w:r w:rsidRPr="00022BA7">
        <w:t xml:space="preserve"> are efficiencies from battery to propulsion demand and auxiliary demand, respectively. The sum of power consumption in each hourly interval is divided into 12 because the power demand in </w:t>
      </w:r>
      <m:oMath>
        <m:sSubSup>
          <m:sSubSupPr>
            <m:ctrlPr>
              <w:rPr>
                <w:rFonts w:ascii="Cambria Math" w:hAnsi="Cambria Math"/>
                <w:i/>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oMath>
      <w:r w:rsidRPr="00022BA7">
        <w:t xml:space="preserve"> and </w:t>
      </w:r>
      <m:oMath>
        <m:sSubSup>
          <m:sSubSupPr>
            <m:ctrlPr>
              <w:rPr>
                <w:rFonts w:ascii="Cambria Math" w:hAnsi="Cambria Math"/>
                <w:i/>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w:r w:rsidRPr="00022BA7">
        <w:t xml:space="preserve"> is estimated at 5-minute intervals</w:t>
      </w:r>
      <w:r>
        <w:t xml:space="preserve">, yielding </w:t>
      </w:r>
      <w:r w:rsidRPr="00022BA7">
        <w:t xml:space="preserve">12 data points per hour to convert from kW to kWh. </w:t>
      </w:r>
      <w:r w:rsidRPr="00022BA7">
        <w:rPr>
          <w:lang w:eastAsia="ko-KR"/>
        </w:rPr>
        <w:t xml:space="preserve">From this point onwards, the term </w:t>
      </w:r>
      <w:r w:rsidR="00190F27">
        <w:rPr>
          <w:lang w:eastAsia="ko-KR"/>
        </w:rPr>
        <w:t>“</w:t>
      </w:r>
      <w:r w:rsidRPr="00022BA7">
        <w:rPr>
          <w:lang w:eastAsia="ko-KR"/>
        </w:rPr>
        <w:t>trip energy</w:t>
      </w:r>
      <w:r w:rsidR="00190F27">
        <w:rPr>
          <w:lang w:eastAsia="ko-KR"/>
        </w:rPr>
        <w:t>”</w:t>
      </w:r>
      <w:r w:rsidRPr="00022BA7">
        <w:rPr>
          <w:lang w:eastAsia="ko-KR"/>
        </w:rPr>
        <w:t xml:space="preserve"> will specifically refer to the energy demand for each trip or inter-trip, denoted as </w:t>
      </w:r>
      <m:oMath>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oMath>
      <w:r w:rsidRPr="00022BA7">
        <w:t>.</w:t>
      </w:r>
    </w:p>
    <w:p w14:paraId="649A61BF" w14:textId="77777777" w:rsidR="004C3946" w:rsidRPr="00022BA7" w:rsidRDefault="004C3946" w:rsidP="004F075A"/>
    <w:p w14:paraId="24689225" w14:textId="637659FE" w:rsidR="004F075A" w:rsidRDefault="00CB56FD" w:rsidP="004B61A9">
      <w:pPr>
        <w:rPr>
          <w:lang w:eastAsia="ko-KR"/>
        </w:rPr>
      </w:pPr>
      <w:r>
        <w:fldChar w:fldCharType="begin"/>
      </w:r>
      <w:r>
        <w:instrText xml:space="preserve"> REF _Ref144852873 \h </w:instrText>
      </w:r>
      <w:r>
        <w:fldChar w:fldCharType="separate"/>
      </w:r>
      <w:r w:rsidR="00C661AC">
        <w:t xml:space="preserve">Supplementary </w:t>
      </w:r>
      <w:r w:rsidR="00C661AC" w:rsidRPr="00022BA7">
        <w:t xml:space="preserve">Figure </w:t>
      </w:r>
      <w:r w:rsidR="00C661AC">
        <w:rPr>
          <w:noProof/>
        </w:rPr>
        <w:t>13</w:t>
      </w:r>
      <w:r>
        <w:fldChar w:fldCharType="end"/>
      </w:r>
      <w:r>
        <w:t xml:space="preserve"> </w:t>
      </w:r>
      <w:r w:rsidR="004F075A" w:rsidRPr="00022BA7">
        <w:t xml:space="preserve">presents the trip energy distributions for two ship types: (a) Passenger and (b) Tug (Coastal-Harbor). Points p100, p99, p95, and p90 represent trip energy </w:t>
      </w:r>
      <w:r w:rsidR="004F075A">
        <w:t xml:space="preserve">requirements </w:t>
      </w:r>
      <w:r w:rsidR="004F075A" w:rsidRPr="00022BA7">
        <w:t xml:space="preserve">at the 100th, 99th, 95th, and 90th percentiles, respectively. Each ship type has </w:t>
      </w:r>
      <w:r w:rsidR="004F075A">
        <w:t>a</w:t>
      </w:r>
      <w:r w:rsidR="004F075A" w:rsidRPr="00022BA7">
        <w:t xml:space="preserve"> unique trip energy distribution, and in some cases </w:t>
      </w:r>
      <w:r w:rsidR="004F075A">
        <w:t>unusually</w:t>
      </w:r>
      <w:r w:rsidR="004F075A" w:rsidRPr="00022BA7">
        <w:t xml:space="preserve"> energy</w:t>
      </w:r>
      <w:r w:rsidR="004F075A">
        <w:t xml:space="preserve"> </w:t>
      </w:r>
      <w:r w:rsidR="004F075A" w:rsidRPr="00022BA7">
        <w:t xml:space="preserve">demanding trips are observed. </w:t>
      </w:r>
      <w:r w:rsidR="004F075A">
        <w:t>E</w:t>
      </w:r>
      <w:r w:rsidR="004F075A" w:rsidRPr="00022BA7">
        <w:t xml:space="preserve">xcluding such trips and determining battery capacity based on </w:t>
      </w:r>
      <w:r w:rsidR="004F075A">
        <w:t xml:space="preserve">less energy-intensive </w:t>
      </w:r>
      <w:r w:rsidR="004F075A" w:rsidRPr="00022BA7">
        <w:t>trip</w:t>
      </w:r>
      <w:r w:rsidR="004F075A">
        <w:t xml:space="preserve">s enables </w:t>
      </w:r>
      <w:r w:rsidR="004F075A" w:rsidRPr="00022BA7">
        <w:t>significant reduc</w:t>
      </w:r>
      <w:r w:rsidR="004F075A">
        <w:t>tions</w:t>
      </w:r>
      <w:r w:rsidR="004F075A" w:rsidRPr="00022BA7">
        <w:t xml:space="preserve"> </w:t>
      </w:r>
      <w:r w:rsidR="004F075A">
        <w:t xml:space="preserve">in </w:t>
      </w:r>
      <w:r w:rsidR="004F075A" w:rsidRPr="00022BA7">
        <w:t>battery size. For example, in the two given examples, the trip energy ratio between the 99th percentile and the 100th percentile is 83% and 51%, respectively</w:t>
      </w:r>
      <w:r w:rsidR="004F075A">
        <w:t xml:space="preserve">, reinforcing the idea </w:t>
      </w:r>
      <w:r w:rsidR="004F075A" w:rsidRPr="00022BA7">
        <w:t>that</w:t>
      </w:r>
      <w:r w:rsidR="004F075A">
        <w:t xml:space="preserve"> </w:t>
      </w:r>
      <w:r w:rsidR="004F075A" w:rsidRPr="00022BA7">
        <w:t xml:space="preserve">excluding certain trips could lead to a considerable reduction in battery size. </w:t>
      </w:r>
      <w:r w:rsidR="004F075A" w:rsidRPr="00AE7072">
        <w:t xml:space="preserve"> </w:t>
      </w:r>
      <w:r w:rsidR="004F075A">
        <w:t>T</w:t>
      </w:r>
      <w:r w:rsidR="004F075A" w:rsidRPr="00022BA7">
        <w:t xml:space="preserve">hese tendencies are not restricted to the examples </w:t>
      </w:r>
      <w:r w:rsidR="004F075A">
        <w:t xml:space="preserve">presented here and </w:t>
      </w:r>
      <w:r w:rsidR="004F075A" w:rsidRPr="00022BA7">
        <w:t xml:space="preserve">can be observed within the same ship types, albeit </w:t>
      </w:r>
      <w:r w:rsidR="004F075A">
        <w:t xml:space="preserve">to </w:t>
      </w:r>
      <w:r w:rsidR="004F075A" w:rsidRPr="00022BA7">
        <w:t xml:space="preserve">potentially varying </w:t>
      </w:r>
      <w:r w:rsidR="004F075A">
        <w:t xml:space="preserve">extents </w:t>
      </w:r>
      <w:r w:rsidR="004F075A" w:rsidRPr="00022BA7">
        <w:t>across different vessels.</w:t>
      </w:r>
    </w:p>
    <w:p w14:paraId="5ABB5966" w14:textId="77777777" w:rsidR="004F075A" w:rsidRPr="00022BA7" w:rsidRDefault="004F075A" w:rsidP="004F075A">
      <w:pPr>
        <w:rPr>
          <w:lang w:eastAsia="ko-KR"/>
        </w:rPr>
      </w:pPr>
    </w:p>
    <w:p w14:paraId="30C648C4" w14:textId="44FD4200" w:rsidR="004F075A" w:rsidRPr="00022BA7" w:rsidRDefault="004D27F8" w:rsidP="00F2657B">
      <w:pPr>
        <w:keepNext/>
        <w:widowControl/>
        <w:rPr>
          <w:b/>
        </w:rPr>
      </w:pPr>
      <w:r w:rsidRPr="004D27F8">
        <w:rPr>
          <w:noProof/>
        </w:rPr>
        <w:t xml:space="preserve"> </w:t>
      </w:r>
    </w:p>
    <w:p w14:paraId="41E263BD" w14:textId="4A66CAB8" w:rsidR="004F075A" w:rsidRPr="00022BA7" w:rsidRDefault="004F075A" w:rsidP="004F075A">
      <w:r w:rsidRPr="00022BA7">
        <w:t xml:space="preserve">This study is based on historical activity data from ICE ships, which includes energy demanding trips. Such trips are not suitable for BESs because they would result in oversized batteries and higher costs. To address this issue, we have established four capacity tiers for BESs, expressed as </w:t>
      </w:r>
      <w:r w:rsidR="00190F27">
        <w:t>“</w:t>
      </w:r>
      <w:proofErr w:type="spellStart"/>
      <w:r w:rsidRPr="00022BA7">
        <w:t>BESpX</w:t>
      </w:r>
      <w:proofErr w:type="spellEnd"/>
      <w:r w:rsidRPr="00022BA7">
        <w:t>,</w:t>
      </w:r>
      <w:r w:rsidR="00190F27">
        <w:t>”</w:t>
      </w:r>
      <w:r w:rsidRPr="00022BA7">
        <w:t xml:space="preserve"> to represent BESs capable of accommodating X% of the total trips previously served by ICE ships. The four capacity tiers are p100, p99, p95, and p90. The notation </w:t>
      </w:r>
      <w:r w:rsidR="00190F27">
        <w:t>‘</w:t>
      </w:r>
      <m:oMath>
        <m:r>
          <w:rPr>
            <w:rFonts w:ascii="Cambria Math" w:hAnsi="Cambria Math"/>
          </w:rPr>
          <m:t>X</m:t>
        </m:r>
      </m:oMath>
      <w:r w:rsidR="004A44A2">
        <w:t>’</w:t>
      </w:r>
      <w:r w:rsidRPr="00022BA7">
        <w:t xml:space="preserve"> </w:t>
      </w:r>
      <w:r w:rsidR="004A44A2">
        <w:t>is</w:t>
      </w:r>
      <w:r w:rsidRPr="00022BA7">
        <w:t xml:space="preserve"> used to represent each capacity tier.</w:t>
      </w:r>
      <w:r>
        <w:t xml:space="preserve"> </w:t>
      </w:r>
    </w:p>
    <w:p w14:paraId="25193004" w14:textId="77777777" w:rsidR="004F075A" w:rsidRPr="00022BA7" w:rsidRDefault="004F075A" w:rsidP="004F075A"/>
    <w:p w14:paraId="5253C193" w14:textId="647BDD71" w:rsidR="004F075A" w:rsidRPr="00022BA7" w:rsidRDefault="004F075A" w:rsidP="004F075A">
      <w:r w:rsidRPr="00022BA7">
        <w:t xml:space="preserve">To determine the appropriate battery size for </w:t>
      </w:r>
      <w:proofErr w:type="spellStart"/>
      <w:r w:rsidRPr="00022BA7">
        <w:t>BESpX</w:t>
      </w:r>
      <w:proofErr w:type="spellEnd"/>
      <w:r w:rsidRPr="00022BA7">
        <w:t>, we define a reference trip energy (</w:t>
      </w: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oMath>
      <w:r w:rsidRPr="00022BA7">
        <w:t xml:space="preserve">) for each capacity tier </w:t>
      </w:r>
      <m:oMath>
        <m:r>
          <w:rPr>
            <w:rFonts w:ascii="Cambria Math" w:hAnsi="Cambria Math"/>
          </w:rPr>
          <m:t>pX</m:t>
        </m:r>
      </m:oMath>
      <w:r w:rsidRPr="00022BA7">
        <w:t>. This reference energy represents Xth percentile trip energy among all trips</w:t>
      </w:r>
      <w:r>
        <w:t>,</w:t>
      </w:r>
      <w:r w:rsidRPr="00022BA7">
        <w:t xml:space="preserve"> as shown in equation (1</w:t>
      </w:r>
      <w:r>
        <w:t>6</w:t>
      </w:r>
      <w:r w:rsidRPr="00022BA7">
        <w:t>)</w:t>
      </w:r>
      <w:r>
        <w:t>:</w:t>
      </w:r>
    </w:p>
    <w:p w14:paraId="7236001D"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626F436E" w14:textId="77777777" w:rsidTr="00F95C74">
        <w:trPr>
          <w:trHeight w:val="300"/>
        </w:trPr>
        <w:tc>
          <w:tcPr>
            <w:tcW w:w="720" w:type="dxa"/>
          </w:tcPr>
          <w:p w14:paraId="1CAF3EF7" w14:textId="77777777" w:rsidR="004F075A" w:rsidRPr="00022BA7" w:rsidRDefault="004F075A" w:rsidP="00F95C74">
            <w:pPr>
              <w:rPr>
                <w:i/>
              </w:rPr>
            </w:pPr>
          </w:p>
        </w:tc>
        <w:tc>
          <w:tcPr>
            <w:tcW w:w="7920" w:type="dxa"/>
          </w:tcPr>
          <w:p w14:paraId="0A0F48E6"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r>
                  <w:rPr>
                    <w:rFonts w:ascii="Cambria Math" w:hAnsi="Cambria Math"/>
                  </w:rPr>
                  <m:t>=percentile(</m:t>
                </m:r>
                <m:sSub>
                  <m:sSubPr>
                    <m:ctrlPr>
                      <w:rPr>
                        <w:rFonts w:ascii="Cambria Math" w:hAnsi="Cambria Math"/>
                        <w:i/>
                      </w:rPr>
                    </m:ctrlPr>
                  </m:sSubPr>
                  <m:e>
                    <m:d>
                      <m:dPr>
                        <m:begChr m:val="["/>
                        <m:endChr m:val="]"/>
                        <m:ctrlPr>
                          <w:rPr>
                            <w:rFonts w:ascii="Cambria Math" w:hAnsi="Cambria Math"/>
                            <w:i/>
                          </w:rPr>
                        </m:ctrlPr>
                      </m:dPr>
                      <m:e>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e>
                    </m:d>
                  </m:e>
                  <m:sub>
                    <m:r>
                      <w:rPr>
                        <w:rFonts w:ascii="Cambria Math" w:hAnsi="Cambria Math" w:hint="eastAsia"/>
                      </w:rPr>
                      <m:t>tr</m:t>
                    </m:r>
                    <m:r>
                      <w:rPr>
                        <w:rFonts w:ascii="Cambria Math" w:hAnsi="Cambria Math" w:hint="eastAsia"/>
                      </w:rPr>
                      <m:t>∈</m:t>
                    </m:r>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T</m:t>
                        </m:r>
                      </m:sup>
                    </m:sSubSup>
                  </m:sub>
                </m:sSub>
                <m:r>
                  <w:rPr>
                    <w:rFonts w:ascii="Cambria Math" w:hAnsi="Cambria Math"/>
                  </w:rPr>
                  <m:t>, X%)</m:t>
                </m:r>
              </m:oMath>
            </m:oMathPara>
          </w:p>
        </w:tc>
        <w:tc>
          <w:tcPr>
            <w:tcW w:w="720" w:type="dxa"/>
          </w:tcPr>
          <w:p w14:paraId="076C57C1" w14:textId="77777777" w:rsidR="004F075A" w:rsidRPr="00022BA7" w:rsidRDefault="004F075A" w:rsidP="00F95C74">
            <w:pPr>
              <w:jc w:val="right"/>
            </w:pPr>
            <w:r w:rsidRPr="00022BA7">
              <w:t>(1</w:t>
            </w:r>
            <w:r>
              <w:t>6</w:t>
            </w:r>
            <w:r w:rsidRPr="00022BA7">
              <w:t>)</w:t>
            </w:r>
          </w:p>
        </w:tc>
      </w:tr>
    </w:tbl>
    <w:p w14:paraId="617AB544" w14:textId="77777777" w:rsidR="004F075A" w:rsidRPr="00022BA7" w:rsidRDefault="004F075A" w:rsidP="004F075A"/>
    <w:p w14:paraId="3B88D788" w14:textId="77777777" w:rsidR="004F075A" w:rsidRPr="00022BA7" w:rsidRDefault="004F075A" w:rsidP="004F075A">
      <w:r w:rsidRPr="00022BA7">
        <w:t xml:space="preserve">The battery size of </w:t>
      </w:r>
      <w:proofErr w:type="spellStart"/>
      <w:r w:rsidRPr="00022BA7">
        <w:t>BESpX</w:t>
      </w:r>
      <w:proofErr w:type="spellEnd"/>
      <w:r w:rsidRPr="00022BA7">
        <w:t xml:space="preserve"> (</w:t>
      </w:r>
      <m:oMath>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oMath>
      <w:r w:rsidRPr="00022BA7">
        <w:t>) is determined based on the reference trip energy (</w:t>
      </w: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oMath>
      <w:r w:rsidRPr="00022BA7">
        <w:t>). The battery size ensures that even after degradation, BESpX can still meet the reference energy requirement as shown in equation (1</w:t>
      </w:r>
      <w:r>
        <w:t>7</w:t>
      </w:r>
      <w:r w:rsidRPr="00022BA7">
        <w:t>)</w:t>
      </w:r>
      <w:r>
        <w:t>:</w:t>
      </w:r>
    </w:p>
    <w:p w14:paraId="0BC1507B"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53DE49B8" w14:textId="77777777" w:rsidTr="00F95C74">
        <w:trPr>
          <w:trHeight w:val="300"/>
        </w:trPr>
        <w:tc>
          <w:tcPr>
            <w:tcW w:w="720" w:type="dxa"/>
          </w:tcPr>
          <w:p w14:paraId="12392A85" w14:textId="77777777" w:rsidR="004F075A" w:rsidRPr="00022BA7" w:rsidRDefault="004F075A" w:rsidP="00F95C74">
            <w:pPr>
              <w:rPr>
                <w:i/>
              </w:rPr>
            </w:pPr>
          </w:p>
        </w:tc>
        <w:tc>
          <w:tcPr>
            <w:tcW w:w="7920" w:type="dxa"/>
          </w:tcPr>
          <w:p w14:paraId="3620EDC2"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r>
                  <w:rPr>
                    <w:rFonts w:ascii="Cambria Math" w:hAnsi="Cambria Math"/>
                  </w:rPr>
                  <m:t>⋅DO</m:t>
                </m:r>
                <m:sSup>
                  <m:sSupPr>
                    <m:ctrlPr>
                      <w:rPr>
                        <w:rFonts w:ascii="Cambria Math" w:hAnsi="Cambria Math"/>
                        <w:i/>
                      </w:rPr>
                    </m:ctrlPr>
                  </m:sSupPr>
                  <m:e>
                    <m:r>
                      <w:rPr>
                        <w:rFonts w:ascii="Cambria Math" w:hAnsi="Cambria Math"/>
                      </w:rPr>
                      <m:t>D</m:t>
                    </m:r>
                  </m:e>
                  <m:sup>
                    <m:r>
                      <w:rPr>
                        <w:rFonts w:ascii="Cambria Math" w:hAnsi="Cambria Math"/>
                      </w:rPr>
                      <m:t>-1</m:t>
                    </m:r>
                  </m:sup>
                </m:sSup>
                <m:r>
                  <w:rPr>
                    <w:rFonts w:ascii="Cambria Math" w:hAnsi="Cambria Math"/>
                  </w:rPr>
                  <m:t>⋅</m:t>
                </m:r>
                <m:sSubSup>
                  <m:sSubSupPr>
                    <m:ctrlPr>
                      <w:rPr>
                        <w:rFonts w:ascii="Cambria Math" w:eastAsia="Cambria Math" w:hAnsi="Cambria Math" w:cs="Cambria Math"/>
                        <w:i/>
                      </w:rPr>
                    </m:ctrlPr>
                  </m:sSubSupPr>
                  <m:e>
                    <m:r>
                      <w:rPr>
                        <w:rFonts w:ascii="Cambria Math" w:eastAsia="Cambria Math" w:hAnsi="Cambria Math" w:cs="Cambria Math"/>
                      </w:rPr>
                      <m:t>SOH</m:t>
                    </m:r>
                  </m:e>
                  <m:sub>
                    <m:r>
                      <w:rPr>
                        <w:rFonts w:ascii="Cambria Math" w:eastAsia="Cambria Math" w:hAnsi="Cambria Math" w:cs="Cambria Math"/>
                      </w:rPr>
                      <m:t>EoL</m:t>
                    </m:r>
                  </m:sub>
                  <m:sup>
                    <m:r>
                      <w:rPr>
                        <w:rFonts w:ascii="Cambria Math" w:eastAsia="Cambria Math" w:hAnsi="Cambria Math" w:cs="Cambria Math"/>
                      </w:rPr>
                      <m:t>-1</m:t>
                    </m:r>
                  </m:sup>
                </m:sSubSup>
              </m:oMath>
            </m:oMathPara>
          </w:p>
        </w:tc>
        <w:tc>
          <w:tcPr>
            <w:tcW w:w="720" w:type="dxa"/>
          </w:tcPr>
          <w:p w14:paraId="284E0338" w14:textId="77777777" w:rsidR="004F075A" w:rsidRPr="00022BA7" w:rsidRDefault="004F075A" w:rsidP="00F95C74">
            <w:pPr>
              <w:jc w:val="right"/>
            </w:pPr>
            <w:r w:rsidRPr="00022BA7">
              <w:t>(1</w:t>
            </w:r>
            <w:r>
              <w:t>7</w:t>
            </w:r>
            <w:r w:rsidRPr="00022BA7">
              <w:t>)</w:t>
            </w:r>
          </w:p>
        </w:tc>
      </w:tr>
    </w:tbl>
    <w:p w14:paraId="11BEF189" w14:textId="77777777" w:rsidR="004F075A" w:rsidRPr="00022BA7" w:rsidRDefault="004F075A" w:rsidP="004F075A"/>
    <w:p w14:paraId="6544D881" w14:textId="77777777" w:rsidR="004F075A" w:rsidRPr="00022BA7" w:rsidRDefault="004F075A" w:rsidP="004F075A">
      <w:pPr>
        <w:rPr>
          <w:iCs/>
        </w:rPr>
      </w:pPr>
      <w:r w:rsidRPr="00022BA7">
        <w:t xml:space="preserve">where </w:t>
      </w:r>
      <m:oMath>
        <m:r>
          <w:rPr>
            <w:rFonts w:ascii="Cambria Math" w:hAnsi="Cambria Math"/>
          </w:rPr>
          <m:t>DOD</m:t>
        </m:r>
      </m:oMath>
      <w:r w:rsidRPr="00022BA7">
        <w:t xml:space="preserve"> is depth of discharge which is assumed as 80%</w:t>
      </w:r>
      <w:r>
        <w:t>,</w:t>
      </w:r>
      <w:r w:rsidRPr="00022BA7">
        <w:t xml:space="preserve"> and </w:t>
      </w:r>
      <m:oMath>
        <m:r>
          <w:rPr>
            <w:rFonts w:ascii="Cambria Math" w:eastAsia="Cambria Math" w:hAnsi="Cambria Math" w:cs="Cambria Math"/>
          </w:rPr>
          <m:t>SO</m:t>
        </m:r>
        <m:sSub>
          <m:sSubPr>
            <m:ctrlPr>
              <w:rPr>
                <w:rFonts w:ascii="Cambria Math" w:eastAsia="Cambria Math" w:hAnsi="Cambria Math" w:cs="Cambria Math"/>
                <w:bCs/>
                <w:i/>
              </w:rPr>
            </m:ctrlPr>
          </m:sSubPr>
          <m:e>
            <m:r>
              <w:rPr>
                <w:rFonts w:ascii="Cambria Math" w:eastAsia="Cambria Math" w:hAnsi="Cambria Math" w:cs="Cambria Math"/>
              </w:rPr>
              <m:t>H</m:t>
            </m:r>
          </m:e>
          <m:sub>
            <m:r>
              <w:rPr>
                <w:rFonts w:ascii="Cambria Math" w:eastAsia="Cambria Math" w:hAnsi="Cambria Math" w:cs="Cambria Math"/>
              </w:rPr>
              <m:t>EoL</m:t>
            </m:r>
          </m:sub>
        </m:sSub>
      </m:oMath>
      <w:r w:rsidRPr="00022BA7">
        <w:rPr>
          <w:b/>
        </w:rPr>
        <w:t xml:space="preserve"> </w:t>
      </w:r>
      <w:r w:rsidRPr="00022BA7">
        <w:rPr>
          <w:iCs/>
        </w:rPr>
        <w:t>is state of health of battery capacity at end of life</w:t>
      </w:r>
      <w:r>
        <w:rPr>
          <w:iCs/>
        </w:rPr>
        <w:t>,</w:t>
      </w:r>
      <w:r w:rsidRPr="00022BA7">
        <w:rPr>
          <w:iCs/>
        </w:rPr>
        <w:t xml:space="preserve"> </w:t>
      </w:r>
      <w:r>
        <w:rPr>
          <w:iCs/>
        </w:rPr>
        <w:t xml:space="preserve">also </w:t>
      </w:r>
      <w:r w:rsidRPr="00022BA7">
        <w:rPr>
          <w:iCs/>
        </w:rPr>
        <w:t>assumed as 80%.</w:t>
      </w:r>
    </w:p>
    <w:p w14:paraId="1D32AE7F" w14:textId="77777777" w:rsidR="004F075A" w:rsidRPr="00022BA7" w:rsidRDefault="004F075A" w:rsidP="004F075A">
      <w:pPr>
        <w:rPr>
          <w:iCs/>
        </w:rPr>
      </w:pPr>
    </w:p>
    <w:p w14:paraId="3C5D0B9D" w14:textId="77777777" w:rsidR="004F075A" w:rsidRPr="00022BA7" w:rsidRDefault="004F075A" w:rsidP="004F075A">
      <w:pPr>
        <w:rPr>
          <w:iCs/>
        </w:rPr>
      </w:pPr>
      <w:r w:rsidRPr="00022BA7">
        <w:rPr>
          <w:iCs/>
        </w:rPr>
        <w:t xml:space="preserve">The set of trips covered by </w:t>
      </w:r>
      <w:proofErr w:type="spellStart"/>
      <w:r w:rsidRPr="00022BA7">
        <w:rPr>
          <w:iCs/>
        </w:rPr>
        <w:t>BESpX</w:t>
      </w:r>
      <w:proofErr w:type="spellEnd"/>
      <w:r w:rsidRPr="00022BA7">
        <w:rPr>
          <w:iCs/>
        </w:rPr>
        <w:t xml:space="preserve">, </w:t>
      </w:r>
      <m:oMath>
        <m:sSub>
          <m:sSubPr>
            <m:ctrlPr>
              <w:rPr>
                <w:rFonts w:ascii="Cambria Math" w:hAnsi="Cambria Math"/>
                <w:i/>
              </w:rPr>
            </m:ctrlPr>
          </m:sSubPr>
          <m:e>
            <m:r>
              <w:rPr>
                <w:rFonts w:ascii="Cambria Math" w:hAnsi="Cambria Math"/>
              </w:rPr>
              <m:t>TR</m:t>
            </m:r>
          </m:e>
          <m:sub>
            <m:r>
              <w:rPr>
                <w:rFonts w:ascii="Cambria Math" w:hAnsi="Cambria Math"/>
              </w:rPr>
              <m:t>v,pX</m:t>
            </m:r>
          </m:sub>
        </m:sSub>
        <m:r>
          <w:rPr>
            <w:rFonts w:ascii="Cambria Math" w:hAnsi="Cambria Math"/>
          </w:rPr>
          <m:t>,</m:t>
        </m:r>
      </m:oMath>
      <w:r w:rsidRPr="00022BA7">
        <w:rPr>
          <w:iCs/>
        </w:rPr>
        <w:t xml:space="preserve"> and the sum of energy demand of the covered trips, </w:t>
      </w: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Cov</m:t>
            </m:r>
          </m:sup>
        </m:sSubSup>
        <m:r>
          <w:rPr>
            <w:rFonts w:ascii="Cambria Math" w:hAnsi="Cambria Math"/>
          </w:rPr>
          <m:t>,</m:t>
        </m:r>
      </m:oMath>
      <w:r w:rsidRPr="00022BA7">
        <w:rPr>
          <w:iCs/>
        </w:rPr>
        <w:t xml:space="preserve"> </w:t>
      </w:r>
      <w:r>
        <w:rPr>
          <w:iCs/>
        </w:rPr>
        <w:t xml:space="preserve">and </w:t>
      </w:r>
      <w:r w:rsidRPr="00022BA7">
        <w:rPr>
          <w:iCs/>
        </w:rPr>
        <w:t>ratio of covered energy are denoted in equations (1</w:t>
      </w:r>
      <w:r>
        <w:rPr>
          <w:iCs/>
        </w:rPr>
        <w:t>8</w:t>
      </w:r>
      <w:r w:rsidRPr="00022BA7">
        <w:rPr>
          <w:iCs/>
        </w:rPr>
        <w:t>) and (1</w:t>
      </w:r>
      <w:r>
        <w:rPr>
          <w:iCs/>
        </w:rPr>
        <w:t>9</w:t>
      </w:r>
      <w:r w:rsidRPr="00022BA7">
        <w:rPr>
          <w:iCs/>
        </w:rPr>
        <w:t>)</w:t>
      </w:r>
      <w:r>
        <w:rPr>
          <w:iCs/>
        </w:rPr>
        <w:t>:</w:t>
      </w:r>
    </w:p>
    <w:p w14:paraId="589358D4"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9299FE3" w14:textId="77777777" w:rsidTr="00F95C74">
        <w:trPr>
          <w:trHeight w:val="300"/>
        </w:trPr>
        <w:tc>
          <w:tcPr>
            <w:tcW w:w="720" w:type="dxa"/>
          </w:tcPr>
          <w:p w14:paraId="27C3B235" w14:textId="77777777" w:rsidR="004F075A" w:rsidRPr="00022BA7" w:rsidRDefault="004F075A" w:rsidP="00F95C74">
            <w:pPr>
              <w:rPr>
                <w:i/>
              </w:rPr>
            </w:pPr>
          </w:p>
        </w:tc>
        <w:tc>
          <w:tcPr>
            <w:tcW w:w="7920" w:type="dxa"/>
          </w:tcPr>
          <w:p w14:paraId="19985207"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i/>
                      </w:rPr>
                    </m:ctrlPr>
                  </m:sSubSupPr>
                  <m:e>
                    <m:r>
                      <w:rPr>
                        <w:rFonts w:ascii="Cambria Math" w:hAnsi="Cambria Math"/>
                      </w:rPr>
                      <m:t>TR</m:t>
                    </m:r>
                  </m:e>
                  <m:sub>
                    <m:r>
                      <w:rPr>
                        <w:rFonts w:ascii="Cambria Math" w:hAnsi="Cambria Math"/>
                      </w:rPr>
                      <m:t>v,pX</m:t>
                    </m:r>
                  </m:sub>
                  <m:sup>
                    <m:r>
                      <w:rPr>
                        <w:rFonts w:ascii="Cambria Math" w:hAnsi="Cambria Math"/>
                      </w:rPr>
                      <m:t>T</m:t>
                    </m:r>
                  </m:sup>
                </m:sSubSup>
                <m:r>
                  <w:rPr>
                    <w:rFonts w:ascii="Cambria Math" w:hAnsi="Cambria Math"/>
                  </w:rPr>
                  <m:t>=</m:t>
                </m:r>
                <m:d>
                  <m:dPr>
                    <m:begChr m:val="{"/>
                    <m:endChr m:val="}"/>
                    <m:ctrlPr>
                      <w:rPr>
                        <w:rFonts w:ascii="Cambria Math" w:hAnsi="Cambria Math"/>
                        <w:i/>
                      </w:rPr>
                    </m:ctrlPr>
                  </m:dPr>
                  <m:e>
                    <m:r>
                      <w:rPr>
                        <w:rFonts w:ascii="Cambria Math" w:hAnsi="Cambria Math"/>
                      </w:rPr>
                      <m:t>tr</m:t>
                    </m:r>
                    <m:r>
                      <w:rPr>
                        <w:rFonts w:ascii="Cambria Math" w:hAnsi="Cambria Math" w:hint="eastAsia"/>
                      </w:rPr>
                      <m:t>|tr</m:t>
                    </m:r>
                    <m:r>
                      <w:rPr>
                        <w:rFonts w:ascii="Cambria Math" w:hAnsi="Cambria Math" w:hint="eastAsia"/>
                      </w:rPr>
                      <m:t>∈</m:t>
                    </m:r>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T</m:t>
                        </m:r>
                      </m:sup>
                    </m:sSubSup>
                    <m:r>
                      <w:rPr>
                        <w:rFonts w:ascii="Cambria Math" w:hAnsi="Cambria Math"/>
                      </w:rPr>
                      <m:t xml:space="preserve"> and </m:t>
                    </m:r>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e>
                </m:d>
              </m:oMath>
            </m:oMathPara>
          </w:p>
        </w:tc>
        <w:tc>
          <w:tcPr>
            <w:tcW w:w="720" w:type="dxa"/>
          </w:tcPr>
          <w:p w14:paraId="038FA7EB" w14:textId="77777777" w:rsidR="004F075A" w:rsidRPr="00022BA7" w:rsidRDefault="004F075A" w:rsidP="00F95C74">
            <w:pPr>
              <w:jc w:val="right"/>
            </w:pPr>
            <w:r w:rsidRPr="00022BA7">
              <w:t>(1</w:t>
            </w:r>
            <w:r>
              <w:t>8</w:t>
            </w:r>
            <w:r w:rsidRPr="00022BA7">
              <w:t>)</w:t>
            </w:r>
          </w:p>
        </w:tc>
      </w:tr>
      <w:tr w:rsidR="004F075A" w:rsidRPr="00022BA7" w14:paraId="7E62AF4D" w14:textId="77777777" w:rsidTr="00F95C74">
        <w:trPr>
          <w:trHeight w:val="300"/>
        </w:trPr>
        <w:tc>
          <w:tcPr>
            <w:tcW w:w="720" w:type="dxa"/>
          </w:tcPr>
          <w:p w14:paraId="0CE7A62D" w14:textId="77777777" w:rsidR="004F075A" w:rsidRPr="00022BA7" w:rsidRDefault="004F075A" w:rsidP="00F95C74">
            <w:pPr>
              <w:rPr>
                <w:i/>
              </w:rPr>
            </w:pPr>
          </w:p>
        </w:tc>
        <w:tc>
          <w:tcPr>
            <w:tcW w:w="7920" w:type="dxa"/>
          </w:tcPr>
          <w:p w14:paraId="2DDED69A" w14:textId="77777777" w:rsidR="004F075A" w:rsidRPr="00022BA7" w:rsidRDefault="00590C69" w:rsidP="00F95C74">
            <w:pPr>
              <w:rPr>
                <w:rFonts w:eastAsia="Malgun Gothic" w:cs="Times New Roman"/>
                <w:i/>
              </w:rPr>
            </w:pPr>
            <m:oMathPara>
              <m:oMath>
                <m:sSubSup>
                  <m:sSubSupPr>
                    <m:ctrlPr>
                      <w:rPr>
                        <w:rFonts w:ascii="Cambria Math" w:hAnsi="Cambria Math"/>
                        <w:iCs/>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r>
                  <m:rPr>
                    <m:sty m:val="p"/>
                  </m:rPr>
                  <w:rPr>
                    <w:rFonts w:ascii="Cambria Math" w:hAnsi="Cambria Math"/>
                  </w:rPr>
                  <m:t>=</m:t>
                </m:r>
                <m:nary>
                  <m:naryPr>
                    <m:chr m:val="∑"/>
                    <m:limLoc m:val="undOvr"/>
                    <m:supHide m:val="1"/>
                    <m:ctrlPr>
                      <w:rPr>
                        <w:rFonts w:ascii="Cambria Math" w:hAnsi="Cambria Math"/>
                        <w:iCs/>
                      </w:rPr>
                    </m:ctrlPr>
                  </m:naryPr>
                  <m:sub>
                    <m:r>
                      <w:rPr>
                        <w:rFonts w:ascii="Cambria Math" w:hAnsi="Cambria Math"/>
                      </w:rPr>
                      <m:t>tr</m:t>
                    </m:r>
                    <m:r>
                      <m:rPr>
                        <m:sty m:val="p"/>
                      </m:rPr>
                      <w:rPr>
                        <w:rFonts w:ascii="Cambria Math" w:hAnsi="Cambria Math" w:hint="eastAsia"/>
                      </w:rPr>
                      <m:t>∈</m:t>
                    </m:r>
                    <m:sSubSup>
                      <m:sSubSupPr>
                        <m:ctrlPr>
                          <w:rPr>
                            <w:rFonts w:ascii="Cambria Math" w:hAnsi="Cambria Math"/>
                            <w:i/>
                          </w:rPr>
                        </m:ctrlPr>
                      </m:sSubSupPr>
                      <m:e>
                        <m:r>
                          <w:rPr>
                            <w:rFonts w:ascii="Cambria Math" w:hAnsi="Cambria Math"/>
                          </w:rPr>
                          <m:t>TR</m:t>
                        </m:r>
                      </m:e>
                      <m:sub>
                        <m:r>
                          <w:rPr>
                            <w:rFonts w:ascii="Cambria Math" w:hAnsi="Cambria Math"/>
                          </w:rPr>
                          <m:t>v,pX</m:t>
                        </m:r>
                      </m:sub>
                      <m:sup>
                        <m:r>
                          <w:rPr>
                            <w:rFonts w:ascii="Cambria Math" w:hAnsi="Cambria Math"/>
                          </w:rPr>
                          <m:t>T</m:t>
                        </m:r>
                      </m:sup>
                    </m:sSubSup>
                    <m:r>
                      <w:rPr>
                        <w:rFonts w:ascii="Cambria Math" w:hAnsi="Cambria Math"/>
                      </w:rPr>
                      <m:t>∪</m:t>
                    </m:r>
                    <m:sSubSup>
                      <m:sSubSupPr>
                        <m:ctrlPr>
                          <w:rPr>
                            <w:rFonts w:ascii="Cambria Math" w:hAnsi="Cambria Math"/>
                          </w:rPr>
                        </m:ctrlPr>
                      </m:sSubSupPr>
                      <m:e>
                        <m:r>
                          <w:rPr>
                            <w:rFonts w:ascii="Cambria Math" w:hAnsi="Cambria Math"/>
                          </w:rPr>
                          <m:t>TR</m:t>
                        </m:r>
                      </m:e>
                      <m:sub>
                        <m:r>
                          <w:rPr>
                            <w:rFonts w:ascii="Cambria Math" w:hAnsi="Cambria Math"/>
                          </w:rPr>
                          <m:t>v</m:t>
                        </m:r>
                      </m:sub>
                      <m:sup>
                        <m:r>
                          <w:rPr>
                            <w:rFonts w:ascii="Cambria Math" w:hAnsi="Cambria Math"/>
                          </w:rPr>
                          <m:t>IT</m:t>
                        </m:r>
                      </m:sup>
                    </m:sSubSup>
                  </m:sub>
                  <m:sup/>
                  <m:e>
                    <m:sSubSup>
                      <m:sSubSupPr>
                        <m:ctrlPr>
                          <w:rPr>
                            <w:rFonts w:ascii="Cambria Math" w:hAnsi="Cambria Math"/>
                            <w:iCs/>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Trip</m:t>
                        </m:r>
                      </m:sup>
                    </m:sSubSup>
                  </m:e>
                </m:nary>
              </m:oMath>
            </m:oMathPara>
          </w:p>
        </w:tc>
        <w:tc>
          <w:tcPr>
            <w:tcW w:w="720" w:type="dxa"/>
          </w:tcPr>
          <w:p w14:paraId="58DBAC02" w14:textId="77777777" w:rsidR="004F075A" w:rsidRPr="00022BA7" w:rsidRDefault="004F075A" w:rsidP="00F95C74">
            <w:pPr>
              <w:jc w:val="right"/>
            </w:pPr>
            <w:r w:rsidRPr="00022BA7">
              <w:t>(1</w:t>
            </w:r>
            <w:r>
              <w:t>9</w:t>
            </w:r>
            <w:r w:rsidRPr="00022BA7">
              <w:t>)</w:t>
            </w:r>
          </w:p>
        </w:tc>
      </w:tr>
    </w:tbl>
    <w:p w14:paraId="2AEC105D" w14:textId="77777777" w:rsidR="004F075A" w:rsidRPr="00022BA7" w:rsidRDefault="004F075A" w:rsidP="004F075A"/>
    <w:p w14:paraId="3D3C8F22" w14:textId="77777777" w:rsidR="004F075A" w:rsidRPr="00022BA7" w:rsidRDefault="004F075A" w:rsidP="004F075A">
      <w:r w:rsidRPr="00022BA7">
        <w:t xml:space="preserve">where </w:t>
      </w:r>
      <m:oMath>
        <m:sSubSup>
          <m:sSubSupPr>
            <m:ctrlPr>
              <w:rPr>
                <w:rFonts w:ascii="Cambria Math" w:hAnsi="Cambria Math"/>
                <w:i/>
              </w:rPr>
            </m:ctrlPr>
          </m:sSubSupPr>
          <m:e>
            <m:r>
              <w:rPr>
                <w:rFonts w:ascii="Cambria Math" w:hAnsi="Cambria Math"/>
              </w:rPr>
              <m:t>TR</m:t>
            </m:r>
          </m:e>
          <m:sub>
            <m:r>
              <w:rPr>
                <w:rFonts w:ascii="Cambria Math" w:hAnsi="Cambria Math"/>
              </w:rPr>
              <m:t>v,pX</m:t>
            </m:r>
          </m:sub>
          <m:sup>
            <m:r>
              <w:rPr>
                <w:rFonts w:ascii="Cambria Math" w:hAnsi="Cambria Math"/>
              </w:rPr>
              <m:t>T</m:t>
            </m:r>
          </m:sup>
        </m:sSubSup>
      </m:oMath>
      <w:r w:rsidRPr="00022BA7">
        <w:t xml:space="preserve"> is the set of trips </w:t>
      </w:r>
      <w:r>
        <w:t>in</w:t>
      </w:r>
      <w:r w:rsidRPr="00022BA7">
        <w:t xml:space="preserve"> which trip energy, </w:t>
      </w:r>
      <m:oMath>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tr</m:t>
            </m:r>
          </m:sub>
          <m:sup>
            <m:r>
              <w:rPr>
                <w:rFonts w:ascii="Cambria Math" w:hAnsi="Cambria Math"/>
              </w:rPr>
              <m:t>Trip</m:t>
            </m:r>
          </m:sup>
        </m:sSubSup>
        <m:r>
          <w:rPr>
            <w:rFonts w:ascii="Cambria Math" w:hAnsi="Cambria Math"/>
          </w:rPr>
          <m:t>,</m:t>
        </m:r>
      </m:oMath>
      <w:r w:rsidRPr="00022BA7">
        <w:t xml:space="preserve"> is less than the reference trip energy of capacity tier </w:t>
      </w:r>
      <m:oMath>
        <m:r>
          <w:rPr>
            <w:rFonts w:ascii="Cambria Math" w:hAnsi="Cambria Math"/>
          </w:rPr>
          <m:t>pX</m:t>
        </m:r>
      </m:oMath>
      <w:r w:rsidRPr="00022BA7">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oMath>
      <w:r w:rsidRPr="00022BA7">
        <w:t>.</w:t>
      </w:r>
    </w:p>
    <w:p w14:paraId="574BF2E7" w14:textId="77777777" w:rsidR="004F075A" w:rsidRPr="00022BA7" w:rsidRDefault="004F075A" w:rsidP="004F075A"/>
    <w:p w14:paraId="17B262CF" w14:textId="77777777" w:rsidR="004F075A" w:rsidRPr="00022BA7" w:rsidRDefault="004F075A" w:rsidP="004F075A">
      <w:r w:rsidRPr="00022BA7">
        <w:t xml:space="preserve">Covered trip ratio, </w:t>
      </w:r>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oMath>
      <w:r w:rsidRPr="00022BA7">
        <w:rPr>
          <w:iCs/>
        </w:rPr>
        <w:t xml:space="preserve">, </w:t>
      </w:r>
      <w:r w:rsidRPr="00022BA7">
        <w:t xml:space="preserve">and </w:t>
      </w:r>
      <w:r>
        <w:t xml:space="preserve">uncovered </w:t>
      </w:r>
      <w:r w:rsidRPr="00022BA7">
        <w:t xml:space="preserve">trip ratio, </w:t>
      </w:r>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UT</m:t>
            </m:r>
          </m:sup>
        </m:sSubSup>
      </m:oMath>
      <w:r w:rsidRPr="00022BA7">
        <w:rPr>
          <w:iCs/>
        </w:rPr>
        <w:t xml:space="preserve">, for each capacity tier </w:t>
      </w:r>
      <m:oMath>
        <m:r>
          <w:rPr>
            <w:rFonts w:ascii="Cambria Math" w:hAnsi="Cambria Math"/>
          </w:rPr>
          <m:t>pX</m:t>
        </m:r>
      </m:oMath>
      <w:r w:rsidRPr="00022BA7">
        <w:rPr>
          <w:iCs/>
        </w:rPr>
        <w:t xml:space="preserve"> and vessel </w:t>
      </w:r>
      <m:oMath>
        <m:r>
          <w:rPr>
            <w:rFonts w:ascii="Cambria Math" w:hAnsi="Cambria Math"/>
          </w:rPr>
          <m:t>v</m:t>
        </m:r>
      </m:oMath>
      <w:r w:rsidRPr="00022BA7">
        <w:rPr>
          <w:iCs/>
        </w:rPr>
        <w:t xml:space="preserve"> </w:t>
      </w:r>
      <w:r w:rsidRPr="00022BA7">
        <w:t xml:space="preserve">are </w:t>
      </w:r>
      <w:r w:rsidRPr="00022BA7">
        <w:rPr>
          <w:iCs/>
        </w:rPr>
        <w:t>denoted in equations (</w:t>
      </w:r>
      <w:r>
        <w:rPr>
          <w:iCs/>
        </w:rPr>
        <w:t>20</w:t>
      </w:r>
      <w:r w:rsidRPr="00022BA7">
        <w:rPr>
          <w:iCs/>
        </w:rPr>
        <w:t>) and (</w:t>
      </w:r>
      <w:r>
        <w:rPr>
          <w:iCs/>
        </w:rPr>
        <w:t>21</w:t>
      </w:r>
      <w:r w:rsidRPr="00022BA7">
        <w:rPr>
          <w:iCs/>
        </w:rPr>
        <w:t>)</w:t>
      </w:r>
      <w:r>
        <w:rPr>
          <w:iCs/>
        </w:rPr>
        <w:t>:</w:t>
      </w:r>
    </w:p>
    <w:p w14:paraId="31855F57"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76BE964C" w14:textId="77777777" w:rsidTr="00F95C74">
        <w:trPr>
          <w:trHeight w:val="300"/>
        </w:trPr>
        <w:tc>
          <w:tcPr>
            <w:tcW w:w="720" w:type="dxa"/>
          </w:tcPr>
          <w:p w14:paraId="64A752A9" w14:textId="77777777" w:rsidR="004F075A" w:rsidRPr="00022BA7" w:rsidRDefault="004F075A" w:rsidP="00F95C74">
            <w:pPr>
              <w:rPr>
                <w:i/>
              </w:rPr>
            </w:pPr>
          </w:p>
        </w:tc>
        <w:tc>
          <w:tcPr>
            <w:tcW w:w="7920" w:type="dxa"/>
          </w:tcPr>
          <w:p w14:paraId="021B173B" w14:textId="77777777" w:rsidR="004F075A" w:rsidRPr="00022BA7" w:rsidRDefault="00590C69" w:rsidP="00F95C74">
            <w:pPr>
              <w:rPr>
                <w:i/>
              </w:rPr>
            </w:pPr>
            <m:oMathPara>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r>
                  <m:rPr>
                    <m:sty m:val="p"/>
                  </m:rPr>
                  <w:rPr>
                    <w:rFonts w:ascii="Cambria Math" w:hAnsi="Cambria Math"/>
                  </w:rPr>
                  <m:t>=</m:t>
                </m:r>
                <m:sSubSup>
                  <m:sSubSupPr>
                    <m:ctrlPr>
                      <w:rPr>
                        <w:rFonts w:ascii="Cambria Math" w:hAnsi="Cambria Math"/>
                        <w:iCs/>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r>
                  <w:rPr>
                    <w:rFonts w:ascii="Cambria Math" w:hAnsi="Cambria Math"/>
                  </w:rPr>
                  <m:t xml:space="preserve">/ </m:t>
                </m:r>
                <m:sSubSup>
                  <m:sSubSupPr>
                    <m:ctrlPr>
                      <w:rPr>
                        <w:rFonts w:ascii="Cambria Math" w:hAnsi="Cambria Math"/>
                        <w:iCs/>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100</m:t>
                    </m:r>
                  </m:sub>
                  <m:sup>
                    <m:r>
                      <w:rPr>
                        <w:rFonts w:ascii="Cambria Math" w:hAnsi="Cambria Math"/>
                      </w:rPr>
                      <m:t>Cov</m:t>
                    </m:r>
                  </m:sup>
                </m:sSubSup>
              </m:oMath>
            </m:oMathPara>
          </w:p>
        </w:tc>
        <w:tc>
          <w:tcPr>
            <w:tcW w:w="720" w:type="dxa"/>
          </w:tcPr>
          <w:p w14:paraId="6456F33F" w14:textId="77777777" w:rsidR="004F075A" w:rsidRPr="00022BA7" w:rsidRDefault="004F075A" w:rsidP="00F95C74">
            <w:pPr>
              <w:jc w:val="right"/>
            </w:pPr>
            <w:r w:rsidRPr="00022BA7">
              <w:t>(</w:t>
            </w:r>
            <w:r>
              <w:t>20</w:t>
            </w:r>
            <w:r w:rsidRPr="00022BA7">
              <w:t>)</w:t>
            </w:r>
          </w:p>
        </w:tc>
      </w:tr>
      <w:tr w:rsidR="004F075A" w:rsidRPr="00022BA7" w14:paraId="282F7117" w14:textId="77777777" w:rsidTr="00F95C74">
        <w:trPr>
          <w:trHeight w:val="300"/>
        </w:trPr>
        <w:tc>
          <w:tcPr>
            <w:tcW w:w="720" w:type="dxa"/>
          </w:tcPr>
          <w:p w14:paraId="0898CD5C" w14:textId="77777777" w:rsidR="004F075A" w:rsidRPr="00022BA7" w:rsidRDefault="004F075A" w:rsidP="00F95C74">
            <w:pPr>
              <w:rPr>
                <w:i/>
              </w:rPr>
            </w:pPr>
          </w:p>
        </w:tc>
        <w:tc>
          <w:tcPr>
            <w:tcW w:w="7920" w:type="dxa"/>
          </w:tcPr>
          <w:p w14:paraId="690AFDB0" w14:textId="77777777" w:rsidR="004F075A" w:rsidRPr="00022BA7" w:rsidRDefault="00590C69" w:rsidP="00F95C74">
            <w:pPr>
              <w:rPr>
                <w:rFonts w:eastAsia="Malgun Gothic" w:cs="Times New Roman"/>
                <w:i/>
                <w:iCs/>
              </w:rPr>
            </w:pPr>
            <m:oMathPara>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UT</m:t>
                    </m:r>
                  </m:sup>
                </m:sSubSup>
                <m:r>
                  <m:rPr>
                    <m:sty m:val="p"/>
                  </m:rPr>
                  <w:rPr>
                    <w:rFonts w:ascii="Cambria Math" w:hAnsi="Cambria Math"/>
                  </w:rPr>
                  <m:t>=1-</m:t>
                </m:r>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oMath>
            </m:oMathPara>
          </w:p>
        </w:tc>
        <w:tc>
          <w:tcPr>
            <w:tcW w:w="720" w:type="dxa"/>
          </w:tcPr>
          <w:p w14:paraId="65B33CC6" w14:textId="77777777" w:rsidR="004F075A" w:rsidRPr="00022BA7" w:rsidRDefault="004F075A" w:rsidP="00F95C74">
            <w:pPr>
              <w:jc w:val="right"/>
            </w:pPr>
            <w:r w:rsidRPr="00022BA7">
              <w:t>(2</w:t>
            </w:r>
            <w:r>
              <w:t>1</w:t>
            </w:r>
            <w:r w:rsidRPr="00022BA7">
              <w:t>)</w:t>
            </w:r>
          </w:p>
        </w:tc>
      </w:tr>
    </w:tbl>
    <w:p w14:paraId="3F124E2E" w14:textId="77777777" w:rsidR="004F075A" w:rsidRPr="00022BA7" w:rsidRDefault="004F075A" w:rsidP="004F075A"/>
    <w:p w14:paraId="3C4E17D9" w14:textId="77777777" w:rsidR="004F075A" w:rsidRPr="00022BA7" w:rsidRDefault="004F075A" w:rsidP="004F075A">
      <w:r w:rsidRPr="00022BA7">
        <w:t xml:space="preserve">These two values will serve as indicators </w:t>
      </w:r>
      <w:r>
        <w:t>for</w:t>
      </w:r>
      <w:r w:rsidRPr="00022BA7">
        <w:t xml:space="preserve"> how affordable BES</w:t>
      </w:r>
      <w:r>
        <w:t>s</w:t>
      </w:r>
      <w:r w:rsidRPr="00022BA7">
        <w:t xml:space="preserve"> with lower capacity tiers can be </w:t>
      </w:r>
      <w:r>
        <w:t xml:space="preserve">in meeting </w:t>
      </w:r>
      <w:r w:rsidRPr="00022BA7">
        <w:t xml:space="preserve">historical trips. It is important to note that </w:t>
      </w:r>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,1</m:t>
            </m:r>
            <m:r>
              <w:rPr>
                <w:rFonts w:ascii="Cambria Math" w:hAnsi="Cambria Math"/>
              </w:rPr>
              <m:t>00</m:t>
            </m:r>
          </m:sub>
          <m:sup>
            <m:r>
              <w:rPr>
                <w:rFonts w:ascii="Cambria Math" w:hAnsi="Cambria Math"/>
              </w:rPr>
              <m:t>Cov</m:t>
            </m:r>
          </m:sup>
        </m:sSubSup>
      </m:oMath>
      <w:r w:rsidRPr="00022BA7">
        <w:rPr>
          <w:iCs/>
        </w:rPr>
        <w:t xml:space="preserve"> and </w:t>
      </w:r>
      <m:oMath>
        <m:sSubSup>
          <m:sSubSupPr>
            <m:ctrlPr>
              <w:rPr>
                <w:rFonts w:ascii="Cambria Math" w:hAnsi="Cambria Math"/>
                <w:iCs/>
              </w:rPr>
            </m:ctrlPr>
          </m:sSubSupPr>
          <m:e>
            <m:r>
              <w:rPr>
                <w:rFonts w:ascii="Cambria Math" w:hAnsi="Cambria Math"/>
              </w:rPr>
              <m:t>R</m:t>
            </m:r>
          </m:e>
          <m:sub>
            <m:r>
              <w:rPr>
                <w:rFonts w:ascii="Cambria Math" w:hAnsi="Cambria Math"/>
              </w:rPr>
              <m:t>v</m:t>
            </m:r>
            <m:r>
              <m:rPr>
                <m:sty m:val="p"/>
              </m:rPr>
              <w:rPr>
                <w:rFonts w:ascii="Cambria Math" w:hAnsi="Cambria Math"/>
              </w:rPr>
              <m:t>,1</m:t>
            </m:r>
            <m:r>
              <w:rPr>
                <w:rFonts w:ascii="Cambria Math" w:hAnsi="Cambria Math"/>
              </w:rPr>
              <m:t>00</m:t>
            </m:r>
          </m:sub>
          <m:sup>
            <m:r>
              <w:rPr>
                <w:rFonts w:ascii="Cambria Math" w:hAnsi="Cambria Math"/>
              </w:rPr>
              <m:t>UT</m:t>
            </m:r>
          </m:sup>
        </m:sSubSup>
      </m:oMath>
      <w:r w:rsidRPr="00022BA7">
        <w:rPr>
          <w:iCs/>
        </w:rPr>
        <w:t xml:space="preserve"> </w:t>
      </w:r>
      <w:r w:rsidRPr="00022BA7">
        <w:t>are consistently equal to 1 and 0, respectively.</w:t>
      </w:r>
    </w:p>
    <w:p w14:paraId="1AF5B135" w14:textId="77777777" w:rsidR="004F075A" w:rsidRPr="00022BA7" w:rsidRDefault="004F075A" w:rsidP="004F075A"/>
    <w:p w14:paraId="21169347" w14:textId="1EE5B30E" w:rsidR="00F2657B" w:rsidRDefault="00334DD6" w:rsidP="00B37307">
      <w:r>
        <w:rPr>
          <w:lang w:eastAsia="ko-KR"/>
        </w:rPr>
        <w:fldChar w:fldCharType="begin"/>
      </w:r>
      <w:r>
        <w:rPr>
          <w:lang w:eastAsia="ko-KR"/>
        </w:rPr>
        <w:instrText xml:space="preserve"> REF _Ref144852891 \h </w:instrText>
      </w:r>
      <w:r>
        <w:rPr>
          <w:lang w:eastAsia="ko-KR"/>
        </w:rPr>
      </w:r>
      <w:r>
        <w:rPr>
          <w:lang w:eastAsia="ko-KR"/>
        </w:rPr>
        <w:fldChar w:fldCharType="separate"/>
      </w:r>
      <w:r w:rsidR="00C661AC" w:rsidRPr="00007F58">
        <w:t xml:space="preserve">Supplementary </w:t>
      </w:r>
      <w:r w:rsidR="00C661AC" w:rsidRPr="00BE2259">
        <w:t xml:space="preserve">Figure </w:t>
      </w:r>
      <w:r w:rsidR="00C661AC">
        <w:rPr>
          <w:noProof/>
        </w:rPr>
        <w:t>14</w:t>
      </w:r>
      <w:r>
        <w:rPr>
          <w:lang w:eastAsia="ko-KR"/>
        </w:rPr>
        <w:fldChar w:fldCharType="end"/>
      </w:r>
      <w:r>
        <w:rPr>
          <w:lang w:eastAsia="ko-KR"/>
        </w:rPr>
        <w:t xml:space="preserve"> </w:t>
      </w:r>
      <w:r w:rsidR="004F075A" w:rsidRPr="00022BA7">
        <w:rPr>
          <w:lang w:eastAsia="ko-KR"/>
        </w:rPr>
        <w:t>depicts the sum of energ</w:t>
      </w:r>
      <w:r w:rsidR="004F075A">
        <w:rPr>
          <w:lang w:eastAsia="ko-KR"/>
        </w:rPr>
        <w:t>y</w:t>
      </w:r>
      <w:r w:rsidR="004F075A" w:rsidRPr="00022BA7">
        <w:rPr>
          <w:lang w:eastAsia="ko-KR"/>
        </w:rPr>
        <w:t xml:space="preserve"> in each interval based on the trip energy of the two vessels seen in </w:t>
      </w:r>
      <w:r w:rsidR="00ED2E25">
        <w:fldChar w:fldCharType="begin"/>
      </w:r>
      <w:r w:rsidR="00ED2E25">
        <w:instrText xml:space="preserve"> REF _Ref144852873 \h </w:instrText>
      </w:r>
      <w:r w:rsidR="00ED2E25">
        <w:fldChar w:fldCharType="separate"/>
      </w:r>
      <w:r w:rsidR="00C661AC">
        <w:t xml:space="preserve">Supplementary </w:t>
      </w:r>
      <w:r w:rsidR="00C661AC" w:rsidRPr="00022BA7">
        <w:t xml:space="preserve">Figure </w:t>
      </w:r>
      <w:r w:rsidR="00C661AC">
        <w:rPr>
          <w:noProof/>
        </w:rPr>
        <w:t>13</w:t>
      </w:r>
      <w:r w:rsidR="00ED2E25">
        <w:fldChar w:fldCharType="end"/>
      </w:r>
      <w:r w:rsidR="004F075A" w:rsidRPr="00022BA7">
        <w:rPr>
          <w:lang w:eastAsia="ko-KR"/>
        </w:rPr>
        <w:t xml:space="preserve">, along with the covered trip ratio </w:t>
      </w:r>
      <w:r w:rsidR="004F075A">
        <w:rPr>
          <w:lang w:eastAsia="ko-KR"/>
        </w:rPr>
        <w:t>and</w:t>
      </w:r>
      <w:r w:rsidR="004F075A" w:rsidRPr="00022BA7">
        <w:rPr>
          <w:lang w:eastAsia="ko-KR"/>
        </w:rPr>
        <w:t xml:space="preserve"> reference trip energy</w:t>
      </w:r>
      <w:r w:rsidR="004F075A">
        <w:rPr>
          <w:lang w:eastAsia="ko-KR"/>
        </w:rPr>
        <w:t xml:space="preserve"> requirement</w:t>
      </w:r>
      <w:r w:rsidR="004F075A" w:rsidRPr="00022BA7">
        <w:rPr>
          <w:lang w:eastAsia="ko-KR"/>
        </w:rPr>
        <w:t xml:space="preserve">. For both ships, as the capacity tier decreases, the reference trip energy decreases, leading to a simultaneous decrease in the covered trip ratio. As the capacity tier decreases, the reduction in reference trip energy is more significant for </w:t>
      </w:r>
      <w:r w:rsidR="004F075A">
        <w:rPr>
          <w:lang w:eastAsia="ko-KR"/>
        </w:rPr>
        <w:t>the t</w:t>
      </w:r>
      <w:r w:rsidR="004F075A" w:rsidRPr="00022BA7">
        <w:rPr>
          <w:lang w:eastAsia="ko-KR"/>
        </w:rPr>
        <w:t xml:space="preserve">ug, but the covered trip ratio appears to decrease at a similar level for both vessels. These examples show that lowering the capacity tier allows for a considerable reduction in battery size; </w:t>
      </w:r>
      <w:r w:rsidR="004F075A">
        <w:rPr>
          <w:lang w:eastAsia="ko-KR"/>
        </w:rPr>
        <w:t xml:space="preserve">the </w:t>
      </w:r>
      <w:r w:rsidR="004F075A" w:rsidRPr="00022BA7">
        <w:rPr>
          <w:lang w:eastAsia="ko-KR"/>
        </w:rPr>
        <w:t>trade-off</w:t>
      </w:r>
      <w:r w:rsidR="004F075A">
        <w:rPr>
          <w:lang w:eastAsia="ko-KR"/>
        </w:rPr>
        <w:t xml:space="preserve">, however, is an </w:t>
      </w:r>
      <w:r w:rsidR="004F075A" w:rsidRPr="00022BA7">
        <w:rPr>
          <w:lang w:eastAsia="ko-KR"/>
        </w:rPr>
        <w:t xml:space="preserve">increasing number of </w:t>
      </w:r>
      <w:r w:rsidR="004F075A">
        <w:rPr>
          <w:lang w:eastAsia="ko-KR"/>
        </w:rPr>
        <w:t>un</w:t>
      </w:r>
      <w:r w:rsidR="004F075A" w:rsidRPr="00022BA7">
        <w:rPr>
          <w:lang w:eastAsia="ko-KR"/>
        </w:rPr>
        <w:t>covered trips.</w:t>
      </w:r>
      <w:r w:rsidR="004F075A" w:rsidRPr="00022BA7">
        <w:t xml:space="preserve"> </w:t>
      </w:r>
      <w:r w:rsidR="004F075A">
        <w:t>T</w:t>
      </w:r>
      <w:r w:rsidR="004F075A" w:rsidRPr="00022BA7">
        <w:t xml:space="preserve">hese tendencies are not restricted to the examples </w:t>
      </w:r>
      <w:r w:rsidR="004F075A">
        <w:t xml:space="preserve">presented here and </w:t>
      </w:r>
      <w:r w:rsidR="004F075A" w:rsidRPr="00022BA7">
        <w:t xml:space="preserve">can be observed within the same ship types, albeit </w:t>
      </w:r>
      <w:r w:rsidR="004F075A">
        <w:t xml:space="preserve">to </w:t>
      </w:r>
      <w:r w:rsidR="004F075A" w:rsidRPr="00022BA7">
        <w:t xml:space="preserve">potentially varying </w:t>
      </w:r>
      <w:r w:rsidR="004F075A">
        <w:t xml:space="preserve">extents </w:t>
      </w:r>
      <w:r w:rsidR="004F075A" w:rsidRPr="00022BA7">
        <w:t>across different vessels.</w:t>
      </w:r>
    </w:p>
    <w:p w14:paraId="5B3D166D" w14:textId="519243B1" w:rsidR="007C5E2A" w:rsidRDefault="007C5E2A" w:rsidP="00B37307"/>
    <w:p w14:paraId="5366C356" w14:textId="260AF015" w:rsidR="007C5E2A" w:rsidRPr="00022BA7" w:rsidRDefault="007C5E2A" w:rsidP="007C5E2A">
      <w:pPr>
        <w:pStyle w:val="Heading3"/>
      </w:pPr>
      <w:r w:rsidRPr="00022BA7">
        <w:t xml:space="preserve">Battery </w:t>
      </w:r>
      <w:r w:rsidR="001104BE">
        <w:t>Charging Scheduling</w:t>
      </w:r>
    </w:p>
    <w:p w14:paraId="5572BE05" w14:textId="77777777" w:rsidR="007C5E2A" w:rsidRDefault="007C5E2A" w:rsidP="007C5E2A">
      <w:r>
        <w:t>The need for efficient charging plays a crucial role in scheduling BES charging. Charging schedules are determined based on an algorithmic approach, which charges the BES only when the state of charge (SOC) falls below a predetermined charging boundary, assumed as 70%. This ensures the BES is charged in a controlled manner and prevents the battery from being charged too frequently or charged when it is not required. At the start of the simulation, the battery SOC is set to 90%. While at port, if the battery SOC is expected to fall below 70% after the subsequent trip, the battery is charged to 90%, its upper limit. This preemptive charging ensures the battery is sufficiently charged to meet the anticipated energy demands of the upcoming trip. Furthermore, the SOC is bounded between 10% and 90% to prevent excessive charging or discharging that could lead to faster battery degradation.</w:t>
      </w:r>
    </w:p>
    <w:p w14:paraId="2DF09A30" w14:textId="77777777" w:rsidR="007C5E2A" w:rsidRDefault="007C5E2A" w:rsidP="007C5E2A"/>
    <w:p w14:paraId="0257EB26" w14:textId="77777777" w:rsidR="007C5E2A" w:rsidRDefault="007C5E2A" w:rsidP="007C5E2A">
      <w:pPr>
        <w:spacing w:after="240"/>
      </w:pPr>
      <w:r w:rsidRPr="0009256D">
        <w:rPr>
          <w:b/>
        </w:rPr>
        <w:t>Supplementary Figure 38</w:t>
      </w:r>
      <w:r>
        <w:t xml:space="preserve"> depicts an illustrative example of the SOC and charging/discharging scheduling for the BESp100 of a passenger ship (IMO 9607679). The figure demonstrates that the distinction between Moving and Chargeable states is determined by the ship’s SOG: when speed is below 0.5 knot, the ship is considered Chargeable; otherwise, it is Moving. Additionally, based on the Moving/Chargeable state and battery SOC, the BES’s battery is charged. Because the SOC is expected to drop below the charging boundary (70%), the ship is scheduled to charge during two specific time intervals: 13:45-14:25 and 15:15-17:00. </w:t>
      </w:r>
    </w:p>
    <w:p w14:paraId="01E4BDC4" w14:textId="77777777" w:rsidR="007C5E2A" w:rsidRDefault="007C5E2A" w:rsidP="007C5E2A">
      <w:pPr>
        <w:keepNext/>
      </w:pPr>
      <w:r>
        <w:rPr>
          <w:noProof/>
        </w:rPr>
        <w:t xml:space="preserve"> </w:t>
      </w:r>
      <w:r>
        <w:t>To compare the power requirements at ports based on ships’ different charging strategies, we will refer to the charging strategy described above as Historical Activity-based Charging since it aligns with each ship’s historical activity. We also considered an alternative charging strategy, Trip-Based Charging. Under Trip-Based Charging, we assumed the charging time to be half the duration of the previous trip, rather than the historical chargeable time. For instance, if a ship stayed at port to charge for 10 minutes after a 60-minute trip under Historical Activity-based Charging, under Trip-Based Charging the ship would charge for 30 minutes (half of the 60-minute trip). Under Trip-Based Charging, BESs would remain at port longer than ICEs have historically done; this scenario aligns with real-world conditions, due to the limited power capacity of charging facilities.</w:t>
      </w:r>
    </w:p>
    <w:p w14:paraId="3F50BB15" w14:textId="77777777" w:rsidR="007C5E2A" w:rsidRDefault="007C5E2A" w:rsidP="007C5E2A"/>
    <w:p w14:paraId="1725EBEB" w14:textId="77777777" w:rsidR="007C5E2A" w:rsidRDefault="007C5E2A" w:rsidP="007C5E2A">
      <w:pPr>
        <w:spacing w:after="240"/>
      </w:pPr>
      <w:r>
        <w:t>Implementing Trip-Based Charging and adjusting ship activity patterns with longer port stays may alleviate power requirements at ports. However, the Trip-Based Charging assumption of longer charging times for BESs may require ship activity adjustments that are beyond this study’s scope. Unless stated otherwise, Historical Activity-based Charging serves as our baseline strategy for BES charging.</w:t>
      </w:r>
    </w:p>
    <w:p w14:paraId="733BACF2" w14:textId="77777777" w:rsidR="007C5E2A" w:rsidRDefault="007C5E2A" w:rsidP="00B37307"/>
    <w:p w14:paraId="4E7BC37B" w14:textId="40C869D6" w:rsidR="00B5010C" w:rsidRPr="00B5010C" w:rsidRDefault="00B5010C" w:rsidP="00B5010C">
      <w:pPr>
        <w:pStyle w:val="Caption"/>
      </w:pPr>
      <w:r>
        <w:br w:type="page"/>
      </w:r>
    </w:p>
    <w:p w14:paraId="5944CF16" w14:textId="32C9DB13" w:rsidR="00794480" w:rsidRPr="00022BA7" w:rsidRDefault="00A7511A" w:rsidP="00794480">
      <w:pPr>
        <w:pStyle w:val="Heading1"/>
        <w:numPr>
          <w:ilvl w:val="0"/>
          <w:numId w:val="0"/>
        </w:numPr>
        <w:rPr>
          <w:color w:val="1F497D" w:themeColor="text2"/>
        </w:rPr>
      </w:pPr>
      <w:bookmarkStart w:id="85" w:name="_Ref144857553"/>
      <w:bookmarkStart w:id="86" w:name="_Toc146723120"/>
      <w:r>
        <w:rPr>
          <w:color w:val="1F497D" w:themeColor="text2"/>
        </w:rPr>
        <w:t xml:space="preserve">Supplementary Note 4: </w:t>
      </w:r>
      <w:r w:rsidR="005A672F" w:rsidRPr="005A672F">
        <w:rPr>
          <w:color w:val="1F497D" w:themeColor="text2"/>
        </w:rPr>
        <w:t>Battery Degradation and Estimated Lifetime</w:t>
      </w:r>
      <w:bookmarkEnd w:id="85"/>
      <w:bookmarkEnd w:id="86"/>
    </w:p>
    <w:p w14:paraId="7CF5BA55" w14:textId="5A4615B7" w:rsidR="004F075A" w:rsidRPr="00022BA7" w:rsidRDefault="004F075A" w:rsidP="004F075A">
      <w:r w:rsidRPr="00022BA7">
        <w:t>The performance of lithium-ion batteries tends to diminish over time due to degradation</w:t>
      </w:r>
      <w:r>
        <w:t>, which</w:t>
      </w:r>
      <w:r w:rsidRPr="00022BA7">
        <w:t xml:space="preserve"> is attributed to factors such as </w:t>
      </w:r>
      <w:r>
        <w:t>a</w:t>
      </w:r>
      <w:r w:rsidRPr="00022BA7">
        <w:t xml:space="preserve"> loss of cyclable lithium, </w:t>
      </w:r>
      <w:r>
        <w:t>a</w:t>
      </w:r>
      <w:r w:rsidRPr="00022BA7">
        <w:t xml:space="preserve"> loss of electrode</w:t>
      </w:r>
      <w:r>
        <w:t>-</w:t>
      </w:r>
      <w:r w:rsidRPr="00022BA7">
        <w:t>active materials, and an increase in cell resistance</w:t>
      </w:r>
      <w:r w:rsidR="00D46432">
        <w:fldChar w:fldCharType="begin"/>
      </w:r>
      <w:r w:rsidR="00C61E16">
        <w:instrText xml:space="preserve"> ADDIN ZOTERO_ITEM CSL_CITATION {"citationID":"IGUPK18o","properties":{"formattedCitation":"\\super 15\\nosupersub{}","plainCitation":"15","noteIndex":0},"citationItems":[{"id":165,"uris":["http://zotero.org/users/12468222/items/JUW6JHV3"],"itemData":{"id":165,"type":"article-journal","abstract":"Lithium-ion batteries have become the focus of research interest, thanks to their numerous benefits for vehicle applications. One main limitation of these technologies resides in the battery ageing. The effects of battery ageing limit its performance and occur throughout their whole life, whether the battery is used or not, which is a major drawback on real usage. Furthermore, degradations take place in every condition, but in different proportions as usage and external conditions interact to provoke degradations. The ageing phenomena are highly complicated to characterize due to the factors cross-dependence. This paper reviews various aspects of recent research and developments, from different fields, on lithium-ion battery ageing mechanisms and estimations. In this paper is presented a summary of techniques, models and algorithms used for battery ageing estimation (SOH, RUL), going from a detailed electrochemical approach to statistical methods based on data. In order to present the accuracy of currently used methods, their respective characteristics are discussed. Remaining challenges are deeply detailed, along with a discussion about the ideal method resulting from existing methods.","container-title":"Journal of Power Sources","DOI":"10.1016/j.jpowsour.2013.05.040","ISSN":"0378-7753","journalAbbreviation":"Journal of Power Sources","page":"680-689","source":"ScienceDirect","title":"A review on lithium-ion battery ageing mechanisms and estimations for automotive applications","volume":"241","author":[{"family":"Barré","given":"Anthony"},{"family":"Deguilhem","given":"Benjamin"},{"family":"Grolleau","given":"Sébastien"},{"family":"Gérard","given":"Mathias"},{"family":"Suard","given":"Frédéric"},{"family":"Riu","given":"Delphine"}],"issued":{"date-parts":[["2013",11,1]]}}}],"schema":"https://github.com/citation-style-language/schema/raw/master/csl-citation.json"} </w:instrText>
      </w:r>
      <w:r w:rsidR="00D46432">
        <w:fldChar w:fldCharType="separate"/>
      </w:r>
      <w:r w:rsidR="00C61E16" w:rsidRPr="00C61E16">
        <w:rPr>
          <w:rFonts w:cs="Times New Roman"/>
          <w:szCs w:val="24"/>
          <w:vertAlign w:val="superscript"/>
        </w:rPr>
        <w:t>15</w:t>
      </w:r>
      <w:r w:rsidR="00D46432">
        <w:fldChar w:fldCharType="end"/>
      </w:r>
      <w:r w:rsidRPr="00022BA7">
        <w:t>. As a result of degradation, the energy that can be stored in the battery</w:t>
      </w:r>
      <w:r>
        <w:t xml:space="preserve"> (i.e., </w:t>
      </w:r>
      <w:r w:rsidRPr="00022BA7">
        <w:t>battery capacity</w:t>
      </w:r>
      <w:r>
        <w:t>)</w:t>
      </w:r>
      <w:r w:rsidRPr="00022BA7">
        <w:t xml:space="preserve"> decreases. </w:t>
      </w:r>
      <w:r>
        <w:t>B</w:t>
      </w:r>
      <w:r w:rsidRPr="00022BA7">
        <w:t>attery degradation can be categorized into two types: calendar degradation and cycle degradation</w:t>
      </w:r>
      <w:r w:rsidR="00001E2C">
        <w:fldChar w:fldCharType="begin"/>
      </w:r>
      <w:r w:rsidR="00C61E16">
        <w:instrText xml:space="preserve"> ADDIN ZOTERO_ITEM CSL_CITATION {"citationID":"96dxrqJh","properties":{"formattedCitation":"\\super 16\\nosupersub{}","plainCitation":"16","noteIndex":0},"citationItems":[{"id":246,"uris":["http://zotero.org/users/12468222/items/849LWJQY"],"itemData":{"id":246,"type":"article-journal","abstract":"The use of electric vehicles for goods distribution opens up a wide range of research problems. Battery electric vehicles (BEVs) operate on batteries that have a limited life, as well as specific charging and discharging patterns which need to be considered in the context of their use for goods distribution. While many transportation problems associated with the integration of freight electric vehicles in distribution management problems have been investigated, there is room for further research on specifically how to model battery degradation and behaviour in such problems. The aim of this paper is to provide tractable models for transportation scientists that will allow predicting the lifetime degradation and instantaneous charging and discharging behaviour of BEV batteries.","collection-title":"Green Urban Transportation","container-title":"Transportation Research Part B: Methodological","DOI":"10.1016/j.trb.2017.01.020","ISSN":"0191-2615","journalAbbreviation":"Transportation Research Part B: Methodological","page":"158-187","source":"ScienceDirect","title":"Battery degradation and behaviour for electric vehicles: Review and numerical analyses of several models","title-short":"Battery degradation and behaviour for electric vehicles","volume":"103","author":[{"family":"Pelletier","given":"Samuel"},{"family":"Jabali","given":"Ola"},{"family":"Laporte","given":"Gilbert"},{"family":"Veneroni","given":"Marco"}],"issued":{"date-parts":[["2017",9,1]]}}}],"schema":"https://github.com/citation-style-language/schema/raw/master/csl-citation.json"} </w:instrText>
      </w:r>
      <w:r w:rsidR="00001E2C">
        <w:fldChar w:fldCharType="separate"/>
      </w:r>
      <w:r w:rsidR="00C61E16" w:rsidRPr="00C61E16">
        <w:rPr>
          <w:rFonts w:cs="Times New Roman"/>
          <w:szCs w:val="24"/>
          <w:vertAlign w:val="superscript"/>
        </w:rPr>
        <w:t>16</w:t>
      </w:r>
      <w:r w:rsidR="00001E2C">
        <w:fldChar w:fldCharType="end"/>
      </w:r>
      <w:r w:rsidRPr="00022BA7">
        <w:t xml:space="preserve">. Calendar degradation refers to the gradual deterioration that occurs over time, even when the battery is not in use. It tends to result in </w:t>
      </w:r>
      <w:r>
        <w:t xml:space="preserve">a </w:t>
      </w:r>
      <w:r w:rsidRPr="00022BA7">
        <w:t xml:space="preserve">greater loss of capacity over the same time </w:t>
      </w:r>
      <w:r>
        <w:t xml:space="preserve">period if </w:t>
      </w:r>
      <w:r w:rsidRPr="00022BA7">
        <w:t xml:space="preserve">the average SOC is higher and/or the temperature is higher. </w:t>
      </w:r>
      <w:r>
        <w:t>C</w:t>
      </w:r>
      <w:r w:rsidRPr="00022BA7">
        <w:t>ycle degradation results from battery usage</w:t>
      </w:r>
      <w:r>
        <w:t>:</w:t>
      </w:r>
      <w:r w:rsidRPr="00022BA7">
        <w:t xml:space="preserve"> the more charging and discharging</w:t>
      </w:r>
      <w:r>
        <w:t xml:space="preserve"> cycles</w:t>
      </w:r>
      <w:r w:rsidRPr="00022BA7">
        <w:t xml:space="preserve">, the more </w:t>
      </w:r>
      <w:r>
        <w:t>the battery</w:t>
      </w:r>
      <w:r w:rsidRPr="00022BA7">
        <w:t xml:space="preserve"> degrades. </w:t>
      </w:r>
      <w:r>
        <w:t>C</w:t>
      </w:r>
      <w:r w:rsidRPr="00022BA7">
        <w:t>ycle degradation is accelerated when charging or discharging at high power.</w:t>
      </w:r>
    </w:p>
    <w:p w14:paraId="79FA5320" w14:textId="77777777" w:rsidR="004F075A" w:rsidRPr="00022BA7" w:rsidRDefault="004F075A" w:rsidP="004F075A"/>
    <w:p w14:paraId="1353E365" w14:textId="6ADA0FB9" w:rsidR="004F075A" w:rsidRPr="00022BA7" w:rsidRDefault="004F075A" w:rsidP="004F075A">
      <w:r>
        <w:t>T</w:t>
      </w:r>
      <w:r w:rsidRPr="00022BA7">
        <w:t>he economic value of a BES is significantly influenced by the lifetime of its battery. In this study, battery lifetimes were calculated based on the battery schedules, utilizing the battery degradation model outlined by Hoedemaker</w:t>
      </w:r>
      <w:r w:rsidR="00753019">
        <w:fldChar w:fldCharType="begin"/>
      </w:r>
      <w:r w:rsidR="00C61E16">
        <w:instrText xml:space="preserve"> ADDIN ZOTERO_ITEM CSL_CITATION {"citationID":"e5vc7gMB","properties":{"formattedCitation":"\\super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753019">
        <w:fldChar w:fldCharType="separate"/>
      </w:r>
      <w:r w:rsidR="00C61E16" w:rsidRPr="00C61E16">
        <w:rPr>
          <w:rFonts w:cs="Times New Roman"/>
          <w:szCs w:val="24"/>
          <w:vertAlign w:val="superscript"/>
        </w:rPr>
        <w:t>17</w:t>
      </w:r>
      <w:r w:rsidR="00753019">
        <w:fldChar w:fldCharType="end"/>
      </w:r>
      <w:r w:rsidRPr="00022BA7">
        <w:t xml:space="preserve"> as illustrated in</w:t>
      </w:r>
      <w:r w:rsidR="00E75E76">
        <w:t xml:space="preserve"> </w:t>
      </w:r>
      <w:r w:rsidR="00E75E76">
        <w:fldChar w:fldCharType="begin"/>
      </w:r>
      <w:r w:rsidR="00E75E76">
        <w:instrText xml:space="preserve"> REF _Ref144852970 \h </w:instrText>
      </w:r>
      <w:r w:rsidR="00E75E76">
        <w:fldChar w:fldCharType="separate"/>
      </w:r>
      <w:r w:rsidR="00C661AC">
        <w:t xml:space="preserve">Supplementary </w:t>
      </w:r>
      <w:r w:rsidR="00C661AC" w:rsidRPr="00022BA7">
        <w:t xml:space="preserve">Figure </w:t>
      </w:r>
      <w:r w:rsidR="00C661AC">
        <w:rPr>
          <w:noProof/>
        </w:rPr>
        <w:t>15</w:t>
      </w:r>
      <w:r w:rsidR="00E75E76">
        <w:fldChar w:fldCharType="end"/>
      </w:r>
      <w:r w:rsidRPr="00022BA7">
        <w:t xml:space="preserve">. </w:t>
      </w:r>
    </w:p>
    <w:p w14:paraId="2DD4828C" w14:textId="77777777" w:rsidR="00EA4389" w:rsidRDefault="00EA4389" w:rsidP="004F075A"/>
    <w:p w14:paraId="34755A79" w14:textId="1097E262" w:rsidR="004F075A" w:rsidRDefault="004F075A" w:rsidP="004F075A">
      <w:r w:rsidRPr="00022BA7">
        <w:t xml:space="preserve">In this study, the lifetime of </w:t>
      </w:r>
      <w:r>
        <w:t xml:space="preserve">a </w:t>
      </w:r>
      <w:r w:rsidRPr="00022BA7">
        <w:t xml:space="preserve">battery is calculated for each capacity tier, </w:t>
      </w:r>
      <m:oMath>
        <m:r>
          <w:rPr>
            <w:rFonts w:ascii="Cambria Math" w:eastAsia="Cambria Math" w:hAnsi="Cambria Math" w:cs="Cambria Math"/>
          </w:rPr>
          <m:t>pX</m:t>
        </m:r>
      </m:oMath>
      <w:r w:rsidRPr="00022BA7">
        <w:t xml:space="preserve">, of each vessel </w:t>
      </w:r>
      <m:oMath>
        <m:r>
          <w:rPr>
            <w:rFonts w:ascii="Cambria Math" w:hAnsi="Cambria Math"/>
          </w:rPr>
          <m:t>v</m:t>
        </m:r>
      </m:oMath>
      <w:r w:rsidRPr="00022BA7">
        <w:t xml:space="preserve">, because </w:t>
      </w:r>
      <w:r>
        <w:t xml:space="preserve">each has </w:t>
      </w:r>
      <w:r w:rsidRPr="00022BA7">
        <w:t>different battery size</w:t>
      </w:r>
      <w:r>
        <w:t>s</w:t>
      </w:r>
      <w:r w:rsidRPr="00022BA7">
        <w:t xml:space="preserve"> and charging and discharging schedules. </w:t>
      </w:r>
      <w:r>
        <w:t>The l</w:t>
      </w:r>
      <w:r w:rsidRPr="00022BA7">
        <w:t>ifetime of a battery</w:t>
      </w:r>
      <w:r>
        <w:t xml:space="preserve">, </w:t>
      </w:r>
      <m:oMath>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v,pX</m:t>
            </m:r>
            <m:ctrlPr>
              <w:rPr>
                <w:rFonts w:ascii="Cambria Math" w:eastAsia="Cambria Math" w:hAnsi="Cambria Math" w:cs="Cambria Math"/>
                <w:i/>
              </w:rPr>
            </m:ctrlPr>
          </m:sub>
          <m:sup>
            <m:r>
              <w:rPr>
                <w:rFonts w:ascii="Cambria Math" w:eastAsia="Cambria Math" w:hAnsi="Cambria Math" w:cs="Cambria Math"/>
              </w:rPr>
              <m:t>B</m:t>
            </m:r>
          </m:sup>
        </m:sSubSup>
      </m:oMath>
      <w:r>
        <w:t>,</w:t>
      </w:r>
      <w:r w:rsidRPr="00022BA7">
        <w:t xml:space="preserve"> for vessel </w:t>
      </w:r>
      <m:oMath>
        <m:r>
          <w:rPr>
            <w:rFonts w:ascii="Cambria Math" w:hAnsi="Cambria Math"/>
          </w:rPr>
          <m:t>v</m:t>
        </m:r>
      </m:oMath>
      <w:r w:rsidRPr="00022BA7">
        <w:t xml:space="preserve"> with capacity tier </w:t>
      </w:r>
      <m:oMath>
        <m:r>
          <w:rPr>
            <w:rFonts w:ascii="Cambria Math" w:eastAsia="Cambria Math" w:hAnsi="Cambria Math" w:cs="Cambria Math"/>
          </w:rPr>
          <m:t>pX</m:t>
        </m:r>
      </m:oMath>
      <w:r w:rsidRPr="00022BA7">
        <w:t xml:space="preserve"> is </w:t>
      </w:r>
      <w:r>
        <w:t xml:space="preserve">defined as </w:t>
      </w:r>
      <w:r w:rsidRPr="00022BA7">
        <w:t>in equation</w:t>
      </w:r>
      <w:r>
        <w:t>s</w:t>
      </w:r>
      <w:r w:rsidRPr="00022BA7">
        <w:t xml:space="preserve"> (</w:t>
      </w:r>
      <w:r>
        <w:t>22</w:t>
      </w:r>
      <w:r w:rsidRPr="00022BA7">
        <w:t xml:space="preserve">) </w:t>
      </w:r>
      <w:r>
        <w:t xml:space="preserve">and </w:t>
      </w:r>
      <w:r w:rsidRPr="00022BA7">
        <w:t>(</w:t>
      </w:r>
      <w:r>
        <w:t>23</w:t>
      </w:r>
      <w:r w:rsidRPr="00022BA7">
        <w:t>)</w:t>
      </w:r>
      <w:r>
        <w:t>:</w:t>
      </w:r>
    </w:p>
    <w:p w14:paraId="151CA03D"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76730074" w14:textId="77777777" w:rsidTr="00F95C74">
        <w:trPr>
          <w:trHeight w:val="300"/>
        </w:trPr>
        <w:tc>
          <w:tcPr>
            <w:tcW w:w="720" w:type="dxa"/>
          </w:tcPr>
          <w:p w14:paraId="063BF431" w14:textId="77777777" w:rsidR="004F075A" w:rsidRPr="00022BA7" w:rsidRDefault="004F075A" w:rsidP="00F95C74">
            <w:pPr>
              <w:rPr>
                <w:i/>
              </w:rPr>
            </w:pPr>
          </w:p>
        </w:tc>
        <w:tc>
          <w:tcPr>
            <w:tcW w:w="7920" w:type="dxa"/>
          </w:tcPr>
          <w:p w14:paraId="4513BFD6" w14:textId="77777777" w:rsidR="004F075A" w:rsidRDefault="00590C69" w:rsidP="00F95C74">
            <w:pPr>
              <w:rPr>
                <w:rFonts w:eastAsia="Malgun Gothic" w:cs="Times New Roman"/>
                <w:i/>
              </w:rPr>
            </w:pPr>
            <m:oMathPara>
              <m:oMath>
                <m:sSubSup>
                  <m:sSubSupPr>
                    <m:ctrlPr>
                      <w:rPr>
                        <w:rFonts w:ascii="Cambria Math" w:hAnsi="Cambria Math"/>
                        <w:bCs/>
                        <w:i/>
                      </w:rPr>
                    </m:ctrlPr>
                  </m:sSubSupPr>
                  <m:e>
                    <m:r>
                      <w:rPr>
                        <w:rFonts w:ascii="Cambria Math" w:hAnsi="Cambria Math"/>
                      </w:rPr>
                      <m:t>LT</m:t>
                    </m:r>
                  </m:e>
                  <m:sub>
                    <m:r>
                      <w:rPr>
                        <w:rFonts w:ascii="Cambria Math" w:hAnsi="Cambria Math"/>
                      </w:rPr>
                      <m:t>v,px</m:t>
                    </m:r>
                  </m:sub>
                  <m:sup>
                    <m:r>
                      <w:rPr>
                        <w:rFonts w:ascii="Cambria Math" w:hAnsi="Cambria Math"/>
                      </w:rPr>
                      <m:t>B</m:t>
                    </m:r>
                  </m:sup>
                </m:sSubSup>
                <m:r>
                  <w:rPr>
                    <w:rFonts w:ascii="Cambria Math" w:hAnsi="Cambria Math"/>
                  </w:rPr>
                  <m:t>∈</m:t>
                </m:r>
                <m:d>
                  <m:dPr>
                    <m:begChr m:val="{"/>
                    <m:endChr m:val="}"/>
                    <m:ctrlPr>
                      <w:rPr>
                        <w:rFonts w:ascii="Cambria Math" w:hAnsi="Cambria Math"/>
                        <w:i/>
                      </w:rPr>
                    </m:ctrlPr>
                  </m:dPr>
                  <m:e>
                    <m:r>
                      <w:rPr>
                        <w:rFonts w:ascii="Cambria Math" w:hAnsi="Cambria Math"/>
                      </w:rPr>
                      <m:t>y|SO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m:t>
                        </m:r>
                        <m:r>
                          <w:rPr>
                            <w:rFonts w:ascii="Cambria Math" w:hAnsi="Cambria Math"/>
                          </w:rPr>
                          <m:t>y</m:t>
                        </m:r>
                      </m:sub>
                    </m:sSub>
                    <m:r>
                      <w:rPr>
                        <w:rFonts w:ascii="Cambria Math" w:hAnsi="Cambria Math"/>
                      </w:rPr>
                      <m:t>= SO</m:t>
                    </m:r>
                    <m:sSup>
                      <m:sSupPr>
                        <m:ctrlPr>
                          <w:rPr>
                            <w:rFonts w:ascii="Cambria Math" w:hAnsi="Cambria Math"/>
                            <w:i/>
                          </w:rPr>
                        </m:ctrlPr>
                      </m:sSupPr>
                      <m:e>
                        <m:r>
                          <w:rPr>
                            <w:rFonts w:ascii="Cambria Math" w:hAnsi="Cambria Math"/>
                          </w:rPr>
                          <m:t>H</m:t>
                        </m:r>
                      </m:e>
                      <m:sup>
                        <m:r>
                          <w:rPr>
                            <w:rFonts w:ascii="Cambria Math" w:hAnsi="Cambria Math"/>
                          </w:rPr>
                          <m:t>EoL</m:t>
                        </m:r>
                      </m:sup>
                    </m:sSup>
                  </m:e>
                </m:d>
                <m:r>
                  <w:rPr>
                    <w:rFonts w:ascii="Cambria Math" w:hAnsi="Cambria Math"/>
                  </w:rPr>
                  <m:t xml:space="preserve"> </m:t>
                </m:r>
              </m:oMath>
            </m:oMathPara>
          </w:p>
        </w:tc>
        <w:tc>
          <w:tcPr>
            <w:tcW w:w="720" w:type="dxa"/>
          </w:tcPr>
          <w:p w14:paraId="21B34BE3" w14:textId="77777777" w:rsidR="004F075A" w:rsidRPr="00022BA7" w:rsidRDefault="004F075A" w:rsidP="00F95C74">
            <w:pPr>
              <w:jc w:val="right"/>
            </w:pPr>
            <w:r w:rsidRPr="00022BA7">
              <w:t>(</w:t>
            </w:r>
            <w:r>
              <w:t>22</w:t>
            </w:r>
            <w:r w:rsidRPr="00022BA7">
              <w:t>)</w:t>
            </w:r>
          </w:p>
        </w:tc>
      </w:tr>
      <w:tr w:rsidR="004F075A" w:rsidRPr="00022BA7" w14:paraId="3C3C2235" w14:textId="77777777" w:rsidTr="00F95C74">
        <w:trPr>
          <w:trHeight w:val="300"/>
        </w:trPr>
        <w:tc>
          <w:tcPr>
            <w:tcW w:w="720" w:type="dxa"/>
          </w:tcPr>
          <w:p w14:paraId="34E55CCD" w14:textId="77777777" w:rsidR="004F075A" w:rsidRPr="00022BA7" w:rsidRDefault="004F075A" w:rsidP="00F95C74">
            <w:pPr>
              <w:rPr>
                <w:i/>
              </w:rPr>
            </w:pPr>
          </w:p>
        </w:tc>
        <w:tc>
          <w:tcPr>
            <w:tcW w:w="7920" w:type="dxa"/>
          </w:tcPr>
          <w:p w14:paraId="5E25E549" w14:textId="77777777" w:rsidR="004F075A" w:rsidRPr="00022BA7" w:rsidRDefault="004F075A" w:rsidP="00F95C74">
            <w:pPr>
              <w:rPr>
                <w:rFonts w:eastAsia="Malgun Gothic" w:cs="Times New Roman"/>
                <w:i/>
              </w:rPr>
            </w:pPr>
            <m:oMathPara>
              <m:oMathParaPr>
                <m:jc m:val="center"/>
              </m:oMathParaPr>
              <m:oMath>
                <m:r>
                  <w:rPr>
                    <w:rFonts w:ascii="Cambria Math" w:hAnsi="Cambria Math"/>
                  </w:rPr>
                  <m:t>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m:t>
                    </m:r>
                    <m:r>
                      <w:rPr>
                        <w:rFonts w:ascii="Cambria Math" w:hAnsi="Cambria Math"/>
                      </w:rPr>
                      <m:t>y+1</m:t>
                    </m:r>
                  </m:sub>
                </m:sSub>
                <m:r>
                  <w:rPr>
                    <w:rFonts w:ascii="Cambria Math" w:hAnsi="Cambria Math"/>
                  </w:rPr>
                  <m:t>=SO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m:t>
                    </m:r>
                    <m:r>
                      <w:rPr>
                        <w:rFonts w:ascii="Cambria Math" w:hAnsi="Cambria Math"/>
                      </w:rPr>
                      <m:t>y</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eastAsia="Cambria Math" w:hAnsi="Cambria Math" w:cs="Cambria Math"/>
                      </w:rPr>
                      <m:t>v,px,y</m:t>
                    </m:r>
                  </m:sub>
                </m:sSub>
              </m:oMath>
            </m:oMathPara>
          </w:p>
        </w:tc>
        <w:tc>
          <w:tcPr>
            <w:tcW w:w="720" w:type="dxa"/>
          </w:tcPr>
          <w:p w14:paraId="6ED9FFED" w14:textId="77777777" w:rsidR="004F075A" w:rsidRPr="00022BA7" w:rsidRDefault="004F075A" w:rsidP="00F95C74">
            <w:pPr>
              <w:jc w:val="right"/>
            </w:pPr>
            <w:r w:rsidRPr="00022BA7">
              <w:t>(</w:t>
            </w:r>
            <w:r>
              <w:t>23</w:t>
            </w:r>
            <w:r w:rsidRPr="00022BA7">
              <w:t>)</w:t>
            </w:r>
          </w:p>
        </w:tc>
      </w:tr>
    </w:tbl>
    <w:p w14:paraId="69F90F83" w14:textId="77777777" w:rsidR="004F075A" w:rsidRDefault="004F075A" w:rsidP="004F075A">
      <w:pPr>
        <w:rPr>
          <w:b/>
        </w:rPr>
      </w:pPr>
    </w:p>
    <w:p w14:paraId="12D500A4" w14:textId="1E07B51E" w:rsidR="004F075A" w:rsidRDefault="004F075A" w:rsidP="004F075A">
      <w:pPr>
        <w:rPr>
          <w:iCs/>
        </w:rPr>
      </w:pPr>
      <w:r>
        <w:t xml:space="preserve">where </w:t>
      </w:r>
      <m:oMath>
        <m:r>
          <w:rPr>
            <w:rFonts w:ascii="Cambria Math" w:hAnsi="Cambria Math"/>
          </w:rPr>
          <m:t>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m:t>
            </m:r>
            <m:r>
              <w:rPr>
                <w:rFonts w:ascii="Cambria Math" w:hAnsi="Cambria Math"/>
              </w:rPr>
              <m:t>y</m:t>
            </m:r>
          </m:sub>
        </m:sSub>
      </m:oMath>
      <w:r>
        <w:t xml:space="preserve"> is state of health (SOH) of a battery, which is the capacity of the battery in year </w:t>
      </w:r>
      <m:oMath>
        <m:r>
          <w:rPr>
            <w:rFonts w:ascii="Cambria Math" w:hAnsi="Cambria Math"/>
          </w:rPr>
          <m:t>y</m:t>
        </m:r>
      </m:oMath>
      <w:r>
        <w:t xml:space="preserve"> over the initial capacity where </w:t>
      </w:r>
      <m:oMath>
        <m:r>
          <w:rPr>
            <w:rFonts w:ascii="Cambria Math" w:hAnsi="Cambria Math"/>
          </w:rPr>
          <m:t>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v,px,0</m:t>
            </m:r>
          </m:sub>
        </m:sSub>
      </m:oMath>
      <w:r>
        <w:t xml:space="preserve"> is 100%. </w:t>
      </w:r>
      <m:oMath>
        <m:sSub>
          <m:sSubPr>
            <m:ctrlPr>
              <w:rPr>
                <w:rFonts w:ascii="Cambria Math" w:eastAsia="Cambria Math" w:hAnsi="Cambria Math" w:cs="Cambria Math"/>
                <w:bCs/>
                <w:i/>
              </w:rPr>
            </m:ctrlPr>
          </m:sSubPr>
          <m:e>
            <m:r>
              <w:rPr>
                <w:rFonts w:ascii="Cambria Math" w:eastAsia="Cambria Math" w:hAnsi="Cambria Math" w:cs="Cambria Math"/>
              </w:rPr>
              <m:t>Q</m:t>
            </m:r>
          </m:e>
          <m:sub>
            <m:r>
              <w:rPr>
                <w:rFonts w:ascii="Cambria Math" w:eastAsia="Cambria Math" w:hAnsi="Cambria Math" w:cs="Cambria Math"/>
              </w:rPr>
              <m:t>v,px,y</m:t>
            </m:r>
          </m:sub>
        </m:sSub>
      </m:oMath>
      <w:r w:rsidRPr="00022BA7">
        <w:rPr>
          <w:iCs/>
        </w:rPr>
        <w:t xml:space="preserve"> is the degradation rate of battery capacity per year, which is expressed in percent per </w:t>
      </w:r>
      <w:proofErr w:type="gramStart"/>
      <w:r w:rsidRPr="00022BA7">
        <w:rPr>
          <w:iCs/>
        </w:rPr>
        <w:t>year.</w:t>
      </w:r>
      <w:proofErr w:type="gramEnd"/>
      <w:r w:rsidRPr="00022BA7">
        <w:rPr>
          <w:iCs/>
        </w:rPr>
        <w:t xml:space="preserve"> From th</w:t>
      </w:r>
      <w:r>
        <w:rPr>
          <w:iCs/>
        </w:rPr>
        <w:t>at</w:t>
      </w:r>
      <w:r w:rsidRPr="00022BA7">
        <w:rPr>
          <w:iCs/>
        </w:rPr>
        <w:t xml:space="preserve"> calculation, </w:t>
      </w:r>
      <w:r>
        <w:rPr>
          <w:iCs/>
        </w:rPr>
        <w:t xml:space="preserve">battery </w:t>
      </w:r>
      <w:r w:rsidRPr="00022BA7">
        <w:rPr>
          <w:iCs/>
        </w:rPr>
        <w:t xml:space="preserve">lifetime </w:t>
      </w:r>
      <m:oMath>
        <m:sSubSup>
          <m:sSubSupPr>
            <m:ctrlPr>
              <w:rPr>
                <w:rFonts w:ascii="Cambria Math" w:hAnsi="Cambria Math"/>
                <w:bCs/>
                <w:i/>
              </w:rPr>
            </m:ctrlPr>
          </m:sSubSupPr>
          <m:e>
            <m:r>
              <w:rPr>
                <w:rFonts w:ascii="Cambria Math" w:hAnsi="Cambria Math"/>
              </w:rPr>
              <m:t>LT</m:t>
            </m:r>
          </m:e>
          <m:sub>
            <m:r>
              <w:rPr>
                <w:rFonts w:ascii="Cambria Math" w:hAnsi="Cambria Math"/>
              </w:rPr>
              <m:t>v,px</m:t>
            </m:r>
          </m:sub>
          <m:sup>
            <m:r>
              <w:rPr>
                <w:rFonts w:ascii="Cambria Math" w:hAnsi="Cambria Math"/>
              </w:rPr>
              <m:t>B</m:t>
            </m:r>
          </m:sup>
        </m:sSubSup>
      </m:oMath>
      <w:r>
        <w:rPr>
          <w:bCs/>
        </w:rPr>
        <w:t xml:space="preserve"> </w:t>
      </w:r>
      <w:r w:rsidRPr="00022BA7">
        <w:rPr>
          <w:iCs/>
        </w:rPr>
        <w:t>is calculated</w:t>
      </w:r>
      <w:r>
        <w:rPr>
          <w:iCs/>
        </w:rPr>
        <w:t>,</w:t>
      </w:r>
      <w:r w:rsidRPr="00022BA7">
        <w:rPr>
          <w:iCs/>
        </w:rPr>
        <w:t xml:space="preserve"> </w:t>
      </w:r>
      <w:r>
        <w:rPr>
          <w:iCs/>
        </w:rPr>
        <w:t xml:space="preserve">which is the year when </w:t>
      </w:r>
      <m:oMath>
        <m:r>
          <w:rPr>
            <w:rFonts w:ascii="Cambria Math" w:hAnsi="Cambria Math"/>
          </w:rPr>
          <m:t>SO</m:t>
        </m:r>
        <m:sSub>
          <m:sSubPr>
            <m:ctrlPr>
              <w:rPr>
                <w:rFonts w:ascii="Cambria Math" w:hAnsi="Cambria Math"/>
                <w:i/>
              </w:rPr>
            </m:ctrlPr>
          </m:sSubPr>
          <m:e>
            <m:r>
              <w:rPr>
                <w:rFonts w:ascii="Cambria Math" w:hAnsi="Cambria Math"/>
              </w:rPr>
              <m:t>H</m:t>
            </m:r>
          </m:e>
          <m:sub>
            <m:r>
              <w:rPr>
                <w:rFonts w:ascii="Cambria Math" w:eastAsia="Cambria Math" w:hAnsi="Cambria Math" w:cs="Cambria Math"/>
              </w:rPr>
              <m:t>v,px,</m:t>
            </m:r>
            <m:r>
              <w:rPr>
                <w:rFonts w:ascii="Cambria Math" w:hAnsi="Cambria Math"/>
              </w:rPr>
              <m:t>y</m:t>
            </m:r>
          </m:sub>
        </m:sSub>
      </m:oMath>
      <w:r>
        <w:t xml:space="preserve"> is equal to </w:t>
      </w:r>
      <m:oMath>
        <m:r>
          <w:rPr>
            <w:rFonts w:ascii="Cambria Math" w:hAnsi="Cambria Math"/>
          </w:rPr>
          <m:t>SO</m:t>
        </m:r>
        <m:sSup>
          <m:sSupPr>
            <m:ctrlPr>
              <w:rPr>
                <w:rFonts w:ascii="Cambria Math" w:hAnsi="Cambria Math"/>
                <w:i/>
              </w:rPr>
            </m:ctrlPr>
          </m:sSupPr>
          <m:e>
            <m:r>
              <w:rPr>
                <w:rFonts w:ascii="Cambria Math" w:hAnsi="Cambria Math"/>
              </w:rPr>
              <m:t>H</m:t>
            </m:r>
          </m:e>
          <m:sup>
            <m:r>
              <w:rPr>
                <w:rFonts w:ascii="Cambria Math" w:hAnsi="Cambria Math"/>
              </w:rPr>
              <m:t>EoL</m:t>
            </m:r>
          </m:sup>
        </m:sSup>
      </m:oMath>
      <w:r>
        <w:t xml:space="preserve"> </w:t>
      </w:r>
      <w:r>
        <w:rPr>
          <w:iCs/>
        </w:rPr>
        <w:t xml:space="preserve">(i.e., SOH </w:t>
      </w:r>
      <w:r w:rsidRPr="00022BA7">
        <w:rPr>
          <w:iCs/>
        </w:rPr>
        <w:t>of battery capacity at end</w:t>
      </w:r>
      <w:r>
        <w:rPr>
          <w:iCs/>
        </w:rPr>
        <w:t>-</w:t>
      </w:r>
      <w:r w:rsidRPr="00022BA7">
        <w:rPr>
          <w:iCs/>
        </w:rPr>
        <w:t>of</w:t>
      </w:r>
      <w:r>
        <w:rPr>
          <w:iCs/>
        </w:rPr>
        <w:t>-</w:t>
      </w:r>
      <w:r w:rsidRPr="00022BA7">
        <w:rPr>
          <w:iCs/>
        </w:rPr>
        <w:t>life</w:t>
      </w:r>
      <w:r>
        <w:rPr>
          <w:iCs/>
        </w:rPr>
        <w:t>),</w:t>
      </w:r>
      <w:r w:rsidRPr="00022BA7">
        <w:rPr>
          <w:iCs/>
        </w:rPr>
        <w:t xml:space="preserve"> set a</w:t>
      </w:r>
      <w:r>
        <w:rPr>
          <w:iCs/>
        </w:rPr>
        <w:t>t</w:t>
      </w:r>
      <w:r w:rsidRPr="00022BA7">
        <w:rPr>
          <w:iCs/>
        </w:rPr>
        <w:t xml:space="preserve"> 80%. </w:t>
      </w:r>
    </w:p>
    <w:p w14:paraId="10864436" w14:textId="77777777" w:rsidR="004F075A" w:rsidRPr="00022BA7" w:rsidRDefault="004F075A" w:rsidP="004F075A">
      <w:pPr>
        <w:rPr>
          <w:iCs/>
        </w:rPr>
      </w:pPr>
    </w:p>
    <w:p w14:paraId="09F37AAD" w14:textId="28BBF001" w:rsidR="004F075A" w:rsidRPr="006F67C5" w:rsidRDefault="004F075A" w:rsidP="004F075A">
      <w:pPr>
        <w:rPr>
          <w:iCs/>
        </w:rPr>
      </w:pPr>
      <w:r w:rsidRPr="00C6191B">
        <w:rPr>
          <w:iCs/>
        </w:rPr>
        <w:t>Full Equivalent Cycles (FEC) represent</w:t>
      </w:r>
      <w:r>
        <w:rPr>
          <w:iCs/>
        </w:rPr>
        <w:t>s</w:t>
      </w:r>
      <w:r w:rsidRPr="00C6191B">
        <w:rPr>
          <w:iCs/>
        </w:rPr>
        <w:t xml:space="preserve"> the total number of cycles performed by a battery, determined by the number of full charge and discharge cycles it undergoes. A single FEC is completed when </w:t>
      </w:r>
      <w:r>
        <w:rPr>
          <w:iCs/>
        </w:rPr>
        <w:t>a</w:t>
      </w:r>
      <w:r w:rsidRPr="00C6191B">
        <w:rPr>
          <w:iCs/>
        </w:rPr>
        <w:t xml:space="preserve"> battery is fully charged from 0% to 100%</w:t>
      </w:r>
      <w:r>
        <w:rPr>
          <w:iCs/>
        </w:rPr>
        <w:t>,</w:t>
      </w:r>
      <w:r w:rsidRPr="00C6191B">
        <w:rPr>
          <w:iCs/>
        </w:rPr>
        <w:t xml:space="preserve"> and then fully discharged from 100% to 0%. </w:t>
      </w:r>
      <w:r>
        <w:rPr>
          <w:iCs/>
        </w:rPr>
        <w:t>Correspondingly, when a</w:t>
      </w:r>
      <w:r w:rsidRPr="00C6191B">
        <w:rPr>
          <w:iCs/>
        </w:rPr>
        <w:t xml:space="preserve"> battery </w:t>
      </w:r>
      <w:r>
        <w:rPr>
          <w:iCs/>
        </w:rPr>
        <w:t xml:space="preserve">charges </w:t>
      </w:r>
      <w:r w:rsidRPr="00C6191B">
        <w:rPr>
          <w:iCs/>
        </w:rPr>
        <w:t>from 10% to 90% and discharg</w:t>
      </w:r>
      <w:r>
        <w:rPr>
          <w:iCs/>
        </w:rPr>
        <w:t>es</w:t>
      </w:r>
      <w:r w:rsidRPr="00C6191B">
        <w:rPr>
          <w:iCs/>
        </w:rPr>
        <w:t xml:space="preserve"> from 90% to 10%</w:t>
      </w:r>
      <w:r>
        <w:rPr>
          <w:iCs/>
        </w:rPr>
        <w:t>, that equals 0.8</w:t>
      </w:r>
      <w:r w:rsidRPr="00C6191B">
        <w:rPr>
          <w:iCs/>
        </w:rPr>
        <w:t xml:space="preserve"> FEC. The FEC during a year an</w:t>
      </w:r>
      <w:r w:rsidRPr="006F67C5">
        <w:rPr>
          <w:iCs/>
        </w:rPr>
        <w:t>d until the end of a battery</w:t>
      </w:r>
      <w:r w:rsidR="00190F27">
        <w:rPr>
          <w:iCs/>
        </w:rPr>
        <w:t>’</w:t>
      </w:r>
      <w:r w:rsidRPr="006F67C5">
        <w:rPr>
          <w:iCs/>
        </w:rPr>
        <w:t>s life is calculated using equations (24) and (25):</w:t>
      </w:r>
    </w:p>
    <w:p w14:paraId="5CB5F505" w14:textId="77777777" w:rsidR="004F075A" w:rsidRPr="006F67C5" w:rsidRDefault="004F075A" w:rsidP="004F075A">
      <w:pPr>
        <w:rPr>
          <w:iCs/>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6F67C5" w14:paraId="2FDCD2BF" w14:textId="77777777" w:rsidTr="00F95C74">
        <w:trPr>
          <w:trHeight w:val="300"/>
        </w:trPr>
        <w:tc>
          <w:tcPr>
            <w:tcW w:w="720" w:type="dxa"/>
          </w:tcPr>
          <w:p w14:paraId="4B85A72B" w14:textId="77777777" w:rsidR="004F075A" w:rsidRPr="006F67C5" w:rsidRDefault="004F075A" w:rsidP="00F95C74">
            <w:pPr>
              <w:rPr>
                <w:i/>
              </w:rPr>
            </w:pPr>
          </w:p>
        </w:tc>
        <w:tc>
          <w:tcPr>
            <w:tcW w:w="7920" w:type="dxa"/>
          </w:tcPr>
          <w:p w14:paraId="616AFB1B" w14:textId="77777777" w:rsidR="004F075A" w:rsidRPr="006F67C5" w:rsidRDefault="00590C69" w:rsidP="00F95C74">
            <w:pPr>
              <w:rPr>
                <w:rFonts w:eastAsia="Malgun Gothic" w:cs="Times New Roman"/>
                <w:i/>
              </w:rPr>
            </w:pPr>
            <m:oMathPara>
              <m:oMathParaPr>
                <m:jc m:val="center"/>
              </m:oMathParaPr>
              <m:oMath>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y</m:t>
                    </m:r>
                  </m:sup>
                </m:sSubSup>
                <m:r>
                  <w:rPr>
                    <w:rFonts w:ascii="Cambria Math" w:hAnsi="Cambria Math"/>
                  </w:rPr>
                  <m:t>=</m:t>
                </m:r>
                <m:nary>
                  <m:naryPr>
                    <m:chr m:val="∑"/>
                    <m:limLoc m:val="undOvr"/>
                    <m:supHide m:val="1"/>
                    <m:ctrlPr>
                      <w:rPr>
                        <w:rFonts w:ascii="Cambria Math" w:eastAsiaTheme="minorHAnsi" w:hAnsi="Cambria Math" w:cs="Cambria Math"/>
                        <w:i/>
                      </w:rPr>
                    </m:ctrlPr>
                  </m:naryPr>
                  <m:sub>
                    <m:r>
                      <w:rPr>
                        <w:rFonts w:ascii="Cambria Math" w:hAnsi="Cambria Math" w:cs="Cambria Math"/>
                      </w:rPr>
                      <m:t>t</m:t>
                    </m:r>
                  </m:sub>
                  <m:sup/>
                  <m:e>
                    <m:d>
                      <m:dPr>
                        <m:ctrlPr>
                          <w:rPr>
                            <w:rFonts w:ascii="Cambria Math" w:hAnsi="Cambria Math" w:cs="Cambria Math"/>
                            <w:i/>
                            <w:iCs/>
                          </w:rPr>
                        </m:ctrlPr>
                      </m:dPr>
                      <m:e>
                        <m:r>
                          <w:rPr>
                            <w:rFonts w:ascii="Cambria Math" w:hAnsi="Cambria Math" w:cs="Cambria Math"/>
                          </w:rPr>
                          <m:t>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r>
                          <w:rPr>
                            <w:rFonts w:ascii="Cambria Math" w:hAnsi="Cambria Math" w:cs="Cambria Math"/>
                          </w:rPr>
                          <m:t>+dc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e>
                    </m:d>
                    <m:r>
                      <w:rPr>
                        <w:rFonts w:ascii="Cambria Math" w:hAnsi="Cambria Math" w:cs="Cambria Math"/>
                      </w:rPr>
                      <m:t>/12</m:t>
                    </m:r>
                  </m:e>
                </m:nary>
                <m:r>
                  <w:rPr>
                    <w:rFonts w:ascii="Cambria Math" w:hAnsi="Cambria Math"/>
                  </w:rPr>
                  <m:t>/2 /</m:t>
                </m:r>
                <m:sSubSup>
                  <m:sSubSupPr>
                    <m:ctrlPr>
                      <w:rPr>
                        <w:rFonts w:ascii="Cambria Math" w:hAnsi="Cambria Math"/>
                        <w:i/>
                      </w:rPr>
                    </m:ctrlPr>
                  </m:sSubSupPr>
                  <m:e>
                    <m:r>
                      <w:rPr>
                        <w:rFonts w:ascii="Cambria Math" w:hAnsi="Cambria Math"/>
                      </w:rPr>
                      <m:t>CAP</m:t>
                    </m:r>
                  </m:e>
                  <m:sub>
                    <m:r>
                      <w:rPr>
                        <w:rFonts w:ascii="Cambria Math" w:hAnsi="Cambria Math"/>
                      </w:rPr>
                      <m:t>v,pX</m:t>
                    </m:r>
                  </m:sub>
                  <m:sup>
                    <m:r>
                      <w:rPr>
                        <w:rFonts w:ascii="Cambria Math" w:hAnsi="Cambria Math"/>
                      </w:rPr>
                      <m:t>B</m:t>
                    </m:r>
                  </m:sup>
                </m:sSubSup>
              </m:oMath>
            </m:oMathPara>
          </w:p>
        </w:tc>
        <w:tc>
          <w:tcPr>
            <w:tcW w:w="720" w:type="dxa"/>
          </w:tcPr>
          <w:p w14:paraId="60301685" w14:textId="77777777" w:rsidR="004F075A" w:rsidRPr="006F67C5" w:rsidRDefault="004F075A" w:rsidP="00F95C74">
            <w:pPr>
              <w:jc w:val="right"/>
            </w:pPr>
            <w:r w:rsidRPr="006F67C5">
              <w:t>(24)</w:t>
            </w:r>
          </w:p>
        </w:tc>
      </w:tr>
      <w:tr w:rsidR="004F075A" w:rsidRPr="006F67C5" w14:paraId="79D98358" w14:textId="77777777" w:rsidTr="00F95C74">
        <w:trPr>
          <w:trHeight w:val="300"/>
        </w:trPr>
        <w:tc>
          <w:tcPr>
            <w:tcW w:w="720" w:type="dxa"/>
          </w:tcPr>
          <w:p w14:paraId="458DA87A" w14:textId="77777777" w:rsidR="004F075A" w:rsidRPr="006F67C5" w:rsidRDefault="004F075A" w:rsidP="00F95C74">
            <w:pPr>
              <w:rPr>
                <w:i/>
              </w:rPr>
            </w:pPr>
          </w:p>
        </w:tc>
        <w:tc>
          <w:tcPr>
            <w:tcW w:w="7920" w:type="dxa"/>
          </w:tcPr>
          <w:p w14:paraId="668527E9" w14:textId="77777777" w:rsidR="004F075A" w:rsidRPr="006F67C5" w:rsidRDefault="00590C69" w:rsidP="00F95C74">
            <w:pPr>
              <w:rPr>
                <w:rFonts w:eastAsia="Malgun Gothic" w:cs="Times New Roman"/>
                <w:bCs/>
                <w:i/>
              </w:rPr>
            </w:pPr>
            <m:oMathPara>
              <m:oMath>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EoL</m:t>
                    </m:r>
                  </m:sup>
                </m:sSubSup>
                <m:r>
                  <w:rPr>
                    <w:rFonts w:ascii="Cambria Math" w:hAnsi="Cambria Math"/>
                  </w:rPr>
                  <m:t>=</m:t>
                </m:r>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y</m:t>
                    </m:r>
                  </m:sup>
                </m:sSubSup>
                <m:r>
                  <w:rPr>
                    <w:rFonts w:ascii="Cambria Math" w:hAnsi="Cambria Math"/>
                  </w:rPr>
                  <m:t>⋅</m:t>
                </m:r>
                <m:sSubSup>
                  <m:sSubSupPr>
                    <m:ctrlPr>
                      <w:rPr>
                        <w:rFonts w:ascii="Cambria Math" w:hAnsi="Cambria Math"/>
                        <w:bCs/>
                        <w:i/>
                      </w:rPr>
                    </m:ctrlPr>
                  </m:sSubSupPr>
                  <m:e>
                    <m:r>
                      <w:rPr>
                        <w:rFonts w:ascii="Cambria Math" w:hAnsi="Cambria Math"/>
                      </w:rPr>
                      <m:t>LT</m:t>
                    </m:r>
                  </m:e>
                  <m:sub>
                    <m:r>
                      <w:rPr>
                        <w:rFonts w:ascii="Cambria Math" w:hAnsi="Cambria Math"/>
                      </w:rPr>
                      <m:t>v,px</m:t>
                    </m:r>
                  </m:sub>
                  <m:sup>
                    <m:r>
                      <w:rPr>
                        <w:rFonts w:ascii="Cambria Math" w:hAnsi="Cambria Math"/>
                      </w:rPr>
                      <m:t>B</m:t>
                    </m:r>
                  </m:sup>
                </m:sSubSup>
              </m:oMath>
            </m:oMathPara>
          </w:p>
        </w:tc>
        <w:tc>
          <w:tcPr>
            <w:tcW w:w="720" w:type="dxa"/>
          </w:tcPr>
          <w:p w14:paraId="1D58FC73" w14:textId="77777777" w:rsidR="004F075A" w:rsidRPr="006F67C5" w:rsidRDefault="004F075A" w:rsidP="00F95C74">
            <w:pPr>
              <w:jc w:val="right"/>
            </w:pPr>
            <w:r w:rsidRPr="006F67C5">
              <w:t>(25)</w:t>
            </w:r>
          </w:p>
        </w:tc>
      </w:tr>
    </w:tbl>
    <w:p w14:paraId="2890B052" w14:textId="77777777" w:rsidR="004F075A" w:rsidRPr="006F67C5" w:rsidRDefault="004F075A" w:rsidP="004F075A">
      <w:pPr>
        <w:rPr>
          <w:iCs/>
        </w:rPr>
      </w:pPr>
    </w:p>
    <w:p w14:paraId="51C8FC40" w14:textId="4CF3215E" w:rsidR="004F075A" w:rsidRDefault="004F075A" w:rsidP="004F075A">
      <w:r w:rsidRPr="006F67C5">
        <w:t xml:space="preserve">where </w:t>
      </w:r>
      <m:oMath>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y</m:t>
            </m:r>
          </m:sup>
        </m:sSubSup>
      </m:oMath>
      <w:r w:rsidRPr="006F67C5">
        <w:rPr>
          <w:bCs/>
        </w:rPr>
        <w:t xml:space="preserve"> is FEC during a year, </w:t>
      </w:r>
      <m:oMath>
        <m:r>
          <w:rPr>
            <w:rFonts w:ascii="Cambria Math" w:hAnsi="Cambria Math" w:cs="Cambria Math"/>
          </w:rPr>
          <m:t>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r>
          <w:rPr>
            <w:rFonts w:ascii="Cambria Math" w:hAnsi="Cambria Math" w:cs="Cambria Math"/>
          </w:rPr>
          <m:t xml:space="preserve"> </m:t>
        </m:r>
      </m:oMath>
      <w:r w:rsidRPr="006F67C5">
        <w:t xml:space="preserve">and </w:t>
      </w:r>
      <m:oMath>
        <m:r>
          <w:rPr>
            <w:rFonts w:ascii="Cambria Math" w:hAnsi="Cambria Math" w:cs="Cambria Math"/>
          </w:rPr>
          <m:t>dc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oMath>
      <w:r w:rsidRPr="006F67C5">
        <w:t xml:space="preserve"> are charging and discharging (in MW) with a time interval of 5 minutes, and </w:t>
      </w:r>
      <m:oMath>
        <m:sSubSup>
          <m:sSubSupPr>
            <m:ctrlPr>
              <w:rPr>
                <w:rFonts w:ascii="Cambria Math" w:hAnsi="Cambria Math"/>
                <w:i/>
              </w:rPr>
            </m:ctrlPr>
          </m:sSubSupPr>
          <m:e>
            <m:r>
              <w:rPr>
                <w:rFonts w:ascii="Cambria Math" w:hAnsi="Cambria Math"/>
              </w:rPr>
              <m:t>CAP</m:t>
            </m:r>
          </m:e>
          <m:sub>
            <m:r>
              <w:rPr>
                <w:rFonts w:ascii="Cambria Math" w:hAnsi="Cambria Math"/>
              </w:rPr>
              <m:t>v,pX</m:t>
            </m:r>
          </m:sub>
          <m:sup>
            <m:r>
              <w:rPr>
                <w:rFonts w:ascii="Cambria Math" w:hAnsi="Cambria Math"/>
              </w:rPr>
              <m:t>B</m:t>
            </m:r>
          </m:sup>
        </m:sSubSup>
      </m:oMath>
      <w:r w:rsidRPr="006F67C5">
        <w:t xml:space="preserve"> is battery capacity as determined in equation (17). The </w:t>
      </w:r>
      <w:r w:rsidRPr="006F67C5">
        <w:rPr>
          <w:bCs/>
        </w:rPr>
        <w:t>FEC until the battery</w:t>
      </w:r>
      <w:r w:rsidR="00190F27">
        <w:rPr>
          <w:bCs/>
        </w:rPr>
        <w:t>’</w:t>
      </w:r>
      <w:r w:rsidRPr="006F67C5">
        <w:rPr>
          <w:bCs/>
        </w:rPr>
        <w:t>s end of life,</w:t>
      </w:r>
      <m:oMath>
        <m:r>
          <w:rPr>
            <w:rFonts w:ascii="Cambria Math" w:hAnsi="Cambria Math"/>
          </w:rPr>
          <m:t xml:space="preserve"> </m:t>
        </m:r>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EoL</m:t>
            </m:r>
          </m:sup>
        </m:sSubSup>
      </m:oMath>
      <w:r w:rsidRPr="006F67C5">
        <w:rPr>
          <w:bCs/>
        </w:rPr>
        <w:t>, is estimated by assumi</w:t>
      </w:r>
      <w:r w:rsidRPr="009D643B">
        <w:rPr>
          <w:bCs/>
        </w:rPr>
        <w:t>ng that the FEC during a year</w:t>
      </w:r>
      <w:r>
        <w:rPr>
          <w:bCs/>
        </w:rPr>
        <w:t xml:space="preserve">, </w:t>
      </w:r>
      <m:oMath>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y</m:t>
            </m:r>
          </m:sup>
        </m:sSubSup>
      </m:oMath>
      <w:r>
        <w:rPr>
          <w:bCs/>
        </w:rPr>
        <w:t xml:space="preserve">, </w:t>
      </w:r>
      <w:r w:rsidRPr="005A220C">
        <w:rPr>
          <w:bCs/>
        </w:rPr>
        <w:t xml:space="preserve">is repeated annually until </w:t>
      </w:r>
      <w:r>
        <w:rPr>
          <w:bCs/>
        </w:rPr>
        <w:t>end of life.</w:t>
      </w:r>
    </w:p>
    <w:p w14:paraId="26820183" w14:textId="77777777" w:rsidR="004F075A" w:rsidRDefault="004F075A" w:rsidP="004F075A">
      <w:pPr>
        <w:rPr>
          <w:iCs/>
        </w:rPr>
      </w:pPr>
    </w:p>
    <w:p w14:paraId="6480C565" w14:textId="77777777" w:rsidR="004F075A" w:rsidRPr="00022BA7" w:rsidRDefault="004F075A" w:rsidP="004F075A">
      <w:pPr>
        <w:rPr>
          <w:iCs/>
        </w:rPr>
      </w:pPr>
      <w:r>
        <w:rPr>
          <w:iCs/>
        </w:rPr>
        <w:t>T</w:t>
      </w:r>
      <w:r w:rsidRPr="00022BA7">
        <w:rPr>
          <w:iCs/>
        </w:rPr>
        <w:t>he degradation rate of battery capacity per year</w:t>
      </w:r>
      <w:r>
        <w:rPr>
          <w:iCs/>
        </w:rPr>
        <w:t xml:space="preserve">, </w:t>
      </w:r>
      <m:oMath>
        <m:sSub>
          <m:sSubPr>
            <m:ctrlPr>
              <w:rPr>
                <w:rFonts w:ascii="Cambria Math" w:eastAsia="Cambria Math" w:hAnsi="Cambria Math" w:cs="Cambria Math"/>
                <w:bCs/>
                <w:i/>
              </w:rPr>
            </m:ctrlPr>
          </m:sSubPr>
          <m:e>
            <m:r>
              <w:rPr>
                <w:rFonts w:ascii="Cambria Math" w:eastAsia="Cambria Math" w:hAnsi="Cambria Math" w:cs="Cambria Math"/>
              </w:rPr>
              <m:t>Q</m:t>
            </m:r>
          </m:e>
          <m:sub>
            <m:r>
              <w:rPr>
                <w:rFonts w:ascii="Cambria Math" w:eastAsia="Cambria Math" w:hAnsi="Cambria Math" w:cs="Cambria Math"/>
              </w:rPr>
              <m:t>v,px,y</m:t>
            </m:r>
          </m:sub>
        </m:sSub>
      </m:oMath>
      <w:r>
        <w:rPr>
          <w:iCs/>
        </w:rPr>
        <w:t xml:space="preserve">, </w:t>
      </w:r>
      <w:r w:rsidRPr="00C6191B">
        <w:rPr>
          <w:iCs/>
        </w:rPr>
        <w:t xml:space="preserve">is </w:t>
      </w:r>
      <w:r>
        <w:rPr>
          <w:iCs/>
        </w:rPr>
        <w:t xml:space="preserve">the sum of calendar degradation rate per year and cycle degradation rate per year </w:t>
      </w:r>
      <w:r w:rsidRPr="00C6191B">
        <w:rPr>
          <w:iCs/>
        </w:rPr>
        <w:t>calculated using equation (</w:t>
      </w:r>
      <w:r>
        <w:rPr>
          <w:iCs/>
        </w:rPr>
        <w:t>26):</w:t>
      </w:r>
    </w:p>
    <w:p w14:paraId="3B21A67B"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AE2B89B" w14:textId="77777777" w:rsidTr="00F95C74">
        <w:trPr>
          <w:trHeight w:val="300"/>
        </w:trPr>
        <w:tc>
          <w:tcPr>
            <w:tcW w:w="720" w:type="dxa"/>
          </w:tcPr>
          <w:p w14:paraId="14FCA104" w14:textId="77777777" w:rsidR="004F075A" w:rsidRPr="00022BA7" w:rsidRDefault="004F075A" w:rsidP="00F95C74">
            <w:pPr>
              <w:rPr>
                <w:i/>
              </w:rPr>
            </w:pPr>
          </w:p>
        </w:tc>
        <w:tc>
          <w:tcPr>
            <w:tcW w:w="7920" w:type="dxa"/>
          </w:tcPr>
          <w:p w14:paraId="3AB9D23F" w14:textId="77777777" w:rsidR="004F075A" w:rsidRPr="001A40A9" w:rsidRDefault="00590C69" w:rsidP="00F95C74">
            <w:pPr>
              <w:rPr>
                <w:rFonts w:eastAsia="Malgun Gothic" w:cs="Times New Roman"/>
                <w:i/>
              </w:rPr>
            </w:pPr>
            <m:oMathPara>
              <m:oMathParaPr>
                <m:jc m:val="center"/>
              </m:oMathParaPr>
              <m:oMath>
                <m:sSub>
                  <m:sSubPr>
                    <m:ctrlPr>
                      <w:rPr>
                        <w:rFonts w:ascii="Cambria Math" w:hAnsi="Cambria Math"/>
                        <w:i/>
                      </w:rPr>
                    </m:ctrlPr>
                  </m:sSubPr>
                  <m:e>
                    <m:r>
                      <w:rPr>
                        <w:rFonts w:ascii="Cambria Math" w:hAnsi="Cambria Math"/>
                      </w:rPr>
                      <m:t>Q</m:t>
                    </m:r>
                  </m:e>
                  <m:sub>
                    <m:r>
                      <w:rPr>
                        <w:rFonts w:ascii="Cambria Math" w:eastAsia="Cambria Math" w:hAnsi="Cambria Math" w:cs="Cambria Math"/>
                      </w:rPr>
                      <m:t>v,px,y</m:t>
                    </m:r>
                  </m:sub>
                </m:sSub>
                <m:r>
                  <w:rPr>
                    <w:rFonts w:ascii="Cambria Math" w:hAnsi="Cambria Math"/>
                  </w:rPr>
                  <m:t>=</m:t>
                </m:r>
                <m:nary>
                  <m:naryPr>
                    <m:chr m:val="∑"/>
                    <m:limLoc m:val="undOvr"/>
                    <m:supHide m:val="1"/>
                    <m:ctrlPr>
                      <w:rPr>
                        <w:rFonts w:ascii="Cambria Math" w:hAnsi="Cambria Math"/>
                        <w:bCs/>
                        <w:i/>
                      </w:rPr>
                    </m:ctrlPr>
                  </m:naryPr>
                  <m:sub>
                    <m:r>
                      <w:rPr>
                        <w:rFonts w:ascii="Cambria Math" w:hAnsi="Cambria Math"/>
                      </w:rPr>
                      <m:t>d</m:t>
                    </m:r>
                  </m:sub>
                  <m:sup/>
                  <m:e>
                    <m:sSubSup>
                      <m:sSubSupPr>
                        <m:ctrlPr>
                          <w:rPr>
                            <w:rFonts w:ascii="Cambria Math" w:hAnsi="Cambria Math"/>
                            <w:bCs/>
                            <w:i/>
                          </w:rPr>
                        </m:ctrlPr>
                      </m:sSubSupPr>
                      <m:e>
                        <m:r>
                          <w:rPr>
                            <w:rFonts w:ascii="Cambria Math" w:hAnsi="Cambria Math"/>
                          </w:rPr>
                          <m:t>Q</m:t>
                        </m:r>
                      </m:e>
                      <m:sub>
                        <m:r>
                          <w:rPr>
                            <w:rFonts w:ascii="Cambria Math" w:hAnsi="Cambria Math"/>
                          </w:rPr>
                          <m:t>d,v</m:t>
                        </m:r>
                        <m:r>
                          <w:rPr>
                            <w:rFonts w:ascii="Cambria Math" w:eastAsia="Cambria Math" w:hAnsi="Cambria Math" w:cs="Cambria Math"/>
                          </w:rPr>
                          <m:t>,px</m:t>
                        </m:r>
                      </m:sub>
                      <m:sup>
                        <m:r>
                          <w:rPr>
                            <w:rFonts w:ascii="Cambria Math" w:hAnsi="Cambria Math"/>
                          </w:rPr>
                          <m:t>Cal</m:t>
                        </m:r>
                      </m:sup>
                    </m:sSubSup>
                  </m:e>
                </m:nary>
                <m:r>
                  <w:rPr>
                    <w:rFonts w:ascii="Cambria Math" w:hAnsi="Cambria Math"/>
                  </w:rPr>
                  <m:t>+</m:t>
                </m:r>
                <m:sSubSup>
                  <m:sSubSupPr>
                    <m:ctrlPr>
                      <w:rPr>
                        <w:rFonts w:ascii="Cambria Math" w:hAnsi="Cambria Math"/>
                        <w:bCs/>
                        <w:i/>
                      </w:rPr>
                    </m:ctrlPr>
                  </m:sSubSupPr>
                  <m:e>
                    <m:r>
                      <w:rPr>
                        <w:rFonts w:ascii="Cambria Math" w:hAnsi="Cambria Math"/>
                      </w:rPr>
                      <m:t>Q</m:t>
                    </m:r>
                  </m:e>
                  <m:sub>
                    <m:r>
                      <w:rPr>
                        <w:rFonts w:ascii="Cambria Math" w:hAnsi="Cambria Math"/>
                      </w:rPr>
                      <m:t>v</m:t>
                    </m:r>
                    <m:r>
                      <w:rPr>
                        <w:rFonts w:ascii="Cambria Math" w:eastAsia="Cambria Math" w:hAnsi="Cambria Math" w:cs="Cambria Math"/>
                      </w:rPr>
                      <m:t>,px</m:t>
                    </m:r>
                  </m:sub>
                  <m:sup>
                    <m:r>
                      <w:rPr>
                        <w:rFonts w:ascii="Cambria Math" w:hAnsi="Cambria Math"/>
                      </w:rPr>
                      <m:t>Cyc</m:t>
                    </m:r>
                  </m:sup>
                </m:sSubSup>
                <m:r>
                  <w:rPr>
                    <w:rFonts w:ascii="Cambria Math" w:hAnsi="Cambria Math"/>
                  </w:rPr>
                  <m:t>⋅</m:t>
                </m:r>
                <m:sSubSup>
                  <m:sSubSupPr>
                    <m:ctrlPr>
                      <w:rPr>
                        <w:rFonts w:ascii="Cambria Math" w:hAnsi="Cambria Math"/>
                        <w:i/>
                      </w:rPr>
                    </m:ctrlPr>
                  </m:sSubSupPr>
                  <m:e>
                    <m:r>
                      <w:rPr>
                        <w:rFonts w:ascii="Cambria Math" w:hAnsi="Cambria Math"/>
                      </w:rPr>
                      <m:t>FEC</m:t>
                    </m:r>
                  </m:e>
                  <m:sub>
                    <m:r>
                      <w:rPr>
                        <w:rFonts w:ascii="Cambria Math" w:hAnsi="Cambria Math"/>
                      </w:rPr>
                      <m:t>v,pX</m:t>
                    </m:r>
                  </m:sub>
                  <m:sup>
                    <m:r>
                      <w:rPr>
                        <w:rFonts w:ascii="Cambria Math" w:hAnsi="Cambria Math"/>
                      </w:rPr>
                      <m:t>y</m:t>
                    </m:r>
                  </m:sup>
                </m:sSubSup>
              </m:oMath>
            </m:oMathPara>
          </w:p>
        </w:tc>
        <w:tc>
          <w:tcPr>
            <w:tcW w:w="720" w:type="dxa"/>
          </w:tcPr>
          <w:p w14:paraId="05C392C8" w14:textId="77777777" w:rsidR="004F075A" w:rsidRPr="00022BA7" w:rsidRDefault="004F075A" w:rsidP="00F95C74">
            <w:pPr>
              <w:jc w:val="right"/>
            </w:pPr>
            <w:r w:rsidRPr="00022BA7">
              <w:t>(</w:t>
            </w:r>
            <w:r>
              <w:t>26</w:t>
            </w:r>
            <w:r w:rsidRPr="00022BA7">
              <w:t>)</w:t>
            </w:r>
          </w:p>
        </w:tc>
      </w:tr>
    </w:tbl>
    <w:p w14:paraId="26D0E3C2" w14:textId="77777777" w:rsidR="004F075A" w:rsidRPr="00022BA7" w:rsidRDefault="004F075A" w:rsidP="004F075A"/>
    <w:p w14:paraId="36BE4DF6" w14:textId="77777777" w:rsidR="004F075A" w:rsidRPr="00022BA7" w:rsidRDefault="004F075A" w:rsidP="004F075A">
      <w:r w:rsidRPr="00022BA7">
        <w:t xml:space="preserve">where </w:t>
      </w:r>
      <m:oMath>
        <m:sSubSup>
          <m:sSubSupPr>
            <m:ctrlPr>
              <w:rPr>
                <w:rFonts w:ascii="Cambria Math" w:hAnsi="Cambria Math"/>
                <w:bCs/>
                <w:i/>
              </w:rPr>
            </m:ctrlPr>
          </m:sSubSupPr>
          <m:e>
            <m:r>
              <w:rPr>
                <w:rFonts w:ascii="Cambria Math" w:hAnsi="Cambria Math"/>
              </w:rPr>
              <m:t>Q</m:t>
            </m:r>
          </m:e>
          <m:sub>
            <m:r>
              <w:rPr>
                <w:rFonts w:ascii="Cambria Math" w:hAnsi="Cambria Math"/>
              </w:rPr>
              <m:t>d,v</m:t>
            </m:r>
            <m:r>
              <w:rPr>
                <w:rFonts w:ascii="Cambria Math" w:eastAsia="Cambria Math" w:hAnsi="Cambria Math" w:cs="Cambria Math"/>
              </w:rPr>
              <m:t>,px</m:t>
            </m:r>
          </m:sub>
          <m:sup>
            <m:r>
              <w:rPr>
                <w:rFonts w:ascii="Cambria Math" w:hAnsi="Cambria Math"/>
              </w:rPr>
              <m:t>Cal</m:t>
            </m:r>
          </m:sup>
        </m:sSubSup>
      </m:oMath>
      <w:r w:rsidRPr="00022BA7">
        <w:rPr>
          <w:iCs/>
        </w:rPr>
        <w:t xml:space="preserve"> is the calendar degradation rate in percentage </w:t>
      </w:r>
      <w:r>
        <w:rPr>
          <w:iCs/>
        </w:rPr>
        <w:t xml:space="preserve">per day, </w:t>
      </w:r>
      <m:oMath>
        <m:r>
          <w:rPr>
            <w:rFonts w:ascii="Cambria Math" w:hAnsi="Cambria Math"/>
          </w:rPr>
          <m:t>d</m:t>
        </m:r>
      </m:oMath>
      <w:r>
        <w:t xml:space="preserve"> refers to each day</w:t>
      </w:r>
      <w:r w:rsidRPr="00022BA7">
        <w:rPr>
          <w:iCs/>
        </w:rPr>
        <w:t>,</w:t>
      </w:r>
      <w:r>
        <w:rPr>
          <w:iCs/>
        </w:rPr>
        <w:t xml:space="preserve"> and</w:t>
      </w:r>
      <w:r w:rsidRPr="00022BA7">
        <w:rPr>
          <w:iCs/>
        </w:rPr>
        <w:t xml:space="preserve"> </w:t>
      </w:r>
      <m:oMath>
        <m:sSubSup>
          <m:sSubSupPr>
            <m:ctrlPr>
              <w:rPr>
                <w:rFonts w:ascii="Cambria Math" w:hAnsi="Cambria Math"/>
                <w:bCs/>
                <w:i/>
              </w:rPr>
            </m:ctrlPr>
          </m:sSubSupPr>
          <m:e>
            <m:r>
              <w:rPr>
                <w:rFonts w:ascii="Cambria Math" w:hAnsi="Cambria Math"/>
              </w:rPr>
              <m:t>Q</m:t>
            </m:r>
          </m:e>
          <m:sub>
            <m:r>
              <w:rPr>
                <w:rFonts w:ascii="Cambria Math" w:hAnsi="Cambria Math"/>
              </w:rPr>
              <m:t>v</m:t>
            </m:r>
            <m:r>
              <w:rPr>
                <w:rFonts w:ascii="Cambria Math" w:eastAsia="Cambria Math" w:hAnsi="Cambria Math" w:cs="Cambria Math"/>
              </w:rPr>
              <m:t>,px</m:t>
            </m:r>
          </m:sub>
          <m:sup>
            <m:r>
              <w:rPr>
                <w:rFonts w:ascii="Cambria Math" w:hAnsi="Cambria Math"/>
              </w:rPr>
              <m:t>Cyc</m:t>
            </m:r>
          </m:sup>
        </m:sSubSup>
      </m:oMath>
      <w:r w:rsidRPr="00022BA7">
        <w:rPr>
          <w:iCs/>
        </w:rPr>
        <w:t xml:space="preserve"> is the cycle degradation rate in percent per FEC. </w:t>
      </w:r>
    </w:p>
    <w:p w14:paraId="3DC1B0F5" w14:textId="77777777" w:rsidR="004F075A" w:rsidRPr="00022BA7" w:rsidRDefault="004F075A" w:rsidP="004F075A"/>
    <w:p w14:paraId="4AAE71A2" w14:textId="77777777" w:rsidR="004F075A" w:rsidRPr="00022BA7" w:rsidRDefault="004F075A">
      <w:pPr>
        <w:pStyle w:val="Heading3"/>
      </w:pPr>
      <w:r w:rsidRPr="00022BA7">
        <w:t>Calendar Degradation Rate</w:t>
      </w:r>
    </w:p>
    <w:p w14:paraId="214A2A65" w14:textId="15A286FF" w:rsidR="004F075A" w:rsidRPr="00022BA7" w:rsidRDefault="004F075A" w:rsidP="004F075A">
      <w:r w:rsidRPr="00022BA7">
        <w:t>Calendar degradation rate</w:t>
      </w:r>
      <m:oMath>
        <m:r>
          <w:rPr>
            <w:rFonts w:ascii="Cambria Math" w:hAnsi="Cambria Math"/>
          </w:rPr>
          <m:t xml:space="preserve">, </m:t>
        </m:r>
        <m:sSubSup>
          <m:sSubSupPr>
            <m:ctrlPr>
              <w:rPr>
                <w:rFonts w:ascii="Cambria Math" w:hAnsi="Cambria Math"/>
                <w:bCs/>
                <w:i/>
              </w:rPr>
            </m:ctrlPr>
          </m:sSubSupPr>
          <m:e>
            <m:r>
              <w:rPr>
                <w:rFonts w:ascii="Cambria Math" w:hAnsi="Cambria Math"/>
              </w:rPr>
              <m:t>Q</m:t>
            </m:r>
          </m:e>
          <m:sub>
            <m:r>
              <w:rPr>
                <w:rFonts w:ascii="Cambria Math" w:hAnsi="Cambria Math"/>
              </w:rPr>
              <m:t>d,v</m:t>
            </m:r>
            <m:r>
              <w:rPr>
                <w:rFonts w:ascii="Cambria Math" w:eastAsia="Cambria Math" w:hAnsi="Cambria Math" w:cs="Cambria Math"/>
              </w:rPr>
              <m:t>,px</m:t>
            </m:r>
          </m:sub>
          <m:sup>
            <m:r>
              <w:rPr>
                <w:rFonts w:ascii="Cambria Math" w:hAnsi="Cambria Math"/>
              </w:rPr>
              <m:t>Cal</m:t>
            </m:r>
          </m:sup>
        </m:sSubSup>
      </m:oMath>
      <w:r w:rsidRPr="00022BA7">
        <w:t xml:space="preserve">, is a measure of the rate of loss of energy capacity per day due to aging. This rate is influenced by </w:t>
      </w:r>
      <w:r>
        <w:t xml:space="preserve">the </w:t>
      </w:r>
      <w:r w:rsidRPr="00022BA7">
        <w:t>average state of charge</w:t>
      </w:r>
      <m:oMath>
        <m:r>
          <w:rPr>
            <w:rFonts w:ascii="Cambria Math" w:hAnsi="Cambria Math"/>
          </w:rPr>
          <m:t>,</m:t>
        </m:r>
        <m:r>
          <w:rPr>
            <w:rFonts w:ascii="Cambria Math" w:hAnsi="Cambria Math" w:cs="Cambria Math"/>
          </w:rPr>
          <m:t>SO</m:t>
        </m:r>
        <m:sSubSup>
          <m:sSubSupPr>
            <m:ctrlPr>
              <w:rPr>
                <w:rFonts w:ascii="Cambria Math" w:hAnsi="Cambria Math" w:cs="Cambria Math"/>
                <w:i/>
              </w:rPr>
            </m:ctrlPr>
          </m:sSubSupPr>
          <m:e>
            <m:r>
              <w:rPr>
                <w:rFonts w:ascii="Cambria Math" w:hAnsi="Cambria Math" w:cs="Cambria Math"/>
              </w:rPr>
              <m:t>C</m:t>
            </m:r>
          </m:e>
          <m:sub>
            <m:r>
              <w:rPr>
                <w:rFonts w:ascii="Cambria Math" w:hAnsi="Cambria Math" w:cs="Cambria Math"/>
              </w:rPr>
              <m:t>v,px</m:t>
            </m:r>
          </m:sub>
          <m:sup>
            <m:r>
              <w:rPr>
                <w:rFonts w:ascii="Cambria Math" w:hAnsi="Cambria Math" w:cs="Cambria Math"/>
              </w:rPr>
              <m:t>m</m:t>
            </m:r>
          </m:sup>
        </m:sSubSup>
      </m:oMath>
      <w:r w:rsidRPr="00022BA7">
        <w:t>, with higher average SOC leading to higher degradation rates. Calendar degradation rates decrease over time, as shown in equations (</w:t>
      </w:r>
      <w:r>
        <w:t>27</w:t>
      </w:r>
      <w:r w:rsidRPr="00022BA7">
        <w:t>) and (</w:t>
      </w:r>
      <w:r>
        <w:t>28</w:t>
      </w:r>
      <w:r w:rsidRPr="00022BA7">
        <w:t>)</w:t>
      </w:r>
      <w:r w:rsidR="00753019">
        <w:fldChar w:fldCharType="begin"/>
      </w:r>
      <w:r w:rsidR="00C61E16">
        <w:instrText xml:space="preserve"> ADDIN ZOTERO_ITEM CSL_CITATION {"citationID":"oUfPkRb4","properties":{"formattedCitation":"\\super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753019">
        <w:fldChar w:fldCharType="separate"/>
      </w:r>
      <w:r w:rsidR="00C61E16" w:rsidRPr="00C61E16">
        <w:rPr>
          <w:rFonts w:cs="Times New Roman"/>
          <w:szCs w:val="24"/>
          <w:vertAlign w:val="superscript"/>
        </w:rPr>
        <w:t>17</w:t>
      </w:r>
      <w:r w:rsidR="00753019">
        <w:fldChar w:fldCharType="end"/>
      </w:r>
      <w:r>
        <w:t>:</w:t>
      </w:r>
    </w:p>
    <w:p w14:paraId="354936AA"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650BDFC" w14:textId="77777777" w:rsidTr="00F95C74">
        <w:trPr>
          <w:trHeight w:val="300"/>
        </w:trPr>
        <w:tc>
          <w:tcPr>
            <w:tcW w:w="720" w:type="dxa"/>
          </w:tcPr>
          <w:p w14:paraId="54C2E6A8" w14:textId="77777777" w:rsidR="004F075A" w:rsidRPr="00022BA7" w:rsidRDefault="004F075A" w:rsidP="00F95C74">
            <w:pPr>
              <w:rPr>
                <w:i/>
              </w:rPr>
            </w:pPr>
          </w:p>
        </w:tc>
        <w:tc>
          <w:tcPr>
            <w:tcW w:w="7920" w:type="dxa"/>
          </w:tcPr>
          <w:p w14:paraId="54179F22"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cs="Cambria Math"/>
                        <w:i/>
                      </w:rPr>
                    </m:ctrlPr>
                  </m:sSubSupPr>
                  <m:e>
                    <m:r>
                      <w:rPr>
                        <w:rFonts w:ascii="Cambria Math" w:hAnsi="Cambria Math" w:cs="Cambria Math"/>
                      </w:rPr>
                      <m:t>Q</m:t>
                    </m:r>
                  </m:e>
                  <m:sub>
                    <m:r>
                      <w:rPr>
                        <w:rFonts w:ascii="Cambria Math" w:hAnsi="Cambria Math" w:cs="Cambria Math"/>
                      </w:rPr>
                      <m:t>d,v,px</m:t>
                    </m:r>
                  </m:sub>
                  <m:sup>
                    <m:r>
                      <w:rPr>
                        <w:rFonts w:ascii="Cambria Math" w:hAnsi="Cambria Math" w:cs="Cambria Math"/>
                      </w:rPr>
                      <m:t>Cal</m:t>
                    </m:r>
                  </m:sup>
                </m:sSubSup>
                <m:r>
                  <w:rPr>
                    <w:rFonts w:ascii="Cambria Math" w:hAnsi="Cambria Math" w:cs="Cambria Math"/>
                  </w:rPr>
                  <m:t>=</m:t>
                </m:r>
                <m:sSub>
                  <m:sSubPr>
                    <m:ctrlPr>
                      <w:rPr>
                        <w:rFonts w:ascii="Cambria Math" w:hAnsi="Cambria Math" w:cs="Cambria Math"/>
                        <w:i/>
                      </w:rPr>
                    </m:ctrlPr>
                  </m:sSubPr>
                  <m:e>
                    <m:r>
                      <w:rPr>
                        <w:rFonts w:ascii="Cambria Math" w:hAnsi="Cambria Math" w:cs="Cambria Math"/>
                      </w:rPr>
                      <m:t>Q</m:t>
                    </m:r>
                  </m:e>
                  <m:sub>
                    <m:r>
                      <w:rPr>
                        <w:rFonts w:ascii="Cambria Math" w:hAnsi="Cambria Math" w:cs="Cambria Math"/>
                      </w:rPr>
                      <m:t>v,px</m:t>
                    </m:r>
                  </m:sub>
                </m:sSub>
                <m:r>
                  <w:rPr>
                    <w:rFonts w:ascii="Cambria Math" w:hAnsi="Cambria Math" w:cs="Cambria Math"/>
                  </w:rPr>
                  <m:t>⋅</m:t>
                </m:r>
                <m:sSup>
                  <m:sSupPr>
                    <m:ctrlPr>
                      <w:rPr>
                        <w:rFonts w:ascii="Cambria Math" w:hAnsi="Cambria Math" w:cs="Cambria Math"/>
                        <w:i/>
                      </w:rPr>
                    </m:ctrlPr>
                  </m:sSupPr>
                  <m:e>
                    <m:r>
                      <w:rPr>
                        <w:rFonts w:ascii="Cambria Math" w:hAnsi="Cambria Math" w:cs="Cambria Math"/>
                      </w:rPr>
                      <m:t>d</m:t>
                    </m:r>
                  </m:e>
                  <m:sup>
                    <m:r>
                      <w:rPr>
                        <w:rFonts w:ascii="Cambria Math" w:hAnsi="Cambria Math" w:cs="Cambria Math"/>
                      </w:rPr>
                      <m:t>-0.5</m:t>
                    </m:r>
                  </m:sup>
                </m:sSup>
              </m:oMath>
            </m:oMathPara>
          </w:p>
        </w:tc>
        <w:tc>
          <w:tcPr>
            <w:tcW w:w="720" w:type="dxa"/>
          </w:tcPr>
          <w:p w14:paraId="2940CEF8" w14:textId="77777777" w:rsidR="004F075A" w:rsidRPr="00022BA7" w:rsidRDefault="004F075A" w:rsidP="00F95C74">
            <w:pPr>
              <w:jc w:val="right"/>
            </w:pPr>
            <w:r w:rsidRPr="00022BA7">
              <w:t>(</w:t>
            </w:r>
            <w:r>
              <w:t>27</w:t>
            </w:r>
            <w:r w:rsidRPr="00022BA7">
              <w:t>)</w:t>
            </w:r>
          </w:p>
        </w:tc>
      </w:tr>
      <w:tr w:rsidR="004F075A" w:rsidRPr="00022BA7" w14:paraId="750B972E" w14:textId="77777777" w:rsidTr="00F95C74">
        <w:trPr>
          <w:trHeight w:val="300"/>
        </w:trPr>
        <w:tc>
          <w:tcPr>
            <w:tcW w:w="720" w:type="dxa"/>
          </w:tcPr>
          <w:p w14:paraId="529547BC" w14:textId="77777777" w:rsidR="004F075A" w:rsidRPr="00022BA7" w:rsidRDefault="004F075A" w:rsidP="00F95C74">
            <w:pPr>
              <w:rPr>
                <w:i/>
              </w:rPr>
            </w:pPr>
          </w:p>
        </w:tc>
        <w:tc>
          <w:tcPr>
            <w:tcW w:w="7920" w:type="dxa"/>
          </w:tcPr>
          <w:p w14:paraId="43EDD34F" w14:textId="77777777" w:rsidR="004F075A" w:rsidRPr="00022BA7" w:rsidRDefault="00590C69" w:rsidP="00F95C74">
            <w:pPr>
              <w:rPr>
                <w:i/>
              </w:rPr>
            </w:pPr>
            <m:oMathPara>
              <m:oMath>
                <m:sSub>
                  <m:sSubPr>
                    <m:ctrlPr>
                      <w:rPr>
                        <w:rFonts w:ascii="Cambria Math" w:hAnsi="Cambria Math" w:cs="Cambria Math"/>
                        <w:i/>
                      </w:rPr>
                    </m:ctrlPr>
                  </m:sSubPr>
                  <m:e>
                    <m:r>
                      <w:rPr>
                        <w:rFonts w:ascii="Cambria Math" w:hAnsi="Cambria Math" w:cs="Cambria Math"/>
                      </w:rPr>
                      <m:t>Q</m:t>
                    </m:r>
                  </m:e>
                  <m:sub>
                    <m:r>
                      <w:rPr>
                        <w:rFonts w:ascii="Cambria Math" w:hAnsi="Cambria Math" w:cs="Cambria Math"/>
                      </w:rPr>
                      <m:t>v,px</m:t>
                    </m:r>
                  </m:sub>
                </m:sSub>
                <m:r>
                  <w:rPr>
                    <w:rFonts w:ascii="Cambria Math" w:hAnsi="Cambria Math" w:cs="Cambria Math"/>
                  </w:rPr>
                  <m:t>=</m:t>
                </m:r>
                <m:d>
                  <m:dPr>
                    <m:begChr m:val="{"/>
                    <m:endChr m:val=""/>
                    <m:ctrlPr>
                      <w:rPr>
                        <w:rFonts w:ascii="Cambria Math" w:hAnsi="Cambria Math" w:cs="Cambria Math"/>
                        <w:i/>
                      </w:rPr>
                    </m:ctrlPr>
                  </m:dPr>
                  <m:e>
                    <m:eqArr>
                      <m:eqArrPr>
                        <m:ctrlPr>
                          <w:rPr>
                            <w:rFonts w:ascii="Cambria Math" w:hAnsi="Cambria Math" w:cs="Cambria Math"/>
                            <w:i/>
                          </w:rPr>
                        </m:ctrlPr>
                      </m:eqArrPr>
                      <m:e>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1</m:t>
                            </m:r>
                          </m:sub>
                        </m:sSub>
                        <m:r>
                          <w:rPr>
                            <w:rFonts w:ascii="Cambria Math" w:hAnsi="Cambria Math" w:cs="Cambria Math"/>
                          </w:rPr>
                          <m:t>⋅</m:t>
                        </m:r>
                        <m:d>
                          <m:dPr>
                            <m:ctrlPr>
                              <w:rPr>
                                <w:rFonts w:ascii="Cambria Math" w:hAnsi="Cambria Math" w:cs="Cambria Math"/>
                                <w:i/>
                              </w:rPr>
                            </m:ctrlPr>
                          </m:dPr>
                          <m:e>
                            <m:r>
                              <w:rPr>
                                <w:rFonts w:ascii="Cambria Math" w:hAnsi="Cambria Math" w:cs="Cambria Math"/>
                              </w:rPr>
                              <m:t>SO</m:t>
                            </m:r>
                            <m:sSubSup>
                              <m:sSubSupPr>
                                <m:ctrlPr>
                                  <w:rPr>
                                    <w:rFonts w:ascii="Cambria Math" w:hAnsi="Cambria Math" w:cs="Cambria Math"/>
                                    <w:i/>
                                  </w:rPr>
                                </m:ctrlPr>
                              </m:sSubSupPr>
                              <m:e>
                                <m:r>
                                  <w:rPr>
                                    <w:rFonts w:ascii="Cambria Math" w:hAnsi="Cambria Math" w:cs="Cambria Math"/>
                                  </w:rPr>
                                  <m:t>C</m:t>
                                </m:r>
                              </m:e>
                              <m:sub>
                                <m:r>
                                  <w:rPr>
                                    <w:rFonts w:ascii="Cambria Math" w:hAnsi="Cambria Math" w:cs="Cambria Math"/>
                                  </w:rPr>
                                  <m:t>v,px</m:t>
                                </m:r>
                              </m:sub>
                              <m:sup>
                                <m:r>
                                  <w:rPr>
                                    <w:rFonts w:ascii="Cambria Math" w:hAnsi="Cambria Math" w:cs="Cambria Math"/>
                                  </w:rPr>
                                  <m:t>m</m:t>
                                </m:r>
                              </m:sup>
                            </m:sSubSup>
                            <m:r>
                              <w:rPr>
                                <w:rFonts w:ascii="Cambria Math" w:hAnsi="Cambria Math" w:cs="Cambria Math"/>
                              </w:rPr>
                              <m:t>-SO</m:t>
                            </m:r>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e>
                        </m:d>
                        <m:r>
                          <w:rPr>
                            <w:rFonts w:ascii="Cambria Math" w:hAnsi="Cambria Math" w:cs="Cambria Math"/>
                          </w:rPr>
                          <m:t>,&amp;if SO</m:t>
                        </m:r>
                        <m:sSubSup>
                          <m:sSubSupPr>
                            <m:ctrlPr>
                              <w:rPr>
                                <w:rFonts w:ascii="Cambria Math" w:hAnsi="Cambria Math" w:cs="Cambria Math"/>
                                <w:i/>
                              </w:rPr>
                            </m:ctrlPr>
                          </m:sSubSupPr>
                          <m:e>
                            <m:r>
                              <w:rPr>
                                <w:rFonts w:ascii="Cambria Math" w:hAnsi="Cambria Math" w:cs="Cambria Math"/>
                              </w:rPr>
                              <m:t>C</m:t>
                            </m:r>
                          </m:e>
                          <m:sub>
                            <m:r>
                              <w:rPr>
                                <w:rFonts w:ascii="Cambria Math" w:hAnsi="Cambria Math" w:cs="Cambria Math"/>
                              </w:rPr>
                              <m:t>v,px</m:t>
                            </m:r>
                          </m:sub>
                          <m:sup>
                            <m:r>
                              <w:rPr>
                                <w:rFonts w:ascii="Cambria Math" w:hAnsi="Cambria Math" w:cs="Cambria Math"/>
                              </w:rPr>
                              <m:t>m</m:t>
                            </m:r>
                          </m:sup>
                        </m:sSubSup>
                        <m:r>
                          <w:rPr>
                            <w:rFonts w:ascii="Cambria Math" w:hAnsi="Cambria Math" w:cs="Cambria Math"/>
                          </w:rPr>
                          <m:t>&gt;65%</m:t>
                        </m:r>
                      </m:e>
                      <m:e>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2</m:t>
                            </m:r>
                          </m:sub>
                        </m:sSub>
                        <m:r>
                          <w:rPr>
                            <w:rFonts w:ascii="Cambria Math" w:hAnsi="Cambria Math" w:cs="Cambria Math"/>
                          </w:rPr>
                          <m:t>⋅</m:t>
                        </m:r>
                        <m:d>
                          <m:dPr>
                            <m:ctrlPr>
                              <w:rPr>
                                <w:rFonts w:ascii="Cambria Math" w:hAnsi="Cambria Math" w:cs="Cambria Math"/>
                                <w:i/>
                              </w:rPr>
                            </m:ctrlPr>
                          </m:dPr>
                          <m:e>
                            <m:r>
                              <w:rPr>
                                <w:rFonts w:ascii="Cambria Math" w:hAnsi="Cambria Math" w:cs="Cambria Math"/>
                              </w:rPr>
                              <m:t>SO</m:t>
                            </m:r>
                            <m:sSubSup>
                              <m:sSubSupPr>
                                <m:ctrlPr>
                                  <w:rPr>
                                    <w:rFonts w:ascii="Cambria Math" w:hAnsi="Cambria Math" w:cs="Cambria Math"/>
                                    <w:i/>
                                  </w:rPr>
                                </m:ctrlPr>
                              </m:sSubSupPr>
                              <m:e>
                                <m:r>
                                  <w:rPr>
                                    <w:rFonts w:ascii="Cambria Math" w:hAnsi="Cambria Math" w:cs="Cambria Math"/>
                                  </w:rPr>
                                  <m:t>C</m:t>
                                </m:r>
                              </m:e>
                              <m:sub>
                                <m:r>
                                  <w:rPr>
                                    <w:rFonts w:ascii="Cambria Math" w:hAnsi="Cambria Math" w:cs="Cambria Math"/>
                                  </w:rPr>
                                  <m:t>v,px</m:t>
                                </m:r>
                              </m:sub>
                              <m:sup>
                                <m:r>
                                  <w:rPr>
                                    <w:rFonts w:ascii="Cambria Math" w:hAnsi="Cambria Math" w:cs="Cambria Math"/>
                                  </w:rPr>
                                  <m:t>m</m:t>
                                </m:r>
                              </m:sup>
                            </m:sSubSup>
                            <m:r>
                              <w:rPr>
                                <w:rFonts w:ascii="Cambria Math" w:hAnsi="Cambria Math" w:cs="Cambria Math"/>
                              </w:rPr>
                              <m:t>-SO</m:t>
                            </m:r>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e>
                        </m:d>
                        <m:r>
                          <w:rPr>
                            <w:rFonts w:ascii="Cambria Math" w:hAnsi="Cambria Math" w:cs="Cambria Math"/>
                          </w:rPr>
                          <m:t>,&amp;else</m:t>
                        </m:r>
                      </m:e>
                    </m:eqArr>
                  </m:e>
                </m:d>
              </m:oMath>
            </m:oMathPara>
          </w:p>
        </w:tc>
        <w:tc>
          <w:tcPr>
            <w:tcW w:w="720" w:type="dxa"/>
          </w:tcPr>
          <w:p w14:paraId="15D059A4" w14:textId="77777777" w:rsidR="004F075A" w:rsidRPr="00022BA7" w:rsidRDefault="004F075A" w:rsidP="00F95C74">
            <w:pPr>
              <w:jc w:val="right"/>
            </w:pPr>
            <w:r w:rsidRPr="00022BA7">
              <w:t>(</w:t>
            </w:r>
            <w:r>
              <w:t>28</w:t>
            </w:r>
            <w:r w:rsidRPr="00022BA7">
              <w:t>)</w:t>
            </w:r>
          </w:p>
        </w:tc>
      </w:tr>
    </w:tbl>
    <w:p w14:paraId="58B3BF2A" w14:textId="77777777" w:rsidR="004F075A" w:rsidRPr="00022BA7" w:rsidRDefault="004F075A" w:rsidP="004F075A"/>
    <w:p w14:paraId="02B9870D" w14:textId="7E4F871E" w:rsidR="004F075A" w:rsidRDefault="004F075A" w:rsidP="004F075A">
      <w:r w:rsidRPr="00022BA7">
        <w:t>where</w:t>
      </w:r>
      <w:r>
        <w:t xml:space="preserve"> </w:t>
      </w:r>
      <m:oMath>
        <m:sSub>
          <m:sSubPr>
            <m:ctrlPr>
              <w:rPr>
                <w:rFonts w:ascii="Cambria Math" w:hAnsi="Cambria Math" w:cs="Cambria Math"/>
                <w:i/>
              </w:rPr>
            </m:ctrlPr>
          </m:sSubPr>
          <m:e>
            <m:r>
              <w:rPr>
                <w:rFonts w:ascii="Cambria Math" w:hAnsi="Cambria Math" w:cs="Cambria Math"/>
              </w:rPr>
              <m:t>Q</m:t>
            </m:r>
          </m:e>
          <m:sub>
            <m:r>
              <w:rPr>
                <w:rFonts w:ascii="Cambria Math" w:hAnsi="Cambria Math" w:cs="Cambria Math"/>
              </w:rPr>
              <m:t>v,px</m:t>
            </m:r>
          </m:sub>
        </m:sSub>
      </m:oMath>
      <w:r>
        <w:t xml:space="preserve"> is loss coefficient per day considering temperature and average state of charge of battery, and </w:t>
      </w:r>
      <m:oMath>
        <m:r>
          <w:rPr>
            <w:rFonts w:ascii="Cambria Math" w:hAnsi="Cambria Math"/>
          </w:rPr>
          <m:t>d</m:t>
        </m:r>
      </m:oMath>
      <w:r>
        <w:t xml:space="preserve"> is number of days from battery</w:t>
      </w:r>
      <w:r w:rsidR="00190F27">
        <w:t>’</w:t>
      </w:r>
      <w:r>
        <w:t>s initial day. As shown in</w:t>
      </w:r>
      <w:r w:rsidR="009A14DE">
        <w:t xml:space="preserve"> </w:t>
      </w:r>
      <w:r w:rsidR="009A14DE">
        <w:fldChar w:fldCharType="begin"/>
      </w:r>
      <w:r w:rsidR="009A14DE">
        <w:instrText xml:space="preserve"> REF _Ref144852993 \h </w:instrText>
      </w:r>
      <w:r w:rsidR="009A14DE">
        <w:fldChar w:fldCharType="separate"/>
      </w:r>
      <w:r w:rsidR="00C661AC">
        <w:t xml:space="preserve">Supplementary </w:t>
      </w:r>
      <w:r w:rsidR="00C661AC" w:rsidRPr="00022BA7">
        <w:t xml:space="preserve">Figure </w:t>
      </w:r>
      <w:r w:rsidR="00C661AC">
        <w:rPr>
          <w:noProof/>
        </w:rPr>
        <w:t>16</w:t>
      </w:r>
      <w:r w:rsidR="009A14DE">
        <w:fldChar w:fldCharType="end"/>
      </w:r>
      <w:r>
        <w:t xml:space="preserve">, </w:t>
      </w:r>
      <m:oMath>
        <m:sSub>
          <m:sSubPr>
            <m:ctrlPr>
              <w:rPr>
                <w:rFonts w:ascii="Cambria Math" w:hAnsi="Cambria Math" w:cs="Cambria Math"/>
                <w:i/>
              </w:rPr>
            </m:ctrlPr>
          </m:sSubPr>
          <m:e>
            <m:r>
              <w:rPr>
                <w:rFonts w:ascii="Cambria Math" w:hAnsi="Cambria Math" w:cs="Cambria Math"/>
              </w:rPr>
              <m:t>Q</m:t>
            </m:r>
          </m:e>
          <m:sub>
            <m:r>
              <w:rPr>
                <w:rFonts w:ascii="Cambria Math" w:hAnsi="Cambria Math" w:cs="Cambria Math"/>
              </w:rPr>
              <m:t>v,px</m:t>
            </m:r>
          </m:sub>
        </m:sSub>
      </m:oMath>
      <w:r>
        <w:t xml:space="preserve"> </w:t>
      </w:r>
      <w:r w:rsidRPr="00E56D7D">
        <w:t xml:space="preserve">can be approximated by two linear functions passing the point </w:t>
      </w:r>
      <w:r>
        <w:rPr>
          <w:lang w:eastAsia="ko-KR"/>
        </w:rPr>
        <w:t>(</w:t>
      </w:r>
      <m:oMath>
        <m:r>
          <w:rPr>
            <w:rFonts w:ascii="Cambria Math" w:hAnsi="Cambria Math" w:cs="Cambria Math"/>
          </w:rPr>
          <m:t>SO</m:t>
        </m:r>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oMath>
      <w:r>
        <w:t xml:space="preserve">, </w:t>
      </w:r>
      <m:oMath>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oMath>
      <w:r>
        <w:rPr>
          <w:lang w:eastAsia="ko-KR"/>
        </w:rPr>
        <w:t xml:space="preserve">) with slopes </w:t>
      </w:r>
      <m:oMath>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1</m:t>
            </m:r>
          </m:sub>
        </m:sSub>
      </m:oMath>
      <w:r>
        <w:t xml:space="preserve"> and </w:t>
      </w:r>
      <m:oMath>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2</m:t>
            </m:r>
          </m:sub>
        </m:sSub>
      </m:oMath>
      <w:r>
        <w:t xml:space="preserve">, respectively. For a nickel manganese cobalt oxide (NMC) battery, the </w:t>
      </w:r>
      <m:oMath>
        <m:r>
          <w:rPr>
            <w:rFonts w:ascii="Cambria Math" w:hAnsi="Cambria Math" w:cs="Cambria Math"/>
          </w:rPr>
          <m:t>SO</m:t>
        </m:r>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r>
          <w:rPr>
            <w:rFonts w:ascii="Cambria Math" w:hAnsi="Cambria Math" w:cs="Cambria Math"/>
          </w:rPr>
          <m:t xml:space="preserve">, </m:t>
        </m:r>
        <m:sSub>
          <m:sSubPr>
            <m:ctrlPr>
              <w:rPr>
                <w:rFonts w:ascii="Cambria Math" w:hAnsi="Cambria Math" w:cs="Cambria Math"/>
                <w:i/>
              </w:rPr>
            </m:ctrlPr>
          </m:sSubPr>
          <m:e>
            <m:r>
              <w:rPr>
                <w:rFonts w:ascii="Cambria Math" w:hAnsi="Cambria Math" w:cs="Cambria Math"/>
              </w:rPr>
              <m:t>C</m:t>
            </m:r>
          </m:e>
          <m:sub>
            <m:r>
              <w:rPr>
                <w:rFonts w:ascii="Cambria Math" w:hAnsi="Cambria Math" w:cs="Cambria Math"/>
              </w:rPr>
              <m:t>c</m:t>
            </m:r>
          </m:sub>
        </m:sSub>
      </m:oMath>
      <w:r>
        <w:t xml:space="preserve">, </w:t>
      </w:r>
      <m:oMath>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1</m:t>
            </m:r>
          </m:sub>
        </m:sSub>
      </m:oMath>
      <w:r>
        <w:t xml:space="preserve">, and </w:t>
      </w:r>
      <m:oMath>
        <m:sSub>
          <m:sSubPr>
            <m:ctrlPr>
              <w:rPr>
                <w:rFonts w:ascii="Cambria Math" w:hAnsi="Cambria Math" w:cs="Cambria Math"/>
                <w:i/>
              </w:rPr>
            </m:ctrlPr>
          </m:sSubPr>
          <m:e>
            <m:r>
              <w:rPr>
                <w:rFonts w:ascii="Cambria Math" w:hAnsi="Cambria Math" w:cs="Cambria Math"/>
              </w:rPr>
              <m:t>K</m:t>
            </m:r>
          </m:e>
          <m:sub>
            <m:r>
              <w:rPr>
                <w:rFonts w:ascii="Cambria Math" w:hAnsi="Cambria Math" w:cs="Cambria Math"/>
              </w:rPr>
              <m:t>2</m:t>
            </m:r>
          </m:sub>
        </m:sSub>
      </m:oMath>
      <w:r>
        <w:t xml:space="preserve"> are 65%, 0.9, 0.002, and 0.003, respectively</w:t>
      </w:r>
      <w:r w:rsidR="0092185B">
        <w:fldChar w:fldCharType="begin"/>
      </w:r>
      <w:r w:rsidR="00C61E16">
        <w:instrText xml:space="preserve"> ADDIN ZOTERO_ITEM CSL_CITATION {"citationID":"zEKYPiSI","properties":{"formattedCitation":"\\super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92185B">
        <w:fldChar w:fldCharType="separate"/>
      </w:r>
      <w:r w:rsidR="00C61E16" w:rsidRPr="00C61E16">
        <w:rPr>
          <w:rFonts w:cs="Times New Roman"/>
          <w:szCs w:val="24"/>
          <w:vertAlign w:val="superscript"/>
        </w:rPr>
        <w:t>17</w:t>
      </w:r>
      <w:r w:rsidR="0092185B">
        <w:fldChar w:fldCharType="end"/>
      </w:r>
      <w:r>
        <w:t>.</w:t>
      </w:r>
    </w:p>
    <w:p w14:paraId="227EBA91" w14:textId="77777777" w:rsidR="004F075A" w:rsidRPr="00022BA7" w:rsidRDefault="004F075A" w:rsidP="004F075A">
      <w:pPr>
        <w:rPr>
          <w:lang w:eastAsia="ko-KR"/>
        </w:rPr>
      </w:pPr>
    </w:p>
    <w:p w14:paraId="772AC42A" w14:textId="77777777" w:rsidR="004F075A" w:rsidRPr="00022BA7" w:rsidRDefault="004F075A" w:rsidP="004F075A">
      <w:pPr>
        <w:rPr>
          <w:lang w:eastAsia="ko-KR"/>
        </w:rPr>
      </w:pPr>
      <w:r w:rsidRPr="00022BA7">
        <w:rPr>
          <w:lang w:eastAsia="ko-KR"/>
        </w:rPr>
        <w:t xml:space="preserve">According to </w:t>
      </w:r>
      <w:r>
        <w:rPr>
          <w:lang w:eastAsia="ko-KR"/>
        </w:rPr>
        <w:t xml:space="preserve">this </w:t>
      </w:r>
      <w:r w:rsidRPr="00022BA7">
        <w:rPr>
          <w:lang w:eastAsia="ko-KR"/>
        </w:rPr>
        <w:t xml:space="preserve">model, higher average </w:t>
      </w:r>
      <w:r>
        <w:rPr>
          <w:lang w:eastAsia="ko-KR"/>
        </w:rPr>
        <w:t xml:space="preserve">battery </w:t>
      </w:r>
      <w:r w:rsidRPr="00022BA7">
        <w:rPr>
          <w:lang w:eastAsia="ko-KR"/>
        </w:rPr>
        <w:t xml:space="preserve">SOC levels tend to result in increased degradation. </w:t>
      </w:r>
      <w:r>
        <w:rPr>
          <w:lang w:eastAsia="ko-KR"/>
        </w:rPr>
        <w:t xml:space="preserve">But </w:t>
      </w:r>
      <w:r w:rsidRPr="00022BA7">
        <w:rPr>
          <w:lang w:eastAsia="ko-KR"/>
        </w:rPr>
        <w:t xml:space="preserve">for </w:t>
      </w:r>
      <w:r>
        <w:rPr>
          <w:lang w:eastAsia="ko-KR"/>
        </w:rPr>
        <w:t xml:space="preserve">both </w:t>
      </w:r>
      <w:r w:rsidRPr="00022BA7">
        <w:rPr>
          <w:lang w:eastAsia="ko-KR"/>
        </w:rPr>
        <w:t xml:space="preserve">practical and safety reasons, maintaining sufficient SOC levels is </w:t>
      </w:r>
      <w:r>
        <w:rPr>
          <w:lang w:eastAsia="ko-KR"/>
        </w:rPr>
        <w:t>preferable</w:t>
      </w:r>
      <w:r w:rsidRPr="00022BA7">
        <w:rPr>
          <w:lang w:eastAsia="ko-KR"/>
        </w:rPr>
        <w:t xml:space="preserve"> </w:t>
      </w:r>
      <w:r>
        <w:rPr>
          <w:lang w:eastAsia="ko-KR"/>
        </w:rPr>
        <w:t>despite potentially</w:t>
      </w:r>
      <w:r w:rsidRPr="00022BA7">
        <w:rPr>
          <w:lang w:eastAsia="ko-KR"/>
        </w:rPr>
        <w:t xml:space="preserve"> lead</w:t>
      </w:r>
      <w:r>
        <w:rPr>
          <w:lang w:eastAsia="ko-KR"/>
        </w:rPr>
        <w:t>ing</w:t>
      </w:r>
      <w:r w:rsidRPr="00022BA7">
        <w:rPr>
          <w:lang w:eastAsia="ko-KR"/>
        </w:rPr>
        <w:t xml:space="preserve"> to higher degradation</w:t>
      </w:r>
      <w:r>
        <w:rPr>
          <w:lang w:eastAsia="ko-KR"/>
        </w:rPr>
        <w:t xml:space="preserve"> rates</w:t>
      </w:r>
      <w:r w:rsidRPr="00022BA7">
        <w:rPr>
          <w:lang w:eastAsia="ko-KR"/>
        </w:rPr>
        <w:t xml:space="preserve">. </w:t>
      </w:r>
      <w:r>
        <w:rPr>
          <w:lang w:eastAsia="ko-KR"/>
        </w:rPr>
        <w:t>(Since</w:t>
      </w:r>
      <w:r w:rsidRPr="00022BA7">
        <w:rPr>
          <w:lang w:eastAsia="ko-KR"/>
        </w:rPr>
        <w:t xml:space="preserve"> </w:t>
      </w:r>
      <w:r>
        <w:rPr>
          <w:lang w:eastAsia="ko-KR"/>
        </w:rPr>
        <w:t xml:space="preserve">BESs are </w:t>
      </w:r>
      <w:r w:rsidRPr="00022BA7">
        <w:rPr>
          <w:lang w:eastAsia="ko-KR"/>
        </w:rPr>
        <w:t>unable to recharge batteries at sea, it is safer to maintain a higher SOC level.</w:t>
      </w:r>
      <w:r>
        <w:rPr>
          <w:lang w:eastAsia="ko-KR"/>
        </w:rPr>
        <w:t>)</w:t>
      </w:r>
      <w:r w:rsidRPr="00022BA7">
        <w:rPr>
          <w:lang w:eastAsia="ko-KR"/>
        </w:rPr>
        <w:t xml:space="preserve"> Consequently, this study did not consider battery operating strategies that involve maintaining lower SOC levels to mitigate degradation.</w:t>
      </w:r>
    </w:p>
    <w:p w14:paraId="3EB46C34" w14:textId="77777777" w:rsidR="004F075A" w:rsidRPr="00022BA7" w:rsidRDefault="004F075A" w:rsidP="004F075A"/>
    <w:p w14:paraId="2AA7E4ED" w14:textId="77777777" w:rsidR="004F075A" w:rsidRPr="00022BA7" w:rsidRDefault="004F075A">
      <w:pPr>
        <w:pStyle w:val="Heading3"/>
      </w:pPr>
      <w:r w:rsidRPr="00022BA7">
        <w:t>Cycle Degradation Rate</w:t>
      </w:r>
    </w:p>
    <w:p w14:paraId="0606305E" w14:textId="77777777" w:rsidR="004F075A" w:rsidRPr="00022BA7" w:rsidRDefault="004F075A" w:rsidP="004F075A">
      <w:r w:rsidRPr="00022BA7">
        <w:t xml:space="preserve">The reference cycle aging coefficient, </w:t>
      </w:r>
      <m:oMath>
        <m:sSub>
          <m:sSubPr>
            <m:ctrlPr>
              <w:rPr>
                <w:rFonts w:ascii="Cambria Math" w:hAnsi="Cambria Math" w:cs="Cambria Math"/>
                <w:i/>
                <w:iCs/>
              </w:rPr>
            </m:ctrlPr>
          </m:sSubPr>
          <m:e>
            <m:r>
              <w:rPr>
                <w:rFonts w:ascii="Cambria Math" w:hAnsi="Cambria Math" w:cs="Cambria Math"/>
              </w:rPr>
              <m:t>Q</m:t>
            </m:r>
          </m:e>
          <m:sub>
            <m:r>
              <w:rPr>
                <w:rFonts w:ascii="Cambria Math" w:hAnsi="Cambria Math" w:cs="Cambria Math"/>
              </w:rPr>
              <m:t>w</m:t>
            </m:r>
          </m:sub>
        </m:sSub>
      </m:oMath>
      <w:r w:rsidRPr="00022BA7">
        <w:t>, represents the rate of loss of energy capacity per cycle and is calculated as shown in equation (</w:t>
      </w:r>
      <w:r>
        <w:t>29</w:t>
      </w:r>
      <w:r w:rsidRPr="00022BA7">
        <w:t>)</w:t>
      </w:r>
      <w:r>
        <w:t>:</w:t>
      </w:r>
      <w:r w:rsidRPr="00022BA7">
        <w:t xml:space="preserve"> </w:t>
      </w:r>
    </w:p>
    <w:p w14:paraId="367A3893"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6E80F34E" w14:textId="77777777" w:rsidTr="00F95C74">
        <w:trPr>
          <w:trHeight w:val="300"/>
        </w:trPr>
        <w:tc>
          <w:tcPr>
            <w:tcW w:w="720" w:type="dxa"/>
          </w:tcPr>
          <w:p w14:paraId="09D9429C" w14:textId="77777777" w:rsidR="004F075A" w:rsidRPr="00022BA7" w:rsidRDefault="004F075A" w:rsidP="00F95C74">
            <w:pPr>
              <w:rPr>
                <w:i/>
              </w:rPr>
            </w:pPr>
          </w:p>
        </w:tc>
        <w:tc>
          <w:tcPr>
            <w:tcW w:w="7920" w:type="dxa"/>
          </w:tcPr>
          <w:p w14:paraId="6EDD2107" w14:textId="77777777" w:rsidR="004F075A" w:rsidRPr="00022BA7" w:rsidRDefault="00590C69" w:rsidP="00F95C74">
            <w:pPr>
              <w:rPr>
                <w:rFonts w:eastAsia="Malgun Gothic" w:cs="Times New Roman"/>
                <w:i/>
              </w:rPr>
            </w:pPr>
            <m:oMathPara>
              <m:oMathParaPr>
                <m:jc m:val="center"/>
              </m:oMathParaPr>
              <m:oMath>
                <m:sSub>
                  <m:sSubPr>
                    <m:ctrlPr>
                      <w:rPr>
                        <w:rFonts w:ascii="Cambria Math" w:hAnsi="Cambria Math" w:cs="Cambria Math"/>
                        <w:i/>
                        <w:iCs/>
                      </w:rPr>
                    </m:ctrlPr>
                  </m:sSubPr>
                  <m:e>
                    <m:r>
                      <w:rPr>
                        <w:rFonts w:ascii="Cambria Math" w:hAnsi="Cambria Math" w:cs="Cambria Math"/>
                      </w:rPr>
                      <m:t>Q</m:t>
                    </m:r>
                  </m:e>
                  <m:sub>
                    <m:r>
                      <w:rPr>
                        <w:rFonts w:ascii="Cambria Math" w:hAnsi="Cambria Math" w:cs="Cambria Math"/>
                      </w:rPr>
                      <m:t>w</m:t>
                    </m:r>
                  </m:sub>
                </m:sSub>
                <m:r>
                  <w:rPr>
                    <w:rFonts w:ascii="Cambria Math" w:hAnsi="Cambria Math" w:cs="Cambria Math"/>
                  </w:rPr>
                  <m:t>(% FE</m:t>
                </m:r>
                <m:sSup>
                  <m:sSupPr>
                    <m:ctrlPr>
                      <w:rPr>
                        <w:rFonts w:ascii="Cambria Math" w:hAnsi="Cambria Math" w:cs="Cambria Math"/>
                        <w:i/>
                      </w:rPr>
                    </m:ctrlPr>
                  </m:sSupPr>
                  <m:e>
                    <m:r>
                      <w:rPr>
                        <w:rFonts w:ascii="Cambria Math" w:hAnsi="Cambria Math" w:cs="Cambria Math"/>
                      </w:rPr>
                      <m:t>C</m:t>
                    </m:r>
                  </m:e>
                  <m:sup>
                    <m:r>
                      <w:rPr>
                        <w:rFonts w:ascii="Cambria Math" w:hAnsi="Cambria Math" w:cs="Cambria Math"/>
                      </w:rPr>
                      <m:t>-1</m:t>
                    </m:r>
                  </m:sup>
                </m:sSup>
                <m:r>
                  <w:rPr>
                    <w:rFonts w:ascii="Cambria Math" w:hAnsi="Cambria Math" w:cs="Cambria Math"/>
                  </w:rPr>
                  <m:t>)=</m:t>
                </m:r>
                <m:f>
                  <m:fPr>
                    <m:ctrlPr>
                      <w:rPr>
                        <w:rFonts w:ascii="Cambria Math" w:hAnsi="Cambria Math" w:cs="Cambria Math"/>
                        <w:i/>
                        <w:iCs/>
                      </w:rPr>
                    </m:ctrlPr>
                  </m:fPr>
                  <m:num>
                    <m:sSubSup>
                      <m:sSubSupPr>
                        <m:ctrlPr>
                          <w:rPr>
                            <w:rFonts w:ascii="Cambria Math" w:hAnsi="Cambria Math" w:cs="Cambria Math"/>
                            <w:i/>
                          </w:rPr>
                        </m:ctrlPr>
                      </m:sSubSupPr>
                      <m:e>
                        <m:r>
                          <w:rPr>
                            <w:rFonts w:ascii="Cambria Math" w:hAnsi="Cambria Math" w:cs="Cambria Math"/>
                          </w:rPr>
                          <m:t>FEC</m:t>
                        </m:r>
                      </m:e>
                      <m:sub>
                        <m:r>
                          <w:rPr>
                            <w:rFonts w:ascii="Cambria Math" w:hAnsi="Cambria Math" w:cs="Cambria Math"/>
                          </w:rPr>
                          <m:t>EoL</m:t>
                        </m:r>
                      </m:sub>
                      <m:sup>
                        <m:r>
                          <w:rPr>
                            <w:rFonts w:ascii="Cambria Math" w:hAnsi="Cambria Math" w:cs="Cambria Math"/>
                          </w:rPr>
                          <m:t>ref</m:t>
                        </m:r>
                      </m:sup>
                    </m:sSubSup>
                    <m:r>
                      <w:rPr>
                        <w:rFonts w:ascii="Cambria Math" w:hAnsi="Cambria Math" w:cs="Cambria Math"/>
                      </w:rPr>
                      <m:t>(DOD)</m:t>
                    </m:r>
                  </m:num>
                  <m:den>
                    <m:r>
                      <w:rPr>
                        <w:rFonts w:ascii="Cambria Math" w:hAnsi="Cambria Math" w:cs="Cambria Math"/>
                      </w:rPr>
                      <m:t>1-</m:t>
                    </m:r>
                    <m:r>
                      <w:rPr>
                        <w:rFonts w:ascii="Cambria Math" w:hAnsi="Cambria Math"/>
                      </w:rPr>
                      <m:t>SO</m:t>
                    </m:r>
                    <m:sSup>
                      <m:sSupPr>
                        <m:ctrlPr>
                          <w:rPr>
                            <w:rFonts w:ascii="Cambria Math" w:hAnsi="Cambria Math"/>
                            <w:i/>
                          </w:rPr>
                        </m:ctrlPr>
                      </m:sSupPr>
                      <m:e>
                        <m:r>
                          <w:rPr>
                            <w:rFonts w:ascii="Cambria Math" w:hAnsi="Cambria Math"/>
                          </w:rPr>
                          <m:t>H</m:t>
                        </m:r>
                      </m:e>
                      <m:sup>
                        <m:r>
                          <w:rPr>
                            <w:rFonts w:ascii="Cambria Math" w:hAnsi="Cambria Math"/>
                          </w:rPr>
                          <m:t>EoL</m:t>
                        </m:r>
                      </m:sup>
                    </m:sSup>
                  </m:den>
                </m:f>
              </m:oMath>
            </m:oMathPara>
          </w:p>
        </w:tc>
        <w:tc>
          <w:tcPr>
            <w:tcW w:w="720" w:type="dxa"/>
          </w:tcPr>
          <w:p w14:paraId="3448F8E3" w14:textId="77777777" w:rsidR="004F075A" w:rsidRPr="00022BA7" w:rsidRDefault="004F075A" w:rsidP="00F95C74">
            <w:pPr>
              <w:jc w:val="right"/>
            </w:pPr>
            <w:r w:rsidRPr="00022BA7">
              <w:t>(</w:t>
            </w:r>
            <w:r>
              <w:t>29</w:t>
            </w:r>
            <w:r w:rsidRPr="00022BA7">
              <w:t>)</w:t>
            </w:r>
          </w:p>
        </w:tc>
      </w:tr>
    </w:tbl>
    <w:p w14:paraId="6402E52E" w14:textId="77777777" w:rsidR="004F075A" w:rsidRPr="00022BA7" w:rsidRDefault="004F075A" w:rsidP="004F075A"/>
    <w:p w14:paraId="5E1EFAA3" w14:textId="2EF5D0C2" w:rsidR="004F075A" w:rsidRDefault="004F075A" w:rsidP="004F075A">
      <w:r w:rsidRPr="00022BA7">
        <w:t xml:space="preserve">where </w:t>
      </w:r>
      <w:r>
        <w:t>the reference FEC</w:t>
      </w:r>
      <m:oMath>
        <m:r>
          <w:rPr>
            <w:rFonts w:ascii="Cambria Math" w:hAnsi="Cambria Math"/>
          </w:rPr>
          <m:t xml:space="preserve">, </m:t>
        </m:r>
        <m:sSubSup>
          <m:sSubSupPr>
            <m:ctrlPr>
              <w:rPr>
                <w:rFonts w:ascii="Cambria Math" w:hAnsi="Cambria Math" w:cs="Cambria Math"/>
                <w:i/>
              </w:rPr>
            </m:ctrlPr>
          </m:sSubSupPr>
          <m:e>
            <m:r>
              <w:rPr>
                <w:rFonts w:ascii="Cambria Math" w:hAnsi="Cambria Math" w:cs="Cambria Math"/>
              </w:rPr>
              <m:t>FEC</m:t>
            </m:r>
          </m:e>
          <m:sub>
            <m:r>
              <w:rPr>
                <w:rFonts w:ascii="Cambria Math" w:hAnsi="Cambria Math" w:cs="Cambria Math"/>
              </w:rPr>
              <m:t>EoL</m:t>
            </m:r>
          </m:sub>
          <m:sup>
            <m:r>
              <w:rPr>
                <w:rFonts w:ascii="Cambria Math" w:hAnsi="Cambria Math" w:cs="Cambria Math"/>
              </w:rPr>
              <m:t>ref</m:t>
            </m:r>
          </m:sup>
        </m:sSubSup>
      </m:oMath>
      <w:r w:rsidRPr="00022BA7">
        <w:t xml:space="preserve">, is the total number of cycles a battery can undergo before end of life </w:t>
      </w:r>
      <w:r>
        <w:t xml:space="preserve">assuming no calendar degradation </w:t>
      </w:r>
      <w:r w:rsidRPr="00022BA7">
        <w:t xml:space="preserve">and </w:t>
      </w:r>
      <m:oMath>
        <m:r>
          <w:rPr>
            <w:rFonts w:ascii="Cambria Math" w:hAnsi="Cambria Math" w:cs="Cambria Math"/>
          </w:rPr>
          <m:t>DOD</m:t>
        </m:r>
      </m:oMath>
      <w:r w:rsidRPr="00022BA7">
        <w:t xml:space="preserve"> is the depth of discharge that reflects the proportion of the battery</w:t>
      </w:r>
      <w:r w:rsidR="00190F27">
        <w:t>’</w:t>
      </w:r>
      <w:r w:rsidRPr="00022BA7">
        <w:t>s capacity that is utilized within lower and upper bounds, set at 80%.</w:t>
      </w:r>
      <w:r>
        <w:t xml:space="preserve"> According to </w:t>
      </w:r>
      <w:proofErr w:type="spellStart"/>
      <w:r>
        <w:t>Woehler</w:t>
      </w:r>
      <w:proofErr w:type="spellEnd"/>
      <w:r>
        <w:t xml:space="preserve"> curve 1 with a </w:t>
      </w:r>
      <m:oMath>
        <m:r>
          <w:rPr>
            <w:rFonts w:ascii="Cambria Math" w:hAnsi="Cambria Math" w:cs="Cambria Math"/>
          </w:rPr>
          <m:t>DOD</m:t>
        </m:r>
      </m:oMath>
      <w:r>
        <w:t xml:space="preserve"> set at 80%, the reference FEC until the end of life, </w:t>
      </w:r>
      <m:oMath>
        <m:sSubSup>
          <m:sSubSupPr>
            <m:ctrlPr>
              <w:rPr>
                <w:rFonts w:ascii="Cambria Math" w:hAnsi="Cambria Math" w:cs="Cambria Math"/>
                <w:i/>
              </w:rPr>
            </m:ctrlPr>
          </m:sSubSupPr>
          <m:e>
            <m:r>
              <w:rPr>
                <w:rFonts w:ascii="Cambria Math" w:hAnsi="Cambria Math" w:cs="Cambria Math"/>
              </w:rPr>
              <m:t>FEC</m:t>
            </m:r>
          </m:e>
          <m:sub>
            <m:r>
              <w:rPr>
                <w:rFonts w:ascii="Cambria Math" w:hAnsi="Cambria Math" w:cs="Cambria Math"/>
              </w:rPr>
              <m:t>EoL</m:t>
            </m:r>
          </m:sub>
          <m:sup>
            <m:r>
              <w:rPr>
                <w:rFonts w:ascii="Cambria Math" w:hAnsi="Cambria Math" w:cs="Cambria Math"/>
              </w:rPr>
              <m:t>ref</m:t>
            </m:r>
          </m:sup>
        </m:sSubSup>
      </m:oMath>
      <w:r>
        <w:t>, is calculated to be 6,834 FEC</w:t>
      </w:r>
      <w:r w:rsidR="006767B5">
        <w:fldChar w:fldCharType="begin"/>
      </w:r>
      <w:r w:rsidR="006767B5">
        <w:instrText xml:space="preserve"> ADDIN ZOTERO_ITEM CSL_CITATION {"citationID":"ijisjcj3","properties":{"formattedCitation":"\\super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6767B5">
        <w:fldChar w:fldCharType="separate"/>
      </w:r>
      <w:r w:rsidR="006767B5" w:rsidRPr="006767B5">
        <w:rPr>
          <w:rFonts w:cs="Times New Roman"/>
          <w:szCs w:val="24"/>
          <w:vertAlign w:val="superscript"/>
        </w:rPr>
        <w:t>17</w:t>
      </w:r>
      <w:r w:rsidR="006767B5">
        <w:fldChar w:fldCharType="end"/>
      </w:r>
      <w:r>
        <w:t>.</w:t>
      </w:r>
    </w:p>
    <w:p w14:paraId="658232C1" w14:textId="77777777" w:rsidR="004F075A" w:rsidRPr="00022BA7" w:rsidRDefault="004F075A" w:rsidP="004F075A"/>
    <w:p w14:paraId="4EE1F366" w14:textId="09B0D2CB" w:rsidR="004F075A" w:rsidRDefault="004F075A" w:rsidP="004F075A">
      <w:r w:rsidRPr="00022BA7">
        <w:t>Cycle aging is accelerated as the battery undergoes higher charging and discharging speeds</w:t>
      </w:r>
      <w:r>
        <w:t xml:space="preserve"> (</w:t>
      </w:r>
      <w:r w:rsidR="00190F27">
        <w:t>“</w:t>
      </w:r>
      <w:r>
        <w:t>C-rates</w:t>
      </w:r>
      <w:r w:rsidR="00190F27">
        <w:t>”</w:t>
      </w:r>
      <w:r>
        <w:t>)</w:t>
      </w:r>
      <w:r w:rsidRPr="00022BA7">
        <w:t xml:space="preserve">, represented as </w:t>
      </w:r>
      <m:oMath>
        <m:r>
          <w:rPr>
            <w:rFonts w:ascii="Cambria Math" w:hAnsi="Cambria Math"/>
          </w:rPr>
          <m:t xml:space="preserve"> </m:t>
        </m:r>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Ch</m:t>
            </m:r>
          </m:sup>
        </m:sSubSup>
      </m:oMath>
      <w:r w:rsidRPr="00022BA7">
        <w:rPr>
          <w:iCs/>
        </w:rPr>
        <w:t xml:space="preserve"> and</w:t>
      </w:r>
      <w:r w:rsidRPr="00022BA7">
        <w:t xml:space="preserve"> </w:t>
      </w:r>
      <m:oMath>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Dch</m:t>
            </m:r>
          </m:sup>
        </m:sSubSup>
      </m:oMath>
      <w:r w:rsidRPr="00022BA7">
        <w:rPr>
          <w:iCs/>
        </w:rPr>
        <w:t>,</w:t>
      </w:r>
      <w:r>
        <w:rPr>
          <w:iCs/>
        </w:rPr>
        <w:t xml:space="preserve"> </w:t>
      </w:r>
      <w:r w:rsidRPr="00022BA7">
        <w:rPr>
          <w:iCs/>
        </w:rPr>
        <w:t xml:space="preserve">respectively. </w:t>
      </w:r>
      <w:r>
        <w:rPr>
          <w:iCs/>
        </w:rPr>
        <w:t>A</w:t>
      </w:r>
      <w:r w:rsidRPr="00022BA7">
        <w:rPr>
          <w:iCs/>
        </w:rPr>
        <w:t xml:space="preserve"> </w:t>
      </w:r>
      <w:r w:rsidRPr="00022BA7">
        <w:t xml:space="preserve">C-rate of 1 indicates that the battery can be fully charged within </w:t>
      </w:r>
      <w:r>
        <w:t>an</w:t>
      </w:r>
      <w:r w:rsidRPr="00022BA7">
        <w:t xml:space="preserve"> hour, while a C-rate of 0.5 implies a charging time of </w:t>
      </w:r>
      <w:r>
        <w:t>two</w:t>
      </w:r>
      <w:r w:rsidRPr="00022BA7">
        <w:t xml:space="preserve"> hours to reach full capacity. Accelerated cycle aging due to higher C-rates is shown in equations (</w:t>
      </w:r>
      <w:r>
        <w:t>30</w:t>
      </w:r>
      <w:r w:rsidRPr="00022BA7">
        <w:t>), (</w:t>
      </w:r>
      <w:r>
        <w:t>31</w:t>
      </w:r>
      <w:r w:rsidRPr="00022BA7">
        <w:t>), and (</w:t>
      </w:r>
      <w:r>
        <w:t>32</w:t>
      </w:r>
      <w:r w:rsidRPr="00022BA7">
        <w:t>)</w:t>
      </w:r>
      <w:r w:rsidR="00C9488A" w:rsidRPr="00C9488A">
        <w:t xml:space="preserve"> </w:t>
      </w:r>
      <w:r w:rsidR="00C9488A">
        <w:fldChar w:fldCharType="begin"/>
      </w:r>
      <w:r w:rsidR="00C61E16">
        <w:instrText xml:space="preserve"> ADDIN ZOTERO_ITEM CSL_CITATION {"citationID":"9zjF7rmq","properties":{"formattedCitation":"\\super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C9488A">
        <w:fldChar w:fldCharType="separate"/>
      </w:r>
      <w:r w:rsidR="00C61E16" w:rsidRPr="00C61E16">
        <w:rPr>
          <w:rFonts w:cs="Times New Roman"/>
          <w:szCs w:val="24"/>
          <w:vertAlign w:val="superscript"/>
        </w:rPr>
        <w:t>17</w:t>
      </w:r>
      <w:r w:rsidR="00C9488A">
        <w:fldChar w:fldCharType="end"/>
      </w:r>
      <w:r>
        <w:t>:</w:t>
      </w:r>
    </w:p>
    <w:p w14:paraId="4D436F5D"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5EF64F97" w14:textId="77777777" w:rsidTr="00F95C74">
        <w:trPr>
          <w:trHeight w:val="300"/>
        </w:trPr>
        <w:tc>
          <w:tcPr>
            <w:tcW w:w="720" w:type="dxa"/>
          </w:tcPr>
          <w:p w14:paraId="2F141E6C" w14:textId="77777777" w:rsidR="004F075A" w:rsidRPr="00022BA7" w:rsidRDefault="004F075A" w:rsidP="00F95C74">
            <w:pPr>
              <w:rPr>
                <w:i/>
              </w:rPr>
            </w:pPr>
          </w:p>
        </w:tc>
        <w:tc>
          <w:tcPr>
            <w:tcW w:w="7920" w:type="dxa"/>
          </w:tcPr>
          <w:p w14:paraId="31DFF4B2" w14:textId="77777777" w:rsidR="004F075A" w:rsidRPr="00E85498" w:rsidRDefault="00590C69" w:rsidP="00F95C74">
            <w:pPr>
              <w:rPr>
                <w:rFonts w:eastAsia="Malgun Gothic" w:cs="Times New Roman"/>
                <w:i/>
              </w:rPr>
            </w:pPr>
            <m:oMathPara>
              <m:oMath>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Cyc</m:t>
                    </m:r>
                  </m:sup>
                </m:sSubSup>
                <m:r>
                  <w:rPr>
                    <w:rFonts w:ascii="Cambria Math" w:hAnsi="Cambria Math" w:cs="Cambria Math"/>
                  </w:rPr>
                  <m:t>=</m:t>
                </m:r>
                <m:sSub>
                  <m:sSubPr>
                    <m:ctrlPr>
                      <w:rPr>
                        <w:rFonts w:ascii="Cambria Math" w:hAnsi="Cambria Math" w:cs="Cambria Math"/>
                        <w:i/>
                        <w:iCs/>
                      </w:rPr>
                    </m:ctrlPr>
                  </m:sSubPr>
                  <m:e>
                    <m:r>
                      <w:rPr>
                        <w:rFonts w:ascii="Cambria Math" w:hAnsi="Cambria Math" w:cs="Cambria Math"/>
                      </w:rPr>
                      <m:t>Q</m:t>
                    </m:r>
                  </m:e>
                  <m:sub>
                    <m:r>
                      <w:rPr>
                        <w:rFonts w:ascii="Cambria Math" w:hAnsi="Cambria Math" w:cs="Cambria Math"/>
                      </w:rPr>
                      <m:t>w</m:t>
                    </m:r>
                  </m:sub>
                </m:sSub>
                <m:r>
                  <w:rPr>
                    <w:rFonts w:ascii="Cambria Math" w:hAnsi="Cambria Math" w:cs="Cambria Math"/>
                  </w:rPr>
                  <m:t>⋅</m:t>
                </m:r>
                <m:d>
                  <m:dPr>
                    <m:ctrlPr>
                      <w:rPr>
                        <w:rFonts w:ascii="Cambria Math" w:hAnsi="Cambria Math" w:cs="Cambria Math"/>
                        <w:i/>
                        <w:iCs/>
                      </w:rPr>
                    </m:ctrlPr>
                  </m:dPr>
                  <m:e>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Ch</m:t>
                        </m:r>
                      </m:sup>
                    </m:sSubSup>
                    <m:r>
                      <w:rPr>
                        <w:rFonts w:ascii="Cambria Math" w:hAnsi="Cambria Math" w:cs="Cambria Math"/>
                      </w:rPr>
                      <m:t>+</m:t>
                    </m:r>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Dch</m:t>
                        </m:r>
                      </m:sup>
                    </m:sSubSup>
                  </m:e>
                </m:d>
                <m:r>
                  <w:rPr>
                    <w:rFonts w:ascii="Cambria Math" w:hAnsi="Cambria Math" w:cs="Cambria Math"/>
                  </w:rPr>
                  <m:t>/2</m:t>
                </m:r>
              </m:oMath>
            </m:oMathPara>
          </w:p>
        </w:tc>
        <w:tc>
          <w:tcPr>
            <w:tcW w:w="720" w:type="dxa"/>
          </w:tcPr>
          <w:p w14:paraId="77BB13DF" w14:textId="77777777" w:rsidR="004F075A" w:rsidRPr="00022BA7" w:rsidRDefault="004F075A" w:rsidP="00F95C74">
            <w:pPr>
              <w:jc w:val="right"/>
            </w:pPr>
            <w:r w:rsidRPr="00022BA7">
              <w:t>(</w:t>
            </w:r>
            <w:r>
              <w:t>30</w:t>
            </w:r>
            <w:r w:rsidRPr="00022BA7">
              <w:t>)</w:t>
            </w:r>
          </w:p>
        </w:tc>
      </w:tr>
      <w:tr w:rsidR="004F075A" w:rsidRPr="00022BA7" w14:paraId="64E41CAF" w14:textId="77777777" w:rsidTr="00F95C74">
        <w:trPr>
          <w:trHeight w:val="300"/>
        </w:trPr>
        <w:tc>
          <w:tcPr>
            <w:tcW w:w="720" w:type="dxa"/>
          </w:tcPr>
          <w:p w14:paraId="2A583E2E" w14:textId="77777777" w:rsidR="004F075A" w:rsidRPr="00022BA7" w:rsidRDefault="004F075A" w:rsidP="00F95C74">
            <w:pPr>
              <w:rPr>
                <w:i/>
              </w:rPr>
            </w:pPr>
          </w:p>
        </w:tc>
        <w:tc>
          <w:tcPr>
            <w:tcW w:w="7920" w:type="dxa"/>
          </w:tcPr>
          <w:p w14:paraId="16563AE3" w14:textId="77777777" w:rsidR="004F075A" w:rsidRPr="00E85498" w:rsidRDefault="00590C69" w:rsidP="00F95C74">
            <w:pPr>
              <w:rPr>
                <w:rFonts w:eastAsia="Malgun Gothic" w:cs="Times New Roman"/>
                <w:i/>
              </w:rPr>
            </w:pPr>
            <m:oMathPara>
              <m:oMathParaPr>
                <m:jc m:val="center"/>
              </m:oMathParaPr>
              <m:oMath>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Dch</m:t>
                    </m:r>
                  </m:sup>
                </m:sSubSup>
                <m:r>
                  <w:rPr>
                    <w:rFonts w:ascii="Cambria Math" w:hAnsi="Cambria Math" w:cs="Cambria Math"/>
                  </w:rPr>
                  <m:t>=</m:t>
                </m:r>
                <m:sSub>
                  <m:sSubPr>
                    <m:ctrlPr>
                      <w:rPr>
                        <w:rFonts w:ascii="Cambria Math" w:hAnsi="Cambria Math" w:cs="Cambria Math"/>
                        <w:i/>
                      </w:rPr>
                    </m:ctrlPr>
                  </m:sSubPr>
                  <m:e>
                    <m:r>
                      <w:rPr>
                        <w:rFonts w:ascii="Cambria Math" w:hAnsi="Cambria Math" w:cs="Cambria Math"/>
                      </w:rPr>
                      <m:t>avg</m:t>
                    </m:r>
                  </m:e>
                  <m:sub>
                    <m:r>
                      <w:rPr>
                        <w:rFonts w:ascii="Cambria Math" w:hAnsi="Cambria Math" w:cs="Cambria Math"/>
                      </w:rPr>
                      <m:t>t</m:t>
                    </m:r>
                  </m:sub>
                </m:sSub>
                <m:d>
                  <m:dPr>
                    <m:begChr m:val="{"/>
                    <m:endChr m:val="}"/>
                    <m:ctrlPr>
                      <w:rPr>
                        <w:rFonts w:ascii="Cambria Math" w:hAnsi="Cambria Math" w:cs="Cambria Math"/>
                        <w:i/>
                      </w:rPr>
                    </m:ctrlPr>
                  </m:dPr>
                  <m:e>
                    <m:r>
                      <w:rPr>
                        <w:rFonts w:ascii="Cambria Math" w:hAnsi="Cambria Math" w:cs="Cambria Math"/>
                      </w:rPr>
                      <m:t>1+</m:t>
                    </m:r>
                    <m:sSup>
                      <m:sSupPr>
                        <m:ctrlPr>
                          <w:rPr>
                            <w:rFonts w:ascii="Cambria Math" w:hAnsi="Cambria Math" w:cs="Cambria Math"/>
                            <w:i/>
                            <w:iCs/>
                          </w:rPr>
                        </m:ctrlPr>
                      </m:sSupPr>
                      <m:e>
                        <m:d>
                          <m:dPr>
                            <m:ctrlPr>
                              <w:rPr>
                                <w:rFonts w:ascii="Cambria Math" w:hAnsi="Cambria Math" w:cs="Cambria Math"/>
                                <w:i/>
                                <w:iCs/>
                              </w:rPr>
                            </m:ctrlPr>
                          </m:dPr>
                          <m:e>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1</m:t>
                                </m:r>
                              </m:sub>
                            </m:sSub>
                            <m:r>
                              <w:rPr>
                                <w:rFonts w:ascii="Cambria Math" w:hAnsi="Cambria Math" w:cs="Cambria Math"/>
                              </w:rPr>
                              <m:t>⋅</m:t>
                            </m:r>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Dch</m:t>
                                </m:r>
                              </m:sup>
                            </m:sSubSup>
                            <m:r>
                              <w:rPr>
                                <w:rFonts w:ascii="Cambria Math" w:hAnsi="Cambria Math" w:cs="Cambria Math"/>
                              </w:rPr>
                              <m:t> </m:t>
                            </m:r>
                          </m:e>
                        </m:d>
                      </m:e>
                      <m:sup>
                        <m:r>
                          <w:rPr>
                            <w:rFonts w:ascii="Cambria Math" w:hAnsi="Cambria Math" w:cs="Cambria Math"/>
                          </w:rPr>
                          <m:t>2</m:t>
                        </m:r>
                      </m:sup>
                    </m:sSup>
                    <m:r>
                      <w:rPr>
                        <w:rFonts w:ascii="Cambria Math" w:hAnsi="Cambria Math" w:cs="Cambria Math"/>
                      </w:rPr>
                      <m:t>-</m:t>
                    </m:r>
                    <m:r>
                      <m:rPr>
                        <m:nor/>
                      </m:rPr>
                      <w:rPr>
                        <w:rFonts w:ascii="Cambria Math" w:hAnsi="Cambria Math" w:cs="Cambria Math"/>
                        <w:i/>
                        <w:iCs/>
                      </w:rPr>
                      <m:t> </m:t>
                    </m:r>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2</m:t>
                        </m:r>
                      </m:sub>
                    </m:sSub>
                  </m:e>
                </m:d>
              </m:oMath>
            </m:oMathPara>
          </w:p>
        </w:tc>
        <w:tc>
          <w:tcPr>
            <w:tcW w:w="720" w:type="dxa"/>
          </w:tcPr>
          <w:p w14:paraId="051DD795" w14:textId="77777777" w:rsidR="004F075A" w:rsidRPr="00022BA7" w:rsidRDefault="004F075A" w:rsidP="00F95C74">
            <w:pPr>
              <w:jc w:val="right"/>
            </w:pPr>
            <w:r w:rsidRPr="00022BA7">
              <w:t>(</w:t>
            </w:r>
            <w:r>
              <w:t>31</w:t>
            </w:r>
            <w:r w:rsidRPr="00022BA7">
              <w:t>)</w:t>
            </w:r>
          </w:p>
        </w:tc>
      </w:tr>
      <w:tr w:rsidR="004F075A" w:rsidRPr="00022BA7" w14:paraId="65BE7617" w14:textId="77777777" w:rsidTr="00F95C74">
        <w:trPr>
          <w:trHeight w:val="300"/>
        </w:trPr>
        <w:tc>
          <w:tcPr>
            <w:tcW w:w="720" w:type="dxa"/>
          </w:tcPr>
          <w:p w14:paraId="1E2D5033" w14:textId="77777777" w:rsidR="004F075A" w:rsidRPr="00022BA7" w:rsidRDefault="004F075A" w:rsidP="00F95C74">
            <w:pPr>
              <w:rPr>
                <w:i/>
              </w:rPr>
            </w:pPr>
          </w:p>
        </w:tc>
        <w:tc>
          <w:tcPr>
            <w:tcW w:w="7920" w:type="dxa"/>
          </w:tcPr>
          <w:p w14:paraId="4B6A7A36" w14:textId="77777777" w:rsidR="004F075A" w:rsidRPr="00E85498" w:rsidRDefault="00590C69" w:rsidP="00F95C74">
            <w:pPr>
              <w:rPr>
                <w:rFonts w:eastAsia="Malgun Gothic" w:cs="Times New Roman"/>
                <w:i/>
              </w:rPr>
            </w:pPr>
            <m:oMathPara>
              <m:oMath>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Ch</m:t>
                    </m:r>
                  </m:sup>
                </m:sSubSup>
                <m:r>
                  <w:rPr>
                    <w:rFonts w:ascii="Cambria Math" w:hAnsi="Cambria Math" w:cs="Cambria Math"/>
                  </w:rPr>
                  <m:t>=</m:t>
                </m:r>
                <m:sSub>
                  <m:sSubPr>
                    <m:ctrlPr>
                      <w:rPr>
                        <w:rFonts w:ascii="Cambria Math" w:hAnsi="Cambria Math" w:cs="Cambria Math"/>
                        <w:i/>
                      </w:rPr>
                    </m:ctrlPr>
                  </m:sSubPr>
                  <m:e>
                    <m:r>
                      <w:rPr>
                        <w:rFonts w:ascii="Cambria Math" w:hAnsi="Cambria Math" w:cs="Cambria Math"/>
                      </w:rPr>
                      <m:t>avg</m:t>
                    </m:r>
                  </m:e>
                  <m:sub>
                    <m:r>
                      <w:rPr>
                        <w:rFonts w:ascii="Cambria Math" w:hAnsi="Cambria Math" w:cs="Cambria Math"/>
                      </w:rPr>
                      <m:t>t</m:t>
                    </m:r>
                  </m:sub>
                </m:sSub>
                <m:d>
                  <m:dPr>
                    <m:begChr m:val="{"/>
                    <m:endChr m:val="}"/>
                    <m:ctrlPr>
                      <w:rPr>
                        <w:rFonts w:ascii="Cambria Math" w:hAnsi="Cambria Math" w:cs="Cambria Math"/>
                        <w:i/>
                      </w:rPr>
                    </m:ctrlPr>
                  </m:dPr>
                  <m:e>
                    <m:r>
                      <w:rPr>
                        <w:rFonts w:ascii="Cambria Math" w:hAnsi="Cambria Math" w:cs="Cambria Math"/>
                      </w:rPr>
                      <m:t>1+</m:t>
                    </m:r>
                    <m:sSup>
                      <m:sSupPr>
                        <m:ctrlPr>
                          <w:rPr>
                            <w:rFonts w:ascii="Cambria Math" w:hAnsi="Cambria Math" w:cs="Cambria Math"/>
                            <w:i/>
                            <w:iCs/>
                          </w:rPr>
                        </m:ctrlPr>
                      </m:sSupPr>
                      <m:e>
                        <m:d>
                          <m:dPr>
                            <m:ctrlPr>
                              <w:rPr>
                                <w:rFonts w:ascii="Cambria Math" w:hAnsi="Cambria Math" w:cs="Cambria Math"/>
                                <w:i/>
                                <w:iCs/>
                              </w:rPr>
                            </m:ctrlPr>
                          </m:dPr>
                          <m:e>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3</m:t>
                                </m:r>
                              </m:sub>
                            </m:sSub>
                            <m:r>
                              <w:rPr>
                                <w:rFonts w:ascii="Cambria Math" w:hAnsi="Cambria Math" w:cs="Cambria Math"/>
                              </w:rPr>
                              <m:t>⋅</m:t>
                            </m:r>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Ch</m:t>
                                </m:r>
                              </m:sup>
                            </m:sSubSup>
                            <m:r>
                              <w:rPr>
                                <w:rFonts w:ascii="Cambria Math" w:hAnsi="Cambria Math" w:cs="Cambria Math"/>
                              </w:rPr>
                              <m:t> </m:t>
                            </m:r>
                          </m:e>
                        </m:d>
                      </m:e>
                      <m:sup>
                        <m:r>
                          <w:rPr>
                            <w:rFonts w:ascii="Cambria Math" w:hAnsi="Cambria Math" w:cs="Cambria Math"/>
                          </w:rPr>
                          <m:t>2</m:t>
                        </m:r>
                      </m:sup>
                    </m:sSup>
                    <m:r>
                      <w:rPr>
                        <w:rFonts w:ascii="Cambria Math" w:hAnsi="Cambria Math" w:cs="Cambria Math"/>
                      </w:rPr>
                      <m:t>-</m:t>
                    </m:r>
                    <m:r>
                      <m:rPr>
                        <m:nor/>
                      </m:rPr>
                      <w:rPr>
                        <w:rFonts w:ascii="Cambria Math" w:hAnsi="Cambria Math" w:cs="Cambria Math"/>
                        <w:i/>
                        <w:iCs/>
                      </w:rPr>
                      <m:t> </m:t>
                    </m:r>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4</m:t>
                        </m:r>
                      </m:sub>
                    </m:sSub>
                  </m:e>
                </m:d>
              </m:oMath>
            </m:oMathPara>
          </w:p>
        </w:tc>
        <w:tc>
          <w:tcPr>
            <w:tcW w:w="720" w:type="dxa"/>
          </w:tcPr>
          <w:p w14:paraId="4EDF409C" w14:textId="77777777" w:rsidR="004F075A" w:rsidRPr="00022BA7" w:rsidRDefault="004F075A" w:rsidP="00F95C74">
            <w:pPr>
              <w:jc w:val="right"/>
            </w:pPr>
            <w:r w:rsidRPr="00022BA7">
              <w:t>(</w:t>
            </w:r>
            <w:r>
              <w:t>32</w:t>
            </w:r>
            <w:r w:rsidRPr="00022BA7">
              <w:t>)</w:t>
            </w:r>
          </w:p>
        </w:tc>
      </w:tr>
    </w:tbl>
    <w:p w14:paraId="56C52CE4" w14:textId="77777777" w:rsidR="004F075A" w:rsidRPr="00022BA7" w:rsidRDefault="004F075A" w:rsidP="004F075A">
      <w:pPr>
        <w:jc w:val="center"/>
      </w:pPr>
    </w:p>
    <w:p w14:paraId="65580D2E" w14:textId="30BAD518" w:rsidR="004F075A" w:rsidRDefault="004F075A" w:rsidP="004F075A">
      <w:r>
        <w:t>w</w:t>
      </w:r>
      <w:r w:rsidRPr="00022BA7">
        <w:t>here</w:t>
      </w:r>
      <w:r>
        <w:t xml:space="preserve"> </w:t>
      </w:r>
      <m:oMath>
        <m:sSubSup>
          <m:sSubSupPr>
            <m:ctrlPr>
              <w:rPr>
                <w:rFonts w:ascii="Cambria Math" w:eastAsia="Cambria Math" w:hAnsi="Cambria Math" w:cs="Cambria Math"/>
              </w:rPr>
            </m:ctrlPr>
          </m:sSubSupPr>
          <m:e>
            <m:r>
              <w:rPr>
                <w:rFonts w:ascii="Cambria Math" w:eastAsia="Cambria Math" w:hAnsi="Cambria Math" w:cs="Cambria Math"/>
              </w:rPr>
              <m:t>Q</m:t>
            </m:r>
          </m:e>
          <m:sub>
            <m:r>
              <w:rPr>
                <w:rFonts w:ascii="Cambria Math" w:eastAsia="Cambria Math" w:hAnsi="Cambria Math" w:cs="Cambria Math"/>
              </w:rPr>
              <m:t>v</m:t>
            </m:r>
          </m:sub>
          <m:sup>
            <m:r>
              <w:rPr>
                <w:rFonts w:ascii="Cambria Math" w:eastAsia="Cambria Math" w:hAnsi="Cambria Math" w:cs="Cambria Math"/>
              </w:rPr>
              <m:t>Dch</m:t>
            </m:r>
          </m:sup>
        </m:sSubSup>
      </m:oMath>
      <w:r>
        <w:t xml:space="preserve"> and </w:t>
      </w:r>
      <m:oMath>
        <m:sSubSup>
          <m:sSubSupPr>
            <m:ctrlPr>
              <w:rPr>
                <w:rFonts w:ascii="Cambria Math" w:eastAsia="Cambria Math" w:hAnsi="Cambria Math" w:cs="Cambria Math"/>
              </w:rPr>
            </m:ctrlPr>
          </m:sSubSupPr>
          <m:e>
            <m:r>
              <w:rPr>
                <w:rFonts w:ascii="Cambria Math" w:eastAsia="Cambria Math" w:hAnsi="Cambria Math" w:cs="Cambria Math"/>
              </w:rPr>
              <m:t>Q</m:t>
            </m:r>
          </m:e>
          <m:sub>
            <m:r>
              <w:rPr>
                <w:rFonts w:ascii="Cambria Math" w:eastAsia="Cambria Math" w:hAnsi="Cambria Math" w:cs="Cambria Math"/>
              </w:rPr>
              <m:t>v</m:t>
            </m:r>
          </m:sub>
          <m:sup>
            <m:r>
              <w:rPr>
                <w:rFonts w:ascii="Cambria Math" w:eastAsia="Cambria Math" w:hAnsi="Cambria Math" w:cs="Cambria Math"/>
              </w:rPr>
              <m:t>Ch</m:t>
            </m:r>
          </m:sup>
        </m:sSubSup>
      </m:oMath>
      <w:r w:rsidRPr="00022BA7">
        <w:t xml:space="preserve"> </w:t>
      </w:r>
      <w:r>
        <w:t xml:space="preserve">are dimensionless factors influencing the cycle aging rate, </w:t>
      </w:r>
      <m:oMath>
        <m:sSubSup>
          <m:sSubSupPr>
            <m:ctrlPr>
              <w:rPr>
                <w:rFonts w:ascii="Cambria Math" w:eastAsia="Cambria Math" w:hAnsi="Cambria Math" w:cs="Cambria Math"/>
                <w:i/>
              </w:rPr>
            </m:ctrlPr>
          </m:sSubSupPr>
          <m:e>
            <m:r>
              <w:rPr>
                <w:rFonts w:ascii="Cambria Math" w:eastAsia="Cambria Math" w:hAnsi="Cambria Math" w:cs="Cambria Math"/>
              </w:rPr>
              <m:t>Q</m:t>
            </m:r>
          </m:e>
          <m:sub>
            <m:r>
              <w:rPr>
                <w:rFonts w:ascii="Cambria Math" w:eastAsia="Cambria Math" w:hAnsi="Cambria Math" w:cs="Cambria Math"/>
              </w:rPr>
              <m:t>v,px</m:t>
            </m:r>
          </m:sub>
          <m:sup>
            <m:r>
              <w:rPr>
                <w:rFonts w:ascii="Cambria Math" w:eastAsia="Cambria Math" w:hAnsi="Cambria Math" w:cs="Cambria Math"/>
              </w:rPr>
              <m:t>Cyc</m:t>
            </m:r>
          </m:sup>
        </m:sSubSup>
      </m:oMath>
      <w:r>
        <w:t xml:space="preserve">, </w:t>
      </w:r>
      <m:oMath>
        <m:sSubSup>
          <m:sSubSupPr>
            <m:ctrlPr>
              <w:rPr>
                <w:rFonts w:ascii="Cambria Math" w:eastAsia="Cambria Math" w:hAnsi="Cambria Math" w:cs="Cambria Math"/>
              </w:rPr>
            </m:ctrlPr>
          </m:sSubSupPr>
          <m:e>
            <m:r>
              <w:rPr>
                <w:rFonts w:ascii="Cambria Math" w:eastAsia="Cambria Math" w:hAnsi="Cambria Math" w:cs="Cambria Math"/>
              </w:rPr>
              <m:t>Q</m:t>
            </m:r>
          </m:e>
          <m:sub>
            <m:r>
              <w:rPr>
                <w:rFonts w:ascii="Cambria Math" w:eastAsia="Cambria Math" w:hAnsi="Cambria Math" w:cs="Cambria Math"/>
              </w:rPr>
              <m:t>v</m:t>
            </m:r>
          </m:sub>
          <m:sup>
            <m:r>
              <w:rPr>
                <w:rFonts w:ascii="Cambria Math" w:eastAsia="Cambria Math" w:hAnsi="Cambria Math" w:cs="Cambria Math"/>
              </w:rPr>
              <m:t>Dch</m:t>
            </m:r>
          </m:sup>
        </m:sSubSup>
      </m:oMath>
      <w:r>
        <w:t xml:space="preserve"> and </w:t>
      </w:r>
      <m:oMath>
        <m:sSubSup>
          <m:sSubSupPr>
            <m:ctrlPr>
              <w:rPr>
                <w:rFonts w:ascii="Cambria Math" w:eastAsia="Cambria Math" w:hAnsi="Cambria Math" w:cs="Cambria Math"/>
              </w:rPr>
            </m:ctrlPr>
          </m:sSubSupPr>
          <m:e>
            <m:r>
              <w:rPr>
                <w:rFonts w:ascii="Cambria Math" w:eastAsia="Cambria Math" w:hAnsi="Cambria Math" w:cs="Cambria Math"/>
              </w:rPr>
              <m:t>Q</m:t>
            </m:r>
          </m:e>
          <m:sub>
            <m:r>
              <w:rPr>
                <w:rFonts w:ascii="Cambria Math" w:eastAsia="Cambria Math" w:hAnsi="Cambria Math" w:cs="Cambria Math"/>
              </w:rPr>
              <m:t>v</m:t>
            </m:r>
          </m:sub>
          <m:sup>
            <m:r>
              <w:rPr>
                <w:rFonts w:ascii="Cambria Math" w:eastAsia="Cambria Math" w:hAnsi="Cambria Math" w:cs="Cambria Math"/>
              </w:rPr>
              <m:t>Ch</m:t>
            </m:r>
          </m:sup>
        </m:sSubSup>
      </m:oMath>
      <w:r>
        <w:t xml:space="preserve"> are functions of charging and discharging C-rates, </w:t>
      </w:r>
      <m:oMath>
        <m:sSub>
          <m:sSubPr>
            <m:ctrlPr>
              <w:rPr>
                <w:rFonts w:ascii="Cambria Math" w:hAnsi="Cambria Math" w:cs="Cambria Math"/>
                <w:i/>
              </w:rPr>
            </m:ctrlPr>
          </m:sSubPr>
          <m:e>
            <m:r>
              <w:rPr>
                <w:rFonts w:ascii="Cambria Math" w:hAnsi="Cambria Math" w:cs="Cambria Math"/>
              </w:rPr>
              <m:t>avg</m:t>
            </m:r>
          </m:e>
          <m:sub>
            <m:r>
              <w:rPr>
                <w:rFonts w:ascii="Cambria Math" w:hAnsi="Cambria Math" w:cs="Cambria Math"/>
              </w:rPr>
              <m:t>t</m:t>
            </m:r>
          </m:sub>
        </m:sSub>
      </m:oMath>
      <w:r>
        <w:t xml:space="preserve"> returns average an value over </w:t>
      </w:r>
      <w:r w:rsidRPr="000361AE">
        <w:rPr>
          <w:i/>
          <w:iCs/>
        </w:rPr>
        <w:t>t</w:t>
      </w:r>
      <w:r>
        <w:t xml:space="preserve">, and </w:t>
      </w:r>
      <m:oMath>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1</m:t>
            </m:r>
          </m:sub>
        </m:sSub>
        <m:r>
          <w:rPr>
            <w:rFonts w:ascii="Cambria Math" w:hAnsi="Cambria Math" w:cs="Cambria Math"/>
          </w:rPr>
          <m:t xml:space="preserve">, </m:t>
        </m:r>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2</m:t>
            </m:r>
          </m:sub>
        </m:sSub>
        <m:r>
          <w:rPr>
            <w:rFonts w:ascii="Cambria Math" w:hAnsi="Cambria Math" w:cs="Cambria Math"/>
          </w:rPr>
          <m:t xml:space="preserve">, </m:t>
        </m:r>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3</m:t>
            </m:r>
          </m:sub>
        </m:sSub>
        <m:r>
          <w:rPr>
            <w:rFonts w:ascii="Cambria Math" w:hAnsi="Cambria Math" w:cs="Cambria Math"/>
          </w:rPr>
          <m:t xml:space="preserve">¸, </m:t>
        </m:r>
      </m:oMath>
      <w:r>
        <w:rPr>
          <w:iCs/>
        </w:rPr>
        <w:t xml:space="preserve">and </w:t>
      </w:r>
      <m:oMath>
        <m:sSub>
          <m:sSubPr>
            <m:ctrlPr>
              <w:rPr>
                <w:rFonts w:ascii="Cambria Math" w:hAnsi="Cambria Math" w:cs="Cambria Math"/>
                <w:i/>
                <w:iCs/>
              </w:rPr>
            </m:ctrlPr>
          </m:sSubPr>
          <m:e>
            <m:r>
              <w:rPr>
                <w:rFonts w:ascii="Cambria Math" w:hAnsi="Cambria Math" w:cs="Cambria Math"/>
              </w:rPr>
              <m:t>γ</m:t>
            </m:r>
          </m:e>
          <m:sub>
            <m:r>
              <w:rPr>
                <w:rFonts w:ascii="Cambria Math" w:hAnsi="Cambria Math" w:cs="Cambria Math"/>
              </w:rPr>
              <m:t>4</m:t>
            </m:r>
          </m:sub>
        </m:sSub>
      </m:oMath>
      <w:r>
        <w:rPr>
          <w:iCs/>
        </w:rPr>
        <w:t xml:space="preserve"> are coefficients that fit the factors into the </w:t>
      </w:r>
      <w:proofErr w:type="spellStart"/>
      <w:r w:rsidRPr="00191933">
        <w:rPr>
          <w:iCs/>
        </w:rPr>
        <w:t>Woehler</w:t>
      </w:r>
      <w:proofErr w:type="spellEnd"/>
      <w:r w:rsidRPr="00191933">
        <w:rPr>
          <w:iCs/>
        </w:rPr>
        <w:t xml:space="preserve"> curve</w:t>
      </w:r>
      <w:r>
        <w:rPr>
          <w:iCs/>
        </w:rPr>
        <w:t xml:space="preserve"> whose values are 0.08, 0.0064, 0.15, 0.0225, respectively</w:t>
      </w:r>
      <w:r w:rsidR="005C5D7E">
        <w:fldChar w:fldCharType="begin"/>
      </w:r>
      <w:r w:rsidR="00C61E16">
        <w:instrText xml:space="preserve"> ADDIN ZOTERO_ITEM CSL_CITATION {"citationID":"mEgDwh1O","properties":{"formattedCitation":"\\super 17\\nosupersub{}","plainCitation":"17","noteIndex":0},"citationItems":[{"id":257,"uris":["http://zotero.org/users/12468222/items/EMNX872B"],"itemData":{"id":257,"type":"article-journal","abstract":"The aging behaviour of lithium-ion batteries is studied to develop an aging prediction model for the capacity loss of batteries in full electric ships. This model is used to investigate the effects of battery aging on the battery size and operational strategies of two case studies, a full electric ferry and a full electric tug.","language":"en","source":"repository.tudelft.nl","title":"An assessment of the relationship between battery size, charging strategy and battery lifetime","URL":"https://repository.tudelft.nl/islandora/object/uuid%3A81aee798-31bc-4628-82a7-ab03937d1161","author":[{"family":"Cate Hoedemaker","given":"Sybrand","non-dropping-particle":"ten"}],"accessed":{"date-parts":[["2023",9,26]]},"issued":{"date-parts":[["2017"]]}}}],"schema":"https://github.com/citation-style-language/schema/raw/master/csl-citation.json"} </w:instrText>
      </w:r>
      <w:r w:rsidR="005C5D7E">
        <w:fldChar w:fldCharType="separate"/>
      </w:r>
      <w:r w:rsidR="00C61E16" w:rsidRPr="00C61E16">
        <w:rPr>
          <w:rFonts w:cs="Times New Roman"/>
          <w:szCs w:val="24"/>
          <w:vertAlign w:val="superscript"/>
        </w:rPr>
        <w:t>17</w:t>
      </w:r>
      <w:r w:rsidR="005C5D7E">
        <w:fldChar w:fldCharType="end"/>
      </w:r>
      <w:r w:rsidRPr="00022BA7">
        <w:t>.</w:t>
      </w:r>
    </w:p>
    <w:p w14:paraId="7DFE7C31" w14:textId="77777777" w:rsidR="004F075A" w:rsidRDefault="004F075A" w:rsidP="004F075A"/>
    <w:p w14:paraId="26EF65E1" w14:textId="77777777" w:rsidR="004F075A" w:rsidRDefault="004F075A" w:rsidP="004F075A">
      <w:r>
        <w:rPr>
          <w:iCs/>
        </w:rPr>
        <w:t>Charging and discharging C-rates are calculated as charging and discharging power over battery capacity, as shown in equations (33) and (34):</w:t>
      </w:r>
      <w:r>
        <w:t xml:space="preserve"> </w:t>
      </w:r>
    </w:p>
    <w:p w14:paraId="492428CD" w14:textId="77777777" w:rsidR="004F075A"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0216CE98" w14:textId="77777777" w:rsidTr="00F95C74">
        <w:trPr>
          <w:trHeight w:val="300"/>
        </w:trPr>
        <w:tc>
          <w:tcPr>
            <w:tcW w:w="720" w:type="dxa"/>
          </w:tcPr>
          <w:p w14:paraId="0B3E25EE" w14:textId="77777777" w:rsidR="004F075A" w:rsidRPr="00022BA7" w:rsidRDefault="004F075A" w:rsidP="00F95C74">
            <w:pPr>
              <w:rPr>
                <w:i/>
              </w:rPr>
            </w:pPr>
          </w:p>
        </w:tc>
        <w:tc>
          <w:tcPr>
            <w:tcW w:w="7920" w:type="dxa"/>
          </w:tcPr>
          <w:p w14:paraId="6A41CCB0" w14:textId="77777777" w:rsidR="004F075A" w:rsidRPr="00E85498" w:rsidRDefault="00590C69" w:rsidP="00F95C74">
            <w:pPr>
              <w:rPr>
                <w:rFonts w:eastAsia="Malgun Gothic" w:cs="Times New Roman"/>
                <w:bCs/>
                <w:i/>
              </w:rPr>
            </w:pPr>
            <m:oMathPara>
              <m:oMath>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Dch</m:t>
                    </m:r>
                  </m:sup>
                </m:sSubSup>
                <m:r>
                  <m:rPr>
                    <m:sty m:val="p"/>
                  </m:rPr>
                  <w:rPr>
                    <w:rFonts w:ascii="Cambria Math" w:eastAsia="Malgun Gothic" w:hAnsi="Cambria Math" w:cs="Times New Roman"/>
                  </w:rPr>
                  <m:t>=</m:t>
                </m:r>
                <m:r>
                  <w:rPr>
                    <w:rFonts w:ascii="Cambria Math" w:hAnsi="Cambria Math" w:cs="Cambria Math"/>
                  </w:rPr>
                  <m:t>dc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r>
                  <w:rPr>
                    <w:rFonts w:ascii="Cambria Math" w:hAnsi="Cambria Math"/>
                  </w:rPr>
                  <m:t>/</m:t>
                </m:r>
                <m:sSubSup>
                  <m:sSubSupPr>
                    <m:ctrlPr>
                      <w:rPr>
                        <w:rFonts w:ascii="Cambria Math" w:hAnsi="Cambria Math"/>
                        <w:i/>
                      </w:rPr>
                    </m:ctrlPr>
                  </m:sSubSupPr>
                  <m:e>
                    <m:r>
                      <w:rPr>
                        <w:rFonts w:ascii="Cambria Math" w:hAnsi="Cambria Math"/>
                      </w:rPr>
                      <m:t>CAP</m:t>
                    </m:r>
                  </m:e>
                  <m:sub>
                    <m:r>
                      <w:rPr>
                        <w:rFonts w:ascii="Cambria Math" w:hAnsi="Cambria Math"/>
                      </w:rPr>
                      <m:t>v,pX</m:t>
                    </m:r>
                  </m:sub>
                  <m:sup>
                    <m:r>
                      <w:rPr>
                        <w:rFonts w:ascii="Cambria Math" w:hAnsi="Cambria Math"/>
                      </w:rPr>
                      <m:t>BES</m:t>
                    </m:r>
                  </m:sup>
                </m:sSubSup>
              </m:oMath>
            </m:oMathPara>
          </w:p>
        </w:tc>
        <w:tc>
          <w:tcPr>
            <w:tcW w:w="720" w:type="dxa"/>
          </w:tcPr>
          <w:p w14:paraId="795662BC" w14:textId="77777777" w:rsidR="004F075A" w:rsidRPr="00022BA7" w:rsidRDefault="004F075A" w:rsidP="00F95C74">
            <w:pPr>
              <w:jc w:val="right"/>
            </w:pPr>
            <w:r w:rsidRPr="00022BA7">
              <w:t>(</w:t>
            </w:r>
            <w:r>
              <w:t>33</w:t>
            </w:r>
            <w:r w:rsidRPr="00022BA7">
              <w:t>)</w:t>
            </w:r>
          </w:p>
        </w:tc>
      </w:tr>
      <w:tr w:rsidR="004F075A" w:rsidRPr="00022BA7" w14:paraId="6163818C" w14:textId="77777777" w:rsidTr="00F95C74">
        <w:trPr>
          <w:trHeight w:val="300"/>
        </w:trPr>
        <w:tc>
          <w:tcPr>
            <w:tcW w:w="720" w:type="dxa"/>
          </w:tcPr>
          <w:p w14:paraId="40006048" w14:textId="77777777" w:rsidR="004F075A" w:rsidRPr="00022BA7" w:rsidRDefault="004F075A" w:rsidP="00F95C74">
            <w:pPr>
              <w:rPr>
                <w:i/>
              </w:rPr>
            </w:pPr>
          </w:p>
        </w:tc>
        <w:tc>
          <w:tcPr>
            <w:tcW w:w="7920" w:type="dxa"/>
          </w:tcPr>
          <w:p w14:paraId="697A7370" w14:textId="77777777" w:rsidR="004F075A" w:rsidRPr="00E85498" w:rsidRDefault="00590C69" w:rsidP="00F95C74">
            <w:pPr>
              <w:rPr>
                <w:rFonts w:eastAsia="Malgun Gothic" w:cs="Times New Roman"/>
                <w:i/>
              </w:rPr>
            </w:pPr>
            <m:oMathPara>
              <m:oMath>
                <m:sSubSup>
                  <m:sSubSupPr>
                    <m:ctrlPr>
                      <w:rPr>
                        <w:rFonts w:ascii="Cambria Math" w:hAnsi="Cambria Math" w:cs="Cambria Math"/>
                        <w:i/>
                      </w:rPr>
                    </m:ctrlPr>
                  </m:sSubSupPr>
                  <m:e>
                    <m:r>
                      <w:rPr>
                        <w:rFonts w:ascii="Cambria Math" w:hAnsi="Cambria Math" w:cs="Cambria Math"/>
                      </w:rPr>
                      <m:t>CR</m:t>
                    </m:r>
                  </m:e>
                  <m:sub>
                    <m:r>
                      <w:rPr>
                        <w:rFonts w:ascii="Cambria Math" w:hAnsi="Cambria Math" w:cs="Cambria Math"/>
                      </w:rPr>
                      <m:t>v,px,t</m:t>
                    </m:r>
                  </m:sub>
                  <m:sup>
                    <m:r>
                      <w:rPr>
                        <w:rFonts w:ascii="Cambria Math" w:hAnsi="Cambria Math" w:cs="Cambria Math"/>
                      </w:rPr>
                      <m:t>Ch</m:t>
                    </m:r>
                  </m:sup>
                </m:sSubSup>
                <m:r>
                  <m:rPr>
                    <m:sty m:val="p"/>
                  </m:rPr>
                  <w:rPr>
                    <w:rFonts w:ascii="Cambria Math" w:eastAsia="Malgun Gothic" w:hAnsi="Cambria Math" w:cs="Times New Roman"/>
                  </w:rPr>
                  <m:t>=</m:t>
                </m:r>
                <m:r>
                  <w:rPr>
                    <w:rFonts w:ascii="Cambria Math" w:hAnsi="Cambria Math" w:cs="Cambria Math"/>
                  </w:rPr>
                  <m:t>c</m:t>
                </m:r>
                <m:sSub>
                  <m:sSubPr>
                    <m:ctrlPr>
                      <w:rPr>
                        <w:rFonts w:ascii="Cambria Math" w:hAnsi="Cambria Math" w:cs="Cambria Math"/>
                        <w:i/>
                      </w:rPr>
                    </m:ctrlPr>
                  </m:sSubPr>
                  <m:e>
                    <m:r>
                      <w:rPr>
                        <w:rFonts w:ascii="Cambria Math" w:hAnsi="Cambria Math" w:cs="Cambria Math"/>
                      </w:rPr>
                      <m:t>h</m:t>
                    </m:r>
                  </m:e>
                  <m:sub>
                    <m:r>
                      <w:rPr>
                        <w:rFonts w:ascii="Cambria Math" w:hAnsi="Cambria Math" w:cs="Cambria Math"/>
                      </w:rPr>
                      <m:t>v,px,t</m:t>
                    </m:r>
                  </m:sub>
                </m:sSub>
                <m:r>
                  <w:rPr>
                    <w:rFonts w:ascii="Cambria Math" w:hAnsi="Cambria Math"/>
                  </w:rPr>
                  <m:t>/</m:t>
                </m:r>
                <m:sSubSup>
                  <m:sSubSupPr>
                    <m:ctrlPr>
                      <w:rPr>
                        <w:rFonts w:ascii="Cambria Math" w:hAnsi="Cambria Math"/>
                        <w:i/>
                      </w:rPr>
                    </m:ctrlPr>
                  </m:sSubSupPr>
                  <m:e>
                    <m:r>
                      <w:rPr>
                        <w:rFonts w:ascii="Cambria Math" w:hAnsi="Cambria Math"/>
                      </w:rPr>
                      <m:t>CAP</m:t>
                    </m:r>
                  </m:e>
                  <m:sub>
                    <m:r>
                      <w:rPr>
                        <w:rFonts w:ascii="Cambria Math" w:hAnsi="Cambria Math"/>
                      </w:rPr>
                      <m:t>v,pX</m:t>
                    </m:r>
                  </m:sub>
                  <m:sup>
                    <m:r>
                      <w:rPr>
                        <w:rFonts w:ascii="Cambria Math" w:hAnsi="Cambria Math"/>
                      </w:rPr>
                      <m:t>BES</m:t>
                    </m:r>
                  </m:sup>
                </m:sSubSup>
              </m:oMath>
            </m:oMathPara>
          </w:p>
        </w:tc>
        <w:tc>
          <w:tcPr>
            <w:tcW w:w="720" w:type="dxa"/>
          </w:tcPr>
          <w:p w14:paraId="19AB72E5" w14:textId="77777777" w:rsidR="004F075A" w:rsidRPr="00022BA7" w:rsidRDefault="004F075A" w:rsidP="00F95C74">
            <w:pPr>
              <w:jc w:val="right"/>
            </w:pPr>
            <w:r w:rsidRPr="00022BA7">
              <w:t>(</w:t>
            </w:r>
            <w:r>
              <w:t>34</w:t>
            </w:r>
            <w:r w:rsidRPr="00022BA7">
              <w:t>)</w:t>
            </w:r>
          </w:p>
        </w:tc>
      </w:tr>
    </w:tbl>
    <w:p w14:paraId="416DC734" w14:textId="77777777" w:rsidR="004F075A" w:rsidRPr="00022BA7" w:rsidRDefault="004F075A" w:rsidP="004F075A"/>
    <w:p w14:paraId="65A3F009" w14:textId="0E585972" w:rsidR="004F075A" w:rsidRPr="00022BA7" w:rsidRDefault="00FE5465" w:rsidP="006A1C06">
      <w:r>
        <w:fldChar w:fldCharType="begin"/>
      </w:r>
      <w:r>
        <w:instrText xml:space="preserve"> REF _Ref144853014 \h </w:instrText>
      </w:r>
      <w:r>
        <w:fldChar w:fldCharType="separate"/>
      </w:r>
      <w:r w:rsidR="00C661AC">
        <w:t xml:space="preserve">Supplementary </w:t>
      </w:r>
      <w:r w:rsidR="00C661AC" w:rsidRPr="00022BA7">
        <w:t xml:space="preserve">Figure </w:t>
      </w:r>
      <w:r w:rsidR="00C661AC">
        <w:rPr>
          <w:noProof/>
        </w:rPr>
        <w:t>17</w:t>
      </w:r>
      <w:r>
        <w:fldChar w:fldCharType="end"/>
      </w:r>
      <w:r>
        <w:t xml:space="preserve"> </w:t>
      </w:r>
      <w:r w:rsidR="004F075A" w:rsidRPr="00022BA7">
        <w:t>provides an illustrative example of battery sizing calculations</w:t>
      </w:r>
      <w:r w:rsidR="004F075A">
        <w:t>,</w:t>
      </w:r>
      <w:r w:rsidR="004F075A" w:rsidRPr="00022BA7">
        <w:t xml:space="preserve"> account</w:t>
      </w:r>
      <w:r w:rsidR="004F075A">
        <w:t>ing</w:t>
      </w:r>
      <w:r w:rsidR="004F075A" w:rsidRPr="00022BA7">
        <w:t xml:space="preserve"> </w:t>
      </w:r>
      <w:r w:rsidR="004F075A">
        <w:t xml:space="preserve">for </w:t>
      </w:r>
      <w:r w:rsidR="004F075A" w:rsidRPr="00022BA7">
        <w:t>battery capacity</w:t>
      </w:r>
      <w:r w:rsidR="004F075A">
        <w:t xml:space="preserve"> degradation</w:t>
      </w:r>
      <w:r w:rsidR="004F075A" w:rsidRPr="00022BA7">
        <w:t xml:space="preserve">. On the left, the total capacity of the battery is allocated with 20% for upper and lower </w:t>
      </w:r>
      <w:r w:rsidR="004F075A">
        <w:t xml:space="preserve">SOC </w:t>
      </w:r>
      <w:r w:rsidR="004F075A" w:rsidRPr="00022BA7">
        <w:t>limit</w:t>
      </w:r>
      <w:r w:rsidR="004F075A">
        <w:t>s</w:t>
      </w:r>
      <w:r w:rsidR="004F075A" w:rsidRPr="00022BA7">
        <w:t xml:space="preserve">, 3% for </w:t>
      </w:r>
      <w:r w:rsidR="004F075A">
        <w:t xml:space="preserve">a </w:t>
      </w:r>
      <w:r w:rsidR="004F075A" w:rsidRPr="00022BA7">
        <w:t xml:space="preserve">safety margin, and 20% reserved for degradation. The right side of the figure demonstrates that even after degradation, the </w:t>
      </w:r>
      <w:r w:rsidR="004F075A">
        <w:t xml:space="preserve">available </w:t>
      </w:r>
      <w:r w:rsidR="004F075A" w:rsidRPr="00022BA7">
        <w:t xml:space="preserve">capacity at </w:t>
      </w:r>
      <w:r w:rsidR="004F075A">
        <w:t xml:space="preserve">end of life </w:t>
      </w:r>
      <w:r w:rsidR="004F075A" w:rsidRPr="00022BA7">
        <w:t>can still serve energy requirements.</w:t>
      </w:r>
    </w:p>
    <w:p w14:paraId="63B7EDDE" w14:textId="38815304" w:rsidR="004F075A" w:rsidRPr="00022BA7" w:rsidRDefault="004F075A" w:rsidP="004F075A">
      <w:pPr>
        <w:pStyle w:val="Caption"/>
        <w:rPr>
          <w:b w:val="0"/>
        </w:rPr>
      </w:pPr>
    </w:p>
    <w:p w14:paraId="222D3F22" w14:textId="57E84794" w:rsidR="005A672F" w:rsidRDefault="005A672F">
      <w:pPr>
        <w:widowControl/>
        <w:spacing w:line="240" w:lineRule="auto"/>
      </w:pPr>
      <w:r>
        <w:br w:type="page"/>
      </w:r>
    </w:p>
    <w:p w14:paraId="26FCBB9A" w14:textId="667D92C3" w:rsidR="005A672F" w:rsidRPr="00022BA7" w:rsidRDefault="003575CC" w:rsidP="005A672F">
      <w:pPr>
        <w:pStyle w:val="Heading1"/>
        <w:numPr>
          <w:ilvl w:val="0"/>
          <w:numId w:val="0"/>
        </w:numPr>
        <w:rPr>
          <w:color w:val="1F497D" w:themeColor="text2"/>
        </w:rPr>
      </w:pPr>
      <w:bookmarkStart w:id="87" w:name="_Ref144853739"/>
      <w:bookmarkStart w:id="88" w:name="_Toc146723121"/>
      <w:r>
        <w:rPr>
          <w:color w:val="1F497D" w:themeColor="text2"/>
        </w:rPr>
        <w:t xml:space="preserve">Supplementary Note 5: </w:t>
      </w:r>
      <w:r w:rsidR="00D20633">
        <w:rPr>
          <w:color w:val="1F497D" w:themeColor="text2"/>
        </w:rPr>
        <w:t>Emission Calculation</w:t>
      </w:r>
      <w:bookmarkEnd w:id="87"/>
      <w:bookmarkEnd w:id="88"/>
    </w:p>
    <w:p w14:paraId="549D97DD" w14:textId="4CE232D1" w:rsidR="004F075A" w:rsidRDefault="004F075A" w:rsidP="004F075A">
      <w:r w:rsidRPr="00022BA7">
        <w:t>Emissions can be calculated using two approaches: the energy-based approach and the fuel-based approach</w:t>
      </w:r>
      <w:r w:rsidR="006A1C06">
        <w:fldChar w:fldCharType="begin"/>
      </w:r>
      <w:r w:rsidR="00C61E16">
        <w:instrText xml:space="preserve"> ADDIN ZOTERO_ITEM CSL_CITATION {"citationID":"M3ViNFgX","properties":{"formattedCitation":"\\super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6A1C06">
        <w:fldChar w:fldCharType="separate"/>
      </w:r>
      <w:r w:rsidR="00C61E16" w:rsidRPr="00C61E16">
        <w:rPr>
          <w:rFonts w:cs="Times New Roman"/>
          <w:szCs w:val="24"/>
          <w:vertAlign w:val="superscript"/>
        </w:rPr>
        <w:t>7</w:t>
      </w:r>
      <w:r w:rsidR="006A1C06">
        <w:fldChar w:fldCharType="end"/>
      </w:r>
      <w:r w:rsidRPr="00022BA7">
        <w:t xml:space="preserve">. </w:t>
      </w:r>
      <w:r>
        <w:t>T</w:t>
      </w:r>
      <w:r w:rsidRPr="00022BA7">
        <w:t>his study</w:t>
      </w:r>
      <w:r>
        <w:t xml:space="preserve"> uses</w:t>
      </w:r>
      <w:r w:rsidRPr="00022BA7">
        <w:t xml:space="preserve"> </w:t>
      </w:r>
      <w:r>
        <w:t xml:space="preserve">the </w:t>
      </w:r>
      <w:r w:rsidRPr="00022BA7">
        <w:t>energy-based approach</w:t>
      </w:r>
      <w:r>
        <w:t>,</w:t>
      </w:r>
      <w:r w:rsidRPr="00022BA7">
        <w:t xml:space="preserve"> </w:t>
      </w:r>
      <w:r>
        <w:t xml:space="preserve">which </w:t>
      </w:r>
      <w:r w:rsidRPr="00022BA7">
        <w:t xml:space="preserve">calculates emissions based on the output of each engine and its corresponding emission factor in grams per kilowatt-hour (g/kWh). </w:t>
      </w:r>
      <w:r>
        <w:t>This</w:t>
      </w:r>
      <w:r w:rsidRPr="00022BA7">
        <w:t xml:space="preserve"> </w:t>
      </w:r>
      <w:r>
        <w:t>facilitates the calculation of</w:t>
      </w:r>
      <w:r w:rsidRPr="00022BA7">
        <w:t xml:space="preserve"> emissions </w:t>
      </w:r>
      <w:r>
        <w:t xml:space="preserve">from both </w:t>
      </w:r>
      <w:r w:rsidRPr="00022BA7">
        <w:t xml:space="preserve">ICEs and BESs </w:t>
      </w:r>
      <w:r>
        <w:t xml:space="preserve">using identical </w:t>
      </w:r>
      <w:r w:rsidRPr="00022BA7">
        <w:t xml:space="preserve">energy consumption </w:t>
      </w:r>
      <w:r>
        <w:t>data</w:t>
      </w:r>
      <w:r w:rsidRPr="00022BA7">
        <w:t xml:space="preserve">. </w:t>
      </w:r>
      <w:r w:rsidRPr="00022BA7">
        <w:rPr>
          <w:lang w:eastAsia="ko-KR"/>
        </w:rPr>
        <w:t xml:space="preserve">Five </w:t>
      </w:r>
      <w:r>
        <w:rPr>
          <w:lang w:eastAsia="ko-KR"/>
        </w:rPr>
        <w:t xml:space="preserve">types of air </w:t>
      </w:r>
      <w:r w:rsidRPr="00022BA7">
        <w:rPr>
          <w:lang w:eastAsia="ko-KR"/>
        </w:rPr>
        <w:t>emissions, CH</w:t>
      </w:r>
      <w:r w:rsidRPr="00022BA7">
        <w:rPr>
          <w:vertAlign w:val="subscript"/>
          <w:lang w:eastAsia="ko-KR"/>
        </w:rPr>
        <w:t>4</w:t>
      </w:r>
      <w:r w:rsidRPr="00022BA7">
        <w:rPr>
          <w:lang w:eastAsia="ko-KR"/>
        </w:rPr>
        <w:t>, N</w:t>
      </w:r>
      <w:r w:rsidRPr="00022BA7">
        <w:rPr>
          <w:vertAlign w:val="subscript"/>
          <w:lang w:eastAsia="ko-KR"/>
        </w:rPr>
        <w:t>2</w:t>
      </w:r>
      <w:r w:rsidRPr="00022BA7">
        <w:rPr>
          <w:lang w:eastAsia="ko-KR"/>
        </w:rPr>
        <w:t>O, CO</w:t>
      </w:r>
      <w:r w:rsidRPr="00022BA7">
        <w:rPr>
          <w:vertAlign w:val="subscript"/>
          <w:lang w:eastAsia="ko-KR"/>
        </w:rPr>
        <w:t>2</w:t>
      </w:r>
      <w:r w:rsidRPr="00022BA7">
        <w:rPr>
          <w:lang w:eastAsia="ko-KR"/>
        </w:rPr>
        <w:t xml:space="preserve">, </w:t>
      </w:r>
      <w:r w:rsidR="00552963">
        <w:rPr>
          <w:color w:val="000000"/>
        </w:rPr>
        <w:t>Nitrogen Oxides</w:t>
      </w:r>
      <w:r w:rsidR="00552963" w:rsidRPr="00022BA7">
        <w:rPr>
          <w:lang w:eastAsia="ko-KR"/>
        </w:rPr>
        <w:t xml:space="preserve"> </w:t>
      </w:r>
      <w:r w:rsidR="00552963">
        <w:rPr>
          <w:lang w:eastAsia="ko-KR"/>
        </w:rPr>
        <w:t>(</w:t>
      </w:r>
      <w:r w:rsidR="00552963" w:rsidRPr="00022BA7">
        <w:rPr>
          <w:lang w:eastAsia="ko-KR"/>
        </w:rPr>
        <w:t>NO</w:t>
      </w:r>
      <w:r w:rsidR="00552963" w:rsidRPr="00022BA7">
        <w:rPr>
          <w:vertAlign w:val="subscript"/>
          <w:lang w:eastAsia="ko-KR"/>
        </w:rPr>
        <w:t>x</w:t>
      </w:r>
      <w:r w:rsidR="00552963">
        <w:rPr>
          <w:lang w:eastAsia="ko-KR"/>
        </w:rPr>
        <w:t>)</w:t>
      </w:r>
      <w:r w:rsidRPr="00022BA7">
        <w:rPr>
          <w:lang w:eastAsia="ko-KR"/>
        </w:rPr>
        <w:t xml:space="preserve">, and </w:t>
      </w:r>
      <w:r w:rsidR="00E3538E">
        <w:rPr>
          <w:color w:val="000000"/>
        </w:rPr>
        <w:t>Sulfur Oxides (</w:t>
      </w:r>
      <w:proofErr w:type="spellStart"/>
      <w:r w:rsidR="00E3538E" w:rsidRPr="00022BA7">
        <w:rPr>
          <w:lang w:eastAsia="ko-KR"/>
        </w:rPr>
        <w:t>SO</w:t>
      </w:r>
      <w:r w:rsidR="00E3538E" w:rsidRPr="00022BA7">
        <w:rPr>
          <w:vertAlign w:val="subscript"/>
          <w:lang w:eastAsia="ko-KR"/>
        </w:rPr>
        <w:t>x</w:t>
      </w:r>
      <w:proofErr w:type="spellEnd"/>
      <w:r w:rsidR="00E3538E">
        <w:rPr>
          <w:color w:val="000000"/>
        </w:rPr>
        <w:t>)</w:t>
      </w:r>
      <w:r>
        <w:rPr>
          <w:lang w:eastAsia="ko-KR"/>
        </w:rPr>
        <w:t xml:space="preserve">, </w:t>
      </w:r>
      <w:r w:rsidRPr="00022BA7">
        <w:rPr>
          <w:lang w:eastAsia="ko-KR"/>
        </w:rPr>
        <w:t>are estimated based on the energy consumption calculate</w:t>
      </w:r>
      <w:r>
        <w:rPr>
          <w:lang w:eastAsia="ko-KR"/>
        </w:rPr>
        <w:t>d</w:t>
      </w:r>
      <w:r w:rsidRPr="00022BA7">
        <w:rPr>
          <w:lang w:eastAsia="ko-KR"/>
        </w:rPr>
        <w:t xml:space="preserve"> in</w:t>
      </w:r>
      <w:r w:rsidR="00F44D02">
        <w:rPr>
          <w:lang w:eastAsia="ko-KR"/>
        </w:rPr>
        <w:t xml:space="preserve"> subsection</w:t>
      </w:r>
      <w:r w:rsidRPr="00022BA7">
        <w:rPr>
          <w:lang w:eastAsia="ko-KR"/>
        </w:rPr>
        <w:t xml:space="preserve"> </w:t>
      </w:r>
      <w:r w:rsidR="00645BD5">
        <w:rPr>
          <w:lang w:eastAsia="ko-KR"/>
        </w:rPr>
        <w:t>“</w:t>
      </w:r>
      <w:r w:rsidR="00B5429E" w:rsidRPr="00417C91">
        <w:rPr>
          <w:color w:val="1F497D" w:themeColor="text2"/>
          <w:lang w:eastAsia="ko-KR"/>
        </w:rPr>
        <w:fldChar w:fldCharType="begin"/>
      </w:r>
      <w:r w:rsidR="00B5429E" w:rsidRPr="00417C91">
        <w:rPr>
          <w:color w:val="1F497D" w:themeColor="text2"/>
          <w:lang w:eastAsia="ko-KR"/>
        </w:rPr>
        <w:instrText xml:space="preserve"> REF _Ref144853042 \h </w:instrText>
      </w:r>
      <w:r w:rsidR="00B5429E" w:rsidRPr="00417C91">
        <w:rPr>
          <w:color w:val="1F497D" w:themeColor="text2"/>
          <w:lang w:eastAsia="ko-KR"/>
        </w:rPr>
      </w:r>
      <w:r w:rsidR="00B5429E" w:rsidRPr="00417C91">
        <w:rPr>
          <w:color w:val="1F497D" w:themeColor="text2"/>
          <w:lang w:eastAsia="ko-KR"/>
        </w:rPr>
        <w:fldChar w:fldCharType="separate"/>
      </w:r>
      <w:r w:rsidR="00C661AC" w:rsidRPr="00B36DAD">
        <w:t>Calculation of Ship Power Demand</w:t>
      </w:r>
      <w:r w:rsidR="00B5429E" w:rsidRPr="00417C91">
        <w:rPr>
          <w:color w:val="1F497D" w:themeColor="text2"/>
          <w:lang w:eastAsia="ko-KR"/>
        </w:rPr>
        <w:fldChar w:fldCharType="end"/>
      </w:r>
      <w:r w:rsidR="00645BD5">
        <w:rPr>
          <w:lang w:eastAsia="ko-KR"/>
        </w:rPr>
        <w:t>”</w:t>
      </w:r>
      <w:r w:rsidR="00B5429E">
        <w:rPr>
          <w:lang w:eastAsia="ko-KR"/>
        </w:rPr>
        <w:t xml:space="preserve"> </w:t>
      </w:r>
      <w:r>
        <w:rPr>
          <w:lang w:eastAsia="ko-KR"/>
        </w:rPr>
        <w:t xml:space="preserve">and considering their respective 100-year </w:t>
      </w:r>
      <w:r w:rsidRPr="00022BA7">
        <w:t>global warming potentials</w:t>
      </w:r>
      <w:r w:rsidR="00F33969">
        <w:fldChar w:fldCharType="begin"/>
      </w:r>
      <w:r w:rsidR="00F33969">
        <w:instrText xml:space="preserve"> ADDIN ZOTERO_ITEM CSL_CITATION {"citationID":"S2k6eHUS","properties":{"formattedCitation":"\\super 18\\nosupersub{}","plainCitation":"18","noteIndex":0},"citationItems":[{"id":202,"uris":["http://zotero.org/users/12468222/items/7B6XKPN2"],"itemData":{"id":202,"type":"book","abstract":"The Working Group I contribution to the Sixth Assessment Report of the Intergovernmental Panel on Climate Change (IPCC) provides a comprehensive assessment of the physical science basis of climate change. It considers in situ and remote observations; paleoclimate information; understanding of climate drivers and physical, chemical, and biological processes and feedbacks; global and regional climate modelling; advances in methods of analyses; and insights from climate services. It assesses the current state of the climate; human influence on climate in all regions; future climate change including sea level rise; global warming effects including extremes; climate information for risk assessment and regional adaptation; limiting climate change by reaching net zero carbon dioxide emissions and reducing other greenhouse gas emissions; and benefits for air quality. The report serves policymakers, decision makers, stakeholders, and all interested parties with the latest policy-relevant information on climate change. Available as Open Access on Cambridge Core.","edition":"1","ISBN":"978-1-00-915789-6","language":"en","note":"DOI: 10.1017/9781009157896","publisher":"Cambridge University Press","source":"DOI.org (Crossref)","title":"Climate Change 2021 – The Physical Science Basis: Working Group I Contribution to the Sixth Assessment Report of the Intergovernmental Panel on Climate Change","title-short":"Climate Change 2021 – The Physical Science Basis","URL":"https://www.cambridge.org/core/product/identifier/9781009157896/type/book","author":[{"literal":"Intergovernmental Panel On Climate Change"}],"accessed":{"date-parts":[["2023",9,26]]},"issued":{"date-parts":[["2023",7,6]]}}}],"schema":"https://github.com/citation-style-language/schema/raw/master/csl-citation.json"} </w:instrText>
      </w:r>
      <w:r w:rsidR="00F33969">
        <w:fldChar w:fldCharType="separate"/>
      </w:r>
      <w:r w:rsidR="00F33969" w:rsidRPr="00F33969">
        <w:rPr>
          <w:rFonts w:cs="Times New Roman"/>
          <w:szCs w:val="24"/>
          <w:vertAlign w:val="superscript"/>
        </w:rPr>
        <w:t>18</w:t>
      </w:r>
      <w:r w:rsidR="00F33969">
        <w:fldChar w:fldCharType="end"/>
      </w:r>
      <w:r w:rsidRPr="00022BA7">
        <w:rPr>
          <w:lang w:eastAsia="ko-KR"/>
        </w:rPr>
        <w:t xml:space="preserve">. </w:t>
      </w:r>
      <w:r w:rsidRPr="00022BA7">
        <w:t xml:space="preserve">For </w:t>
      </w:r>
      <w:r w:rsidR="002C1EFC">
        <w:rPr>
          <w:color w:val="000000"/>
        </w:rPr>
        <w:t>Carbon dioxide equivalent</w:t>
      </w:r>
      <w:r w:rsidR="002C1EFC" w:rsidRPr="00022BA7">
        <w:rPr>
          <w:lang w:eastAsia="ko-KR"/>
        </w:rPr>
        <w:t xml:space="preserve"> </w:t>
      </w:r>
      <w:r w:rsidR="002C1EFC">
        <w:rPr>
          <w:lang w:eastAsia="ko-KR"/>
        </w:rPr>
        <w:t>(</w:t>
      </w:r>
      <w:r w:rsidRPr="00022BA7">
        <w:rPr>
          <w:lang w:eastAsia="ko-KR"/>
        </w:rPr>
        <w:t>CO</w:t>
      </w:r>
      <w:r w:rsidRPr="00022BA7">
        <w:rPr>
          <w:vertAlign w:val="subscript"/>
          <w:lang w:eastAsia="ko-KR"/>
        </w:rPr>
        <w:t>2</w:t>
      </w:r>
      <w:r w:rsidRPr="00022BA7">
        <w:rPr>
          <w:lang w:eastAsia="ko-KR"/>
        </w:rPr>
        <w:t>e</w:t>
      </w:r>
      <w:r w:rsidR="002C1EFC">
        <w:rPr>
          <w:lang w:eastAsia="ko-KR"/>
        </w:rPr>
        <w:t>)</w:t>
      </w:r>
      <w:r w:rsidRPr="00022BA7">
        <w:rPr>
          <w:lang w:eastAsia="ko-KR"/>
        </w:rPr>
        <w:t xml:space="preserve">, </w:t>
      </w:r>
      <w:r>
        <w:rPr>
          <w:lang w:eastAsia="ko-KR"/>
        </w:rPr>
        <w:t xml:space="preserve">an </w:t>
      </w:r>
      <w:r w:rsidRPr="00022BA7">
        <w:rPr>
          <w:lang w:eastAsia="ko-KR"/>
        </w:rPr>
        <w:t>LCA</w:t>
      </w:r>
      <w:r>
        <w:rPr>
          <w:lang w:eastAsia="ko-KR"/>
        </w:rPr>
        <w:t>-</w:t>
      </w:r>
      <w:r w:rsidRPr="00022BA7">
        <w:rPr>
          <w:lang w:eastAsia="ko-KR"/>
        </w:rPr>
        <w:t xml:space="preserve">based approach is </w:t>
      </w:r>
      <w:r>
        <w:rPr>
          <w:lang w:eastAsia="ko-KR"/>
        </w:rPr>
        <w:t xml:space="preserve">used, </w:t>
      </w:r>
      <w:r w:rsidRPr="00022BA7">
        <w:rPr>
          <w:lang w:eastAsia="ko-KR"/>
        </w:rPr>
        <w:t>which is detailed in</w:t>
      </w:r>
      <w:r w:rsidR="00B92F0E">
        <w:rPr>
          <w:lang w:eastAsia="ko-KR"/>
        </w:rPr>
        <w:t xml:space="preserve"> </w:t>
      </w:r>
      <w:r w:rsidR="00F44D02">
        <w:rPr>
          <w:lang w:eastAsia="ko-KR"/>
        </w:rPr>
        <w:t>section</w:t>
      </w:r>
      <w:r>
        <w:rPr>
          <w:lang w:eastAsia="ko-KR"/>
        </w:rPr>
        <w:t xml:space="preserve"> </w:t>
      </w:r>
      <w:r w:rsidR="00AE7724">
        <w:rPr>
          <w:lang w:eastAsia="ko-KR"/>
        </w:rPr>
        <w:t>“</w:t>
      </w:r>
      <w:r w:rsidR="00815B4E">
        <w:rPr>
          <w:lang w:eastAsia="ko-KR"/>
        </w:rPr>
        <w:fldChar w:fldCharType="begin"/>
      </w:r>
      <w:r w:rsidR="00815B4E">
        <w:rPr>
          <w:lang w:eastAsia="ko-KR"/>
        </w:rPr>
        <w:instrText xml:space="preserve"> REF _Ref144853566 \h </w:instrText>
      </w:r>
      <w:r w:rsidR="00815B4E">
        <w:rPr>
          <w:lang w:eastAsia="ko-KR"/>
        </w:rPr>
      </w:r>
      <w:r w:rsidR="00815B4E">
        <w:rPr>
          <w:lang w:eastAsia="ko-KR"/>
        </w:rPr>
        <w:fldChar w:fldCharType="separate"/>
      </w:r>
      <w:r w:rsidR="00C661AC">
        <w:rPr>
          <w:color w:val="1F497D" w:themeColor="text2"/>
        </w:rPr>
        <w:t xml:space="preserve">Supplementary Note 8: </w:t>
      </w:r>
      <w:r w:rsidR="00C661AC" w:rsidRPr="00B84D0E">
        <w:rPr>
          <w:color w:val="1F497D" w:themeColor="text2"/>
        </w:rPr>
        <w:t>Life Cycle Analysis</w:t>
      </w:r>
      <w:r w:rsidR="00815B4E">
        <w:rPr>
          <w:lang w:eastAsia="ko-KR"/>
        </w:rPr>
        <w:fldChar w:fldCharType="end"/>
      </w:r>
      <w:r w:rsidR="00AE7724">
        <w:rPr>
          <w:lang w:eastAsia="ko-KR"/>
        </w:rPr>
        <w:t>”</w:t>
      </w:r>
      <w:r>
        <w:rPr>
          <w:lang w:eastAsia="ko-KR"/>
        </w:rPr>
        <w:t>;</w:t>
      </w:r>
      <w:r w:rsidRPr="00022BA7">
        <w:rPr>
          <w:lang w:eastAsia="ko-KR"/>
        </w:rPr>
        <w:t xml:space="preserve"> </w:t>
      </w:r>
      <w:r>
        <w:rPr>
          <w:lang w:eastAsia="ko-KR"/>
        </w:rPr>
        <w:t>conversely,</w:t>
      </w:r>
      <w:r w:rsidRPr="00022BA7">
        <w:rPr>
          <w:lang w:eastAsia="ko-KR"/>
        </w:rPr>
        <w:t xml:space="preserve"> </w:t>
      </w:r>
      <w:r w:rsidR="00077B82" w:rsidRPr="00BA4CDB">
        <w:t>NO</w:t>
      </w:r>
      <w:r w:rsidR="00077B82" w:rsidRPr="00BA4CDB">
        <w:rPr>
          <w:vertAlign w:val="subscript"/>
        </w:rPr>
        <w:t>x</w:t>
      </w:r>
      <w:r w:rsidR="00077B82" w:rsidRPr="00BA4CDB">
        <w:t xml:space="preserve"> and </w:t>
      </w:r>
      <w:proofErr w:type="spellStart"/>
      <w:r w:rsidR="00077B82" w:rsidRPr="00BA4CDB">
        <w:t>SO</w:t>
      </w:r>
      <w:r w:rsidR="00077B82" w:rsidRPr="00BA4CDB">
        <w:rPr>
          <w:vertAlign w:val="subscript"/>
        </w:rPr>
        <w:t>x</w:t>
      </w:r>
      <w:proofErr w:type="spellEnd"/>
      <w:r w:rsidR="00077B82" w:rsidRPr="00BA4CDB">
        <w:t xml:space="preserve"> </w:t>
      </w:r>
      <w:r w:rsidR="00077B82">
        <w:t xml:space="preserve">emissions </w:t>
      </w:r>
      <w:r w:rsidR="00304AA2">
        <w:t xml:space="preserve">are estimated only </w:t>
      </w:r>
      <w:r w:rsidR="00077B82">
        <w:t xml:space="preserve">during the activity of </w:t>
      </w:r>
      <w:r w:rsidR="00077B82" w:rsidRPr="00BA4CDB">
        <w:t xml:space="preserve">ICE and </w:t>
      </w:r>
      <w:r w:rsidR="00077B82">
        <w:t xml:space="preserve">during electricity </w:t>
      </w:r>
      <w:r w:rsidR="00077B82" w:rsidRPr="00BA4CDB">
        <w:t>generation for BESs</w:t>
      </w:r>
      <w:r w:rsidR="00A50987" w:rsidRPr="00BA4CDB">
        <w:t>.</w:t>
      </w:r>
      <w:r>
        <w:t xml:space="preserve"> </w:t>
      </w:r>
    </w:p>
    <w:p w14:paraId="3CD7EDB9" w14:textId="77777777" w:rsidR="004F075A" w:rsidRPr="00022BA7" w:rsidRDefault="004F075A" w:rsidP="004F075A"/>
    <w:p w14:paraId="42C7B663" w14:textId="77777777" w:rsidR="004F075A" w:rsidRPr="00A91D4F" w:rsidRDefault="004F075A">
      <w:pPr>
        <w:pStyle w:val="Heading3"/>
      </w:pPr>
      <w:r w:rsidRPr="00A91D4F">
        <w:t>Internal Combustion Engine (ICE) Ships</w:t>
      </w:r>
    </w:p>
    <w:p w14:paraId="39889335" w14:textId="0FDE0239" w:rsidR="004F075A" w:rsidRPr="00022BA7" w:rsidRDefault="004F075A" w:rsidP="004F075A">
      <w:r>
        <w:rPr>
          <w:lang w:eastAsia="ko-KR"/>
        </w:rPr>
        <w:t>U.S. d</w:t>
      </w:r>
      <w:r w:rsidRPr="00022BA7">
        <w:rPr>
          <w:lang w:eastAsia="ko-KR"/>
        </w:rPr>
        <w:t>omestic vessels</w:t>
      </w:r>
      <w:r>
        <w:rPr>
          <w:lang w:eastAsia="ko-KR"/>
        </w:rPr>
        <w:t xml:space="preserve"> </w:t>
      </w:r>
      <w:r w:rsidRPr="00022BA7">
        <w:rPr>
          <w:lang w:eastAsia="ko-KR"/>
        </w:rPr>
        <w:t>usually use non</w:t>
      </w:r>
      <w:r>
        <w:rPr>
          <w:lang w:eastAsia="ko-KR"/>
        </w:rPr>
        <w:t>-</w:t>
      </w:r>
      <w:r w:rsidRPr="00022BA7">
        <w:rPr>
          <w:lang w:eastAsia="ko-KR"/>
        </w:rPr>
        <w:t xml:space="preserve">road, locomotive, and marine diesel that </w:t>
      </w:r>
      <w:r>
        <w:rPr>
          <w:lang w:eastAsia="ko-KR"/>
        </w:rPr>
        <w:t>is</w:t>
      </w:r>
      <w:r w:rsidRPr="00022BA7">
        <w:rPr>
          <w:lang w:eastAsia="ko-KR"/>
        </w:rPr>
        <w:t xml:space="preserve"> required to be ultra-low sulfur diesel (ULSD)</w:t>
      </w:r>
      <w:r>
        <w:t xml:space="preserve"> with </w:t>
      </w:r>
      <w:r w:rsidRPr="00022BA7">
        <w:t xml:space="preserve">a </w:t>
      </w:r>
      <w:r w:rsidR="006600D4" w:rsidRPr="00022BA7">
        <w:t>15-ppm</w:t>
      </w:r>
      <w:r w:rsidRPr="00022BA7">
        <w:t xml:space="preserve"> sulfur limit</w:t>
      </w:r>
      <w:r w:rsidR="00E930C3">
        <w:fldChar w:fldCharType="begin"/>
      </w:r>
      <w:r w:rsidR="00F33969">
        <w:instrText xml:space="preserve"> ADDIN ZOTERO_ITEM CSL_CITATION {"citationID":"olMv72E9","properties":{"formattedCitation":"\\super 19\\nosupersub{}","plainCitation":"19","noteIndex":0},"citationItems":[{"id":278,"uris":["http://zotero.org/users/12468222/items/GZM4SA4G"],"itemData":{"id":278,"type":"webpage","abstract":"This page lists the regulations, rules and fact sheets on highway diesel and nonroad diesel.","genre":"Other Policies and Guidance","language":"en","title":"Nonroad Diesel Fuel Standards","URL":"https://www.epa.gov/diesel-fuel-standards/diesel-fuel-standards-and-rulemakings","author":[{"family":"U.S. Environmental Protection Agency","given":""}],"accessed":{"date-parts":[["2023",9,26]]},"issued":{"date-parts":[["2022"]]}}}],"schema":"https://github.com/citation-style-language/schema/raw/master/csl-citation.json"} </w:instrText>
      </w:r>
      <w:r w:rsidR="00E930C3">
        <w:fldChar w:fldCharType="separate"/>
      </w:r>
      <w:r w:rsidR="00F33969" w:rsidRPr="00F33969">
        <w:rPr>
          <w:rFonts w:cs="Times New Roman"/>
          <w:szCs w:val="24"/>
          <w:vertAlign w:val="superscript"/>
        </w:rPr>
        <w:t>19</w:t>
      </w:r>
      <w:r w:rsidR="00E930C3">
        <w:fldChar w:fldCharType="end"/>
      </w:r>
      <w:r w:rsidRPr="00022BA7">
        <w:rPr>
          <w:lang w:eastAsia="ko-KR"/>
        </w:rPr>
        <w:t xml:space="preserve">. To consider this, emission factors for ULSD </w:t>
      </w:r>
      <w:r>
        <w:rPr>
          <w:lang w:eastAsia="ko-KR"/>
        </w:rPr>
        <w:t>are</w:t>
      </w:r>
      <w:r w:rsidRPr="00022BA7">
        <w:rPr>
          <w:lang w:eastAsia="ko-KR"/>
        </w:rPr>
        <w:t xml:space="preserve"> derived based on</w:t>
      </w:r>
      <w:r>
        <w:rPr>
          <w:lang w:eastAsia="ko-KR"/>
        </w:rPr>
        <w:t xml:space="preserve"> the</w:t>
      </w:r>
      <w:r w:rsidRPr="00022BA7">
        <w:rPr>
          <w:lang w:eastAsia="ko-KR"/>
        </w:rPr>
        <w:t xml:space="preserve"> </w:t>
      </w:r>
      <w:r w:rsidR="00AE7724">
        <w:rPr>
          <w:lang w:eastAsia="ko-KR"/>
        </w:rPr>
        <w:t>“</w:t>
      </w:r>
      <w:r w:rsidRPr="00022BA7">
        <w:t>Greenhouse gases, Regulated Emissions, and Energy use in Technologies</w:t>
      </w:r>
      <w:r w:rsidR="00AE7724">
        <w:t>”</w:t>
      </w:r>
      <w:r w:rsidRPr="00022BA7">
        <w:t xml:space="preserve"> (</w:t>
      </w:r>
      <w:r w:rsidRPr="00022BA7">
        <w:rPr>
          <w:lang w:eastAsia="ko-KR"/>
        </w:rPr>
        <w:t xml:space="preserve">GREET) model as shown in </w:t>
      </w:r>
      <w:r w:rsidR="004734E3">
        <w:rPr>
          <w:lang w:eastAsia="ko-KR"/>
        </w:rPr>
        <w:fldChar w:fldCharType="begin"/>
      </w:r>
      <w:r w:rsidR="004734E3">
        <w:rPr>
          <w:lang w:eastAsia="ko-KR"/>
        </w:rPr>
        <w:instrText xml:space="preserve"> REF _Ref144853608 \h </w:instrText>
      </w:r>
      <w:r w:rsidR="004734E3">
        <w:rPr>
          <w:lang w:eastAsia="ko-KR"/>
        </w:rPr>
      </w:r>
      <w:r w:rsidR="004734E3">
        <w:rPr>
          <w:lang w:eastAsia="ko-KR"/>
        </w:rPr>
        <w:fldChar w:fldCharType="separate"/>
      </w:r>
      <w:r w:rsidR="00C661AC">
        <w:t xml:space="preserve">Supplementary </w:t>
      </w:r>
      <w:r w:rsidR="00C661AC" w:rsidRPr="00022BA7">
        <w:t xml:space="preserve">Table </w:t>
      </w:r>
      <w:r w:rsidR="00C661AC">
        <w:rPr>
          <w:noProof/>
        </w:rPr>
        <w:t>14</w:t>
      </w:r>
      <w:r w:rsidR="004734E3">
        <w:rPr>
          <w:lang w:eastAsia="ko-KR"/>
        </w:rPr>
        <w:fldChar w:fldCharType="end"/>
      </w:r>
      <w:r w:rsidR="00D63862">
        <w:rPr>
          <w:lang w:eastAsia="ko-KR"/>
        </w:rPr>
        <w:fldChar w:fldCharType="begin"/>
      </w:r>
      <w:r w:rsidR="00F33969">
        <w:rPr>
          <w:lang w:eastAsia="ko-KR"/>
        </w:rPr>
        <w:instrText xml:space="preserve"> ADDIN ZOTERO_ITEM CSL_CITATION {"citationID":"NCtIWVR4","properties":{"formattedCitation":"\\super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D63862">
        <w:rPr>
          <w:lang w:eastAsia="ko-KR"/>
        </w:rPr>
        <w:fldChar w:fldCharType="separate"/>
      </w:r>
      <w:r w:rsidR="00F33969" w:rsidRPr="00F33969">
        <w:rPr>
          <w:rFonts w:cs="Times New Roman"/>
          <w:szCs w:val="24"/>
          <w:vertAlign w:val="superscript"/>
        </w:rPr>
        <w:t>20</w:t>
      </w:r>
      <w:r w:rsidR="00D63862">
        <w:rPr>
          <w:lang w:eastAsia="ko-KR"/>
        </w:rPr>
        <w:fldChar w:fldCharType="end"/>
      </w:r>
      <w:r w:rsidRPr="00022BA7">
        <w:rPr>
          <w:lang w:eastAsia="ko-KR"/>
        </w:rPr>
        <w:t>. Based on the GREET model, CO</w:t>
      </w:r>
      <w:r w:rsidRPr="00022BA7">
        <w:rPr>
          <w:vertAlign w:val="subscript"/>
          <w:lang w:eastAsia="ko-KR"/>
        </w:rPr>
        <w:t>2</w:t>
      </w:r>
      <w:r w:rsidRPr="00022BA7">
        <w:rPr>
          <w:lang w:eastAsia="ko-KR"/>
        </w:rPr>
        <w:t>e emissions at</w:t>
      </w:r>
      <w:r>
        <w:rPr>
          <w:lang w:eastAsia="ko-KR"/>
        </w:rPr>
        <w:t xml:space="preserve"> the</w:t>
      </w:r>
      <w:r w:rsidRPr="00022BA7">
        <w:rPr>
          <w:lang w:eastAsia="ko-KR"/>
        </w:rPr>
        <w:t xml:space="preserve"> </w:t>
      </w:r>
      <w:r>
        <w:rPr>
          <w:lang w:eastAsia="ko-KR"/>
        </w:rPr>
        <w:t>f</w:t>
      </w:r>
      <w:r w:rsidRPr="00022BA7">
        <w:rPr>
          <w:lang w:eastAsia="ko-KR"/>
        </w:rPr>
        <w:t xml:space="preserve">eedstock and </w:t>
      </w:r>
      <w:r>
        <w:rPr>
          <w:lang w:eastAsia="ko-KR"/>
        </w:rPr>
        <w:t>c</w:t>
      </w:r>
      <w:r w:rsidRPr="00022BA7">
        <w:rPr>
          <w:lang w:eastAsia="ko-KR"/>
        </w:rPr>
        <w:t>onversion stage</w:t>
      </w:r>
      <w:r>
        <w:rPr>
          <w:lang w:eastAsia="ko-KR"/>
        </w:rPr>
        <w:t>s</w:t>
      </w:r>
      <w:r w:rsidRPr="00022BA7">
        <w:rPr>
          <w:lang w:eastAsia="ko-KR"/>
        </w:rPr>
        <w:t xml:space="preserve"> </w:t>
      </w:r>
      <w:r>
        <w:rPr>
          <w:lang w:eastAsia="ko-KR"/>
        </w:rPr>
        <w:t>are</w:t>
      </w:r>
      <w:r w:rsidRPr="00022BA7">
        <w:rPr>
          <w:lang w:eastAsia="ko-KR"/>
        </w:rPr>
        <w:t xml:space="preserve"> counted in </w:t>
      </w:r>
      <w:r>
        <w:t>w</w:t>
      </w:r>
      <w:r w:rsidRPr="00022BA7">
        <w:t>ell-to-</w:t>
      </w:r>
      <w:r>
        <w:t>t</w:t>
      </w:r>
      <w:r w:rsidRPr="00022BA7">
        <w:t>ank</w:t>
      </w:r>
      <w:r>
        <w:t xml:space="preserve"> emissions (</w:t>
      </w:r>
      <m:oMath>
        <m:sSubSup>
          <m:sSubSupPr>
            <m:ctrlPr>
              <w:rPr>
                <w:rFonts w:ascii="Cambria Math" w:hAnsi="Cambria Math"/>
              </w:rPr>
            </m:ctrlPr>
          </m:sSubSupPr>
          <m:e>
            <m:r>
              <w:rPr>
                <w:rFonts w:ascii="Cambria Math" w:hAnsi="Cambria Math"/>
              </w:rPr>
              <m:t>EM</m:t>
            </m:r>
          </m:e>
          <m:sub>
            <m:r>
              <w:rPr>
                <w:rFonts w:ascii="Cambria Math" w:hAnsi="Cambria Math"/>
              </w:rPr>
              <m:t>e, v,t</m:t>
            </m:r>
          </m:sub>
          <m:sup>
            <m:r>
              <w:rPr>
                <w:rFonts w:ascii="Cambria Math" w:hAnsi="Cambria Math"/>
              </w:rPr>
              <m:t>WtT</m:t>
            </m:r>
          </m:sup>
        </m:sSubSup>
      </m:oMath>
      <w:r>
        <w:t>)</w:t>
      </w:r>
      <w:r w:rsidRPr="00022BA7">
        <w:t xml:space="preserve">, </w:t>
      </w:r>
      <w:r>
        <w:t>while the c</w:t>
      </w:r>
      <w:r w:rsidRPr="00022BA7">
        <w:t xml:space="preserve">ombustion </w:t>
      </w:r>
      <w:r w:rsidRPr="00022BA7">
        <w:rPr>
          <w:lang w:eastAsia="ko-KR"/>
        </w:rPr>
        <w:t xml:space="preserve">stage for both main and auxiliary engines is counted </w:t>
      </w:r>
      <w:r>
        <w:rPr>
          <w:lang w:eastAsia="ko-KR"/>
        </w:rPr>
        <w:t>as</w:t>
      </w:r>
      <w:r w:rsidRPr="00022BA7">
        <w:rPr>
          <w:lang w:eastAsia="ko-KR"/>
        </w:rPr>
        <w:t xml:space="preserve"> combustion emission</w:t>
      </w:r>
      <w:r>
        <w:rPr>
          <w:lang w:eastAsia="ko-KR"/>
        </w:rPr>
        <w:t>s</w:t>
      </w:r>
      <w:r>
        <w:t xml:space="preserve"> (</w:t>
      </w:r>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Cbst</m:t>
            </m:r>
          </m:sup>
        </m:sSubSup>
      </m:oMath>
      <w:r>
        <w:t>)</w:t>
      </w:r>
      <w:r w:rsidRPr="00022BA7">
        <w:t>. The emissions of an ICE ship,</w:t>
      </w:r>
      <m:oMath>
        <m:r>
          <w:rPr>
            <w:rFonts w:ascii="Cambria Math" w:hAnsi="Cambria Math"/>
          </w:rPr>
          <m:t xml:space="preserve"> </m:t>
        </m:r>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ICE</m:t>
            </m:r>
          </m:sup>
        </m:sSubSup>
      </m:oMath>
      <w:r w:rsidRPr="00022BA7">
        <w:t xml:space="preserve">, are equal to the sum of the emissions from </w:t>
      </w:r>
      <w:r>
        <w:t>w</w:t>
      </w:r>
      <w:r w:rsidRPr="00022BA7">
        <w:t>ell-to-</w:t>
      </w:r>
      <w:r>
        <w:t>t</w:t>
      </w:r>
      <w:r w:rsidRPr="00022BA7">
        <w:t>ank</w:t>
      </w:r>
      <w:r>
        <w:t xml:space="preserve"> (</w:t>
      </w:r>
      <m:oMath>
        <m:sSubSup>
          <m:sSubSupPr>
            <m:ctrlPr>
              <w:rPr>
                <w:rFonts w:ascii="Cambria Math" w:hAnsi="Cambria Math"/>
              </w:rPr>
            </m:ctrlPr>
          </m:sSubSupPr>
          <m:e>
            <m:r>
              <w:rPr>
                <w:rFonts w:ascii="Cambria Math" w:hAnsi="Cambria Math"/>
              </w:rPr>
              <m:t>EM</m:t>
            </m:r>
          </m:e>
          <m:sub>
            <m:r>
              <w:rPr>
                <w:rFonts w:ascii="Cambria Math" w:hAnsi="Cambria Math"/>
              </w:rPr>
              <m:t>e, v,t</m:t>
            </m:r>
          </m:sub>
          <m:sup>
            <m:r>
              <w:rPr>
                <w:rFonts w:ascii="Cambria Math" w:hAnsi="Cambria Math"/>
              </w:rPr>
              <m:t>WtT</m:t>
            </m:r>
          </m:sup>
        </m:sSubSup>
      </m:oMath>
      <w:r>
        <w:t>)</w:t>
      </w:r>
      <w:r w:rsidRPr="00022BA7">
        <w:t xml:space="preserve"> and </w:t>
      </w:r>
      <w:r w:rsidRPr="00022BA7">
        <w:rPr>
          <w:lang w:eastAsia="ko-KR"/>
        </w:rPr>
        <w:t xml:space="preserve">engine combustion </w:t>
      </w:r>
      <w:r>
        <w:rPr>
          <w:lang w:eastAsia="ko-KR"/>
        </w:rPr>
        <w:t>(</w:t>
      </w:r>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Cbst</m:t>
            </m:r>
          </m:sup>
        </m:sSubSup>
      </m:oMath>
      <w:r>
        <w:t>)</w:t>
      </w:r>
      <w:r w:rsidRPr="00022BA7">
        <w:t>, as shown in equations (</w:t>
      </w:r>
      <w:r>
        <w:t>35</w:t>
      </w:r>
      <w:r w:rsidRPr="00022BA7">
        <w:t>) through (</w:t>
      </w:r>
      <w:r>
        <w:t>39</w:t>
      </w:r>
      <w:r w:rsidRPr="00022BA7">
        <w:t>)</w:t>
      </w:r>
      <w:r>
        <w:t>:</w:t>
      </w:r>
    </w:p>
    <w:p w14:paraId="478433D2"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4F606407" w14:textId="77777777" w:rsidTr="00F95C74">
        <w:trPr>
          <w:trHeight w:val="300"/>
        </w:trPr>
        <w:tc>
          <w:tcPr>
            <w:tcW w:w="720" w:type="dxa"/>
          </w:tcPr>
          <w:p w14:paraId="35C4C86C" w14:textId="77777777" w:rsidR="004F075A" w:rsidRPr="00022BA7" w:rsidRDefault="004F075A" w:rsidP="00F95C74">
            <w:pPr>
              <w:rPr>
                <w:i/>
              </w:rPr>
            </w:pPr>
          </w:p>
        </w:tc>
        <w:tc>
          <w:tcPr>
            <w:tcW w:w="7920" w:type="dxa"/>
          </w:tcPr>
          <w:p w14:paraId="59499580" w14:textId="77777777" w:rsidR="004F075A" w:rsidRPr="00022BA7" w:rsidRDefault="00590C69" w:rsidP="00F95C74">
            <w:pPr>
              <w:rPr>
                <w:i/>
              </w:rPr>
            </w:pPr>
            <m:oMathPara>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ICE</m:t>
                    </m:r>
                  </m:sup>
                </m:sSubSup>
                <m:r>
                  <w:rPr>
                    <w:rFonts w:ascii="Cambria Math" w:hAnsi="Cambria Math"/>
                  </w:rPr>
                  <m:t>=</m:t>
                </m:r>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WtT</m:t>
                    </m:r>
                  </m:sup>
                </m:sSubSup>
                <m:r>
                  <w:rPr>
                    <w:rFonts w:ascii="Cambria Math" w:hAnsi="Cambria Math"/>
                  </w:rPr>
                  <m:t>+</m:t>
                </m:r>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Cbst</m:t>
                    </m:r>
                  </m:sup>
                </m:sSubSup>
              </m:oMath>
            </m:oMathPara>
          </w:p>
        </w:tc>
        <w:tc>
          <w:tcPr>
            <w:tcW w:w="720" w:type="dxa"/>
          </w:tcPr>
          <w:p w14:paraId="76F9272A" w14:textId="77777777" w:rsidR="004F075A" w:rsidRPr="00022BA7" w:rsidRDefault="004F075A" w:rsidP="00F95C74">
            <w:pPr>
              <w:jc w:val="right"/>
            </w:pPr>
            <w:r w:rsidRPr="00022BA7">
              <w:t>(</w:t>
            </w:r>
            <w:r>
              <w:t>35</w:t>
            </w:r>
            <w:r w:rsidRPr="00022BA7">
              <w:t>)</w:t>
            </w:r>
          </w:p>
        </w:tc>
      </w:tr>
      <w:tr w:rsidR="004F075A" w:rsidRPr="00022BA7" w14:paraId="7C3BDA76" w14:textId="77777777" w:rsidTr="00F95C74">
        <w:trPr>
          <w:trHeight w:val="300"/>
        </w:trPr>
        <w:tc>
          <w:tcPr>
            <w:tcW w:w="720" w:type="dxa"/>
          </w:tcPr>
          <w:p w14:paraId="3FEA3E6E" w14:textId="77777777" w:rsidR="004F075A" w:rsidRPr="00022BA7" w:rsidRDefault="004F075A" w:rsidP="00F95C74">
            <w:pPr>
              <w:rPr>
                <w:i/>
              </w:rPr>
            </w:pPr>
          </w:p>
        </w:tc>
        <w:tc>
          <w:tcPr>
            <w:tcW w:w="7920" w:type="dxa"/>
          </w:tcPr>
          <w:p w14:paraId="1869CC4B" w14:textId="77777777" w:rsidR="004F075A" w:rsidRPr="00022BA7" w:rsidRDefault="00590C69" w:rsidP="00F95C74">
            <w:pPr>
              <w:rPr>
                <w:i/>
              </w:rPr>
            </w:pPr>
            <m:oMathPara>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WtT</m:t>
                    </m:r>
                  </m:sup>
                </m:sSubSup>
                <m:r>
                  <w:rPr>
                    <w:rFonts w:ascii="Cambria Math" w:hAnsi="Cambria Math"/>
                  </w:rPr>
                  <m:t>=</m:t>
                </m:r>
                <m:nary>
                  <m:naryPr>
                    <m:chr m:val="∑"/>
                    <m:limLoc m:val="undOvr"/>
                    <m:supHide m:val="1"/>
                    <m:ctrlPr>
                      <w:rPr>
                        <w:rFonts w:ascii="Cambria Math" w:hAnsi="Cambria Math"/>
                        <w:i/>
                      </w:rPr>
                    </m:ctrlPr>
                  </m:naryPr>
                  <m:sub>
                    <m:r>
                      <w:rPr>
                        <w:rFonts w:ascii="Cambria Math" w:hAnsi="Cambria Math"/>
                      </w:rPr>
                      <m:t>t</m:t>
                    </m:r>
                  </m:sub>
                  <m:sup/>
                  <m:e>
                    <m:d>
                      <m:dPr>
                        <m:ctrlPr>
                          <w:rPr>
                            <w:rFonts w:ascii="Cambria Math" w:hAnsi="Cambria Math"/>
                            <w:i/>
                          </w:rPr>
                        </m:ctrlPr>
                      </m:dPr>
                      <m:e>
                        <m:sSubSup>
                          <m:sSubSupPr>
                            <m:ctrlPr>
                              <w:rPr>
                                <w:rFonts w:ascii="Cambria Math" w:hAnsi="Cambria Math"/>
                                <w:i/>
                              </w:rPr>
                            </m:ctrlPr>
                          </m:sSubSupPr>
                          <m:e>
                            <m:r>
                              <w:rPr>
                                <w:rFonts w:ascii="Cambria Math" w:hAnsi="Cambria Math"/>
                              </w:rPr>
                              <m:t>EF</m:t>
                            </m:r>
                          </m:e>
                          <m:sub>
                            <m:r>
                              <w:rPr>
                                <w:rFonts w:ascii="Cambria Math" w:hAnsi="Cambria Math"/>
                              </w:rPr>
                              <m:t>e</m:t>
                            </m:r>
                          </m:sub>
                          <m:sup>
                            <m:r>
                              <w:rPr>
                                <w:rFonts w:ascii="Cambria Math" w:hAnsi="Cambria Math"/>
                              </w:rPr>
                              <m:t>WtT</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ME</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m:t>
                            </m:r>
                          </m:sup>
                        </m:sSubSup>
                        <m:r>
                          <w:rPr>
                            <w:rFonts w:ascii="Cambria Math" w:hAnsi="Cambria Math"/>
                          </w:rPr>
                          <m:t>)/12</m:t>
                        </m:r>
                      </m:e>
                    </m:d>
                  </m:e>
                </m:nary>
              </m:oMath>
            </m:oMathPara>
          </w:p>
        </w:tc>
        <w:tc>
          <w:tcPr>
            <w:tcW w:w="720" w:type="dxa"/>
          </w:tcPr>
          <w:p w14:paraId="2DCF13EB" w14:textId="77777777" w:rsidR="004F075A" w:rsidRPr="00022BA7" w:rsidRDefault="004F075A" w:rsidP="00F95C74">
            <w:pPr>
              <w:jc w:val="right"/>
            </w:pPr>
            <w:r w:rsidRPr="00022BA7">
              <w:t>(</w:t>
            </w:r>
            <w:r>
              <w:t>36</w:t>
            </w:r>
            <w:r w:rsidRPr="00022BA7">
              <w:t>)</w:t>
            </w:r>
          </w:p>
        </w:tc>
      </w:tr>
      <w:tr w:rsidR="004F075A" w:rsidRPr="00022BA7" w14:paraId="06C01930" w14:textId="77777777" w:rsidTr="00F95C74">
        <w:trPr>
          <w:trHeight w:val="300"/>
        </w:trPr>
        <w:tc>
          <w:tcPr>
            <w:tcW w:w="720" w:type="dxa"/>
          </w:tcPr>
          <w:p w14:paraId="1F38D4A2" w14:textId="77777777" w:rsidR="004F075A" w:rsidRPr="00022BA7" w:rsidRDefault="004F075A" w:rsidP="00F95C74">
            <w:pPr>
              <w:rPr>
                <w:i/>
              </w:rPr>
            </w:pPr>
          </w:p>
        </w:tc>
        <w:tc>
          <w:tcPr>
            <w:tcW w:w="7920" w:type="dxa"/>
          </w:tcPr>
          <w:p w14:paraId="624216C1"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Cbst</m:t>
                    </m:r>
                  </m:sup>
                </m:sSubSup>
                <m:r>
                  <w:rPr>
                    <w:rFonts w:ascii="Cambria Math"/>
                  </w:rPr>
                  <m:t>=</m:t>
                </m:r>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ME</m:t>
                    </m:r>
                  </m:sup>
                </m:sSubSup>
                <m:r>
                  <w:rPr>
                    <w:rFonts w:ascii="Cambria Math"/>
                  </w:rPr>
                  <m:t>+</m:t>
                </m:r>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A</m:t>
                    </m:r>
                    <m:r>
                      <w:rPr>
                        <w:rFonts w:ascii="Cambria Math" w:hAnsi="Cambria Math"/>
                      </w:rPr>
                      <m:t>E</m:t>
                    </m:r>
                  </m:sup>
                </m:sSubSup>
              </m:oMath>
            </m:oMathPara>
          </w:p>
        </w:tc>
        <w:tc>
          <w:tcPr>
            <w:tcW w:w="720" w:type="dxa"/>
          </w:tcPr>
          <w:p w14:paraId="1C6FC408" w14:textId="77777777" w:rsidR="004F075A" w:rsidRPr="00022BA7" w:rsidRDefault="004F075A" w:rsidP="00F95C74">
            <w:pPr>
              <w:jc w:val="right"/>
            </w:pPr>
            <w:r w:rsidRPr="00022BA7">
              <w:t>(</w:t>
            </w:r>
            <w:r>
              <w:t>37</w:t>
            </w:r>
            <w:r w:rsidRPr="00022BA7">
              <w:t>)</w:t>
            </w:r>
          </w:p>
        </w:tc>
      </w:tr>
      <w:tr w:rsidR="004F075A" w:rsidRPr="00022BA7" w14:paraId="30F9D0CE" w14:textId="77777777" w:rsidTr="00F95C74">
        <w:trPr>
          <w:trHeight w:val="300"/>
        </w:trPr>
        <w:tc>
          <w:tcPr>
            <w:tcW w:w="720" w:type="dxa"/>
          </w:tcPr>
          <w:p w14:paraId="1292F559" w14:textId="77777777" w:rsidR="004F075A" w:rsidRPr="00022BA7" w:rsidRDefault="004F075A" w:rsidP="00F95C74">
            <w:pPr>
              <w:rPr>
                <w:i/>
              </w:rPr>
            </w:pPr>
          </w:p>
        </w:tc>
        <w:tc>
          <w:tcPr>
            <w:tcW w:w="7920" w:type="dxa"/>
          </w:tcPr>
          <w:p w14:paraId="2ADAFF92"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ME</m:t>
                    </m:r>
                  </m:sup>
                </m:sSubSup>
                <m:r>
                  <w:rPr>
                    <w:rFonts w:ascii="Cambria Math" w:hAnsi="Cambria Math"/>
                  </w:rPr>
                  <m:t>=</m:t>
                </m:r>
                <m:nary>
                  <m:naryPr>
                    <m:chr m:val="∑"/>
                    <m:limLoc m:val="undOvr"/>
                    <m:supHide m:val="1"/>
                    <m:ctrlPr>
                      <w:rPr>
                        <w:rFonts w:ascii="Cambria Math" w:hAnsi="Cambria Math"/>
                        <w:i/>
                      </w:rPr>
                    </m:ctrlPr>
                  </m:naryPr>
                  <m:sub>
                    <m:r>
                      <w:rPr>
                        <w:rFonts w:ascii="Cambria Math" w:hAnsi="Cambria Math"/>
                      </w:rPr>
                      <m:t>t</m:t>
                    </m:r>
                  </m:sub>
                  <m:sup/>
                  <m:e>
                    <m:d>
                      <m:dPr>
                        <m:ctrlPr>
                          <w:rPr>
                            <w:rFonts w:ascii="Cambria Math" w:hAnsi="Cambria Math"/>
                            <w:i/>
                          </w:rPr>
                        </m:ctrlPr>
                      </m:dPr>
                      <m:e>
                        <m:sSubSup>
                          <m:sSubSupPr>
                            <m:ctrlPr>
                              <w:rPr>
                                <w:rFonts w:ascii="Cambria Math" w:hAnsi="Cambria Math"/>
                                <w:i/>
                              </w:rPr>
                            </m:ctrlPr>
                          </m:sSubSupPr>
                          <m:e>
                            <m:r>
                              <w:rPr>
                                <w:rFonts w:ascii="Cambria Math" w:hAnsi="Cambria Math"/>
                              </w:rPr>
                              <m:t>EF</m:t>
                            </m:r>
                          </m:e>
                          <m:sub>
                            <m:r>
                              <w:rPr>
                                <w:rFonts w:ascii="Cambria Math" w:hAnsi="Cambria Math"/>
                              </w:rPr>
                              <m:t>e</m:t>
                            </m:r>
                          </m:sub>
                          <m:sup>
                            <m:r>
                              <w:rPr>
                                <w:rFonts w:ascii="Cambria Math" w:hAnsi="Cambria Math"/>
                              </w:rPr>
                              <m:t>ME</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ME</m:t>
                            </m:r>
                          </m:sup>
                        </m:sSubSup>
                        <m:r>
                          <w:rPr>
                            <w:rFonts w:ascii="Cambria Math" w:hAnsi="Cambria Math"/>
                          </w:rPr>
                          <m:t>/12 ⋅LL</m:t>
                        </m:r>
                        <m:sSub>
                          <m:sSubPr>
                            <m:ctrlPr>
                              <w:rPr>
                                <w:rFonts w:ascii="Cambria Math" w:hAnsi="Cambria Math"/>
                                <w:i/>
                              </w:rPr>
                            </m:ctrlPr>
                          </m:sSubPr>
                          <m:e>
                            <m:r>
                              <w:rPr>
                                <w:rFonts w:ascii="Cambria Math" w:hAnsi="Cambria Math"/>
                              </w:rPr>
                              <m:t>A</m:t>
                            </m:r>
                          </m:e>
                          <m:sub>
                            <m:r>
                              <w:rPr>
                                <w:rFonts w:ascii="Cambria Math" w:hAnsi="Cambria Math"/>
                              </w:rPr>
                              <m:t>e</m:t>
                            </m:r>
                          </m:sub>
                        </m:sSub>
                        <m:r>
                          <w:rPr>
                            <w:rFonts w:ascii="Cambria Math" w:hAnsi="Cambria Math"/>
                          </w:rPr>
                          <m:t>(</m:t>
                        </m:r>
                        <m:sSubSup>
                          <m:sSubSupPr>
                            <m:ctrlPr>
                              <w:rPr>
                                <w:rFonts w:ascii="Cambria Math" w:hAnsi="Cambria Math"/>
                                <w:i/>
                              </w:rPr>
                            </m:ctrlPr>
                          </m:sSubSupPr>
                          <m:e>
                            <m:r>
                              <w:rPr>
                                <w:rFonts w:ascii="Cambria Math" w:hAnsi="Cambria Math"/>
                              </w:rPr>
                              <m:t>LF</m:t>
                            </m:r>
                          </m:e>
                          <m:sub>
                            <m:r>
                              <w:rPr>
                                <w:rFonts w:ascii="Cambria Math" w:hAnsi="Cambria Math"/>
                              </w:rPr>
                              <m:t>v,t</m:t>
                            </m:r>
                          </m:sub>
                          <m:sup>
                            <m:r>
                              <w:rPr>
                                <w:rFonts w:ascii="Cambria Math" w:hAnsi="Cambria Math"/>
                              </w:rPr>
                              <m:t>ME</m:t>
                            </m:r>
                          </m:sup>
                        </m:sSubSup>
                        <m:r>
                          <w:rPr>
                            <w:rFonts w:ascii="Cambria Math" w:hAnsi="Cambria Math"/>
                          </w:rPr>
                          <m:t>)</m:t>
                        </m:r>
                      </m:e>
                    </m:d>
                  </m:e>
                </m:nary>
              </m:oMath>
            </m:oMathPara>
          </w:p>
        </w:tc>
        <w:tc>
          <w:tcPr>
            <w:tcW w:w="720" w:type="dxa"/>
          </w:tcPr>
          <w:p w14:paraId="2E8B4C45" w14:textId="77777777" w:rsidR="004F075A" w:rsidRPr="00022BA7" w:rsidRDefault="004F075A" w:rsidP="00F95C74">
            <w:pPr>
              <w:jc w:val="right"/>
            </w:pPr>
            <w:r w:rsidRPr="00022BA7">
              <w:t>(</w:t>
            </w:r>
            <w:r>
              <w:t>38</w:t>
            </w:r>
            <w:r w:rsidRPr="00022BA7">
              <w:t>)</w:t>
            </w:r>
          </w:p>
        </w:tc>
      </w:tr>
      <w:tr w:rsidR="004F075A" w:rsidRPr="00022BA7" w14:paraId="47648F2A" w14:textId="77777777" w:rsidTr="00F95C74">
        <w:trPr>
          <w:trHeight w:val="300"/>
        </w:trPr>
        <w:tc>
          <w:tcPr>
            <w:tcW w:w="720" w:type="dxa"/>
          </w:tcPr>
          <w:p w14:paraId="7ACC2B3A" w14:textId="77777777" w:rsidR="004F075A" w:rsidRPr="00022BA7" w:rsidRDefault="004F075A" w:rsidP="00F95C74">
            <w:pPr>
              <w:rPr>
                <w:i/>
              </w:rPr>
            </w:pPr>
          </w:p>
        </w:tc>
        <w:tc>
          <w:tcPr>
            <w:tcW w:w="7920" w:type="dxa"/>
          </w:tcPr>
          <w:p w14:paraId="05A33959"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EM</m:t>
                    </m:r>
                  </m:e>
                  <m:sub>
                    <m:r>
                      <w:rPr>
                        <w:rFonts w:ascii="Cambria Math" w:hAnsi="Cambria Math"/>
                      </w:rPr>
                      <m:t>e, v,t</m:t>
                    </m:r>
                  </m:sub>
                  <m:sup>
                    <m:r>
                      <w:rPr>
                        <w:rFonts w:ascii="Cambria Math" w:hAnsi="Cambria Math"/>
                      </w:rPr>
                      <m:t>AE</m:t>
                    </m:r>
                  </m:sup>
                </m:sSubSup>
                <m:r>
                  <w:rPr>
                    <w:rFonts w:ascii="Cambria Math" w:hAnsi="Cambria Math"/>
                  </w:rPr>
                  <m:t>=</m:t>
                </m:r>
                <m:nary>
                  <m:naryPr>
                    <m:chr m:val="∑"/>
                    <m:limLoc m:val="undOvr"/>
                    <m:supHide m:val="1"/>
                    <m:ctrlPr>
                      <w:rPr>
                        <w:rFonts w:ascii="Cambria Math" w:hAnsi="Cambria Math"/>
                        <w:i/>
                      </w:rPr>
                    </m:ctrlPr>
                  </m:naryPr>
                  <m:sub>
                    <m:r>
                      <w:rPr>
                        <w:rFonts w:ascii="Cambria Math" w:hAnsi="Cambria Math"/>
                      </w:rPr>
                      <m:t>t</m:t>
                    </m:r>
                  </m:sub>
                  <m:sup/>
                  <m:e>
                    <m:d>
                      <m:dPr>
                        <m:ctrlPr>
                          <w:rPr>
                            <w:rFonts w:ascii="Cambria Math" w:hAnsi="Cambria Math"/>
                            <w:i/>
                          </w:rPr>
                        </m:ctrlPr>
                      </m:dPr>
                      <m:e>
                        <m:sSubSup>
                          <m:sSubSupPr>
                            <m:ctrlPr>
                              <w:rPr>
                                <w:rFonts w:ascii="Cambria Math" w:hAnsi="Cambria Math"/>
                                <w:i/>
                              </w:rPr>
                            </m:ctrlPr>
                          </m:sSubSupPr>
                          <m:e>
                            <m:r>
                              <w:rPr>
                                <w:rFonts w:ascii="Cambria Math" w:hAnsi="Cambria Math"/>
                              </w:rPr>
                              <m:t>EF</m:t>
                            </m:r>
                          </m:e>
                          <m:sub>
                            <m:r>
                              <w:rPr>
                                <w:rFonts w:ascii="Cambria Math" w:hAnsi="Cambria Math"/>
                              </w:rPr>
                              <m:t>e</m:t>
                            </m:r>
                          </m:sub>
                          <m:sup>
                            <m:r>
                              <w:rPr>
                                <w:rFonts w:ascii="Cambria Math" w:hAnsi="Cambria Math"/>
                              </w:rPr>
                              <m:t>AE</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v,t</m:t>
                            </m:r>
                          </m:sub>
                          <m:sup>
                            <m:r>
                              <w:rPr>
                                <w:rFonts w:ascii="Cambria Math" w:hAnsi="Cambria Math"/>
                              </w:rPr>
                              <m:t>AE</m:t>
                            </m:r>
                          </m:sup>
                        </m:sSubSup>
                        <m:r>
                          <w:rPr>
                            <w:rFonts w:ascii="Cambria Math" w:hAnsi="Cambria Math"/>
                          </w:rPr>
                          <m:t>/12</m:t>
                        </m:r>
                      </m:e>
                    </m:d>
                  </m:e>
                </m:nary>
              </m:oMath>
            </m:oMathPara>
          </w:p>
        </w:tc>
        <w:tc>
          <w:tcPr>
            <w:tcW w:w="720" w:type="dxa"/>
          </w:tcPr>
          <w:p w14:paraId="61DBC6C0" w14:textId="77777777" w:rsidR="004F075A" w:rsidRPr="00022BA7" w:rsidRDefault="004F075A" w:rsidP="00F95C74">
            <w:pPr>
              <w:jc w:val="right"/>
            </w:pPr>
            <w:r w:rsidRPr="00022BA7">
              <w:t>(</w:t>
            </w:r>
            <w:r>
              <w:t>39</w:t>
            </w:r>
            <w:r w:rsidRPr="00022BA7">
              <w:t>)</w:t>
            </w:r>
          </w:p>
        </w:tc>
      </w:tr>
    </w:tbl>
    <w:p w14:paraId="77D508CF" w14:textId="77777777" w:rsidR="004F075A" w:rsidRPr="00022BA7" w:rsidRDefault="004F075A" w:rsidP="004F075A"/>
    <w:p w14:paraId="42BFE323" w14:textId="77777777" w:rsidR="004F075A" w:rsidRPr="00022BA7" w:rsidRDefault="004F075A" w:rsidP="004F075A">
      <w:r w:rsidRPr="00022BA7">
        <w:t xml:space="preserve">where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oMath>
      <w:r w:rsidRPr="00022BA7">
        <w:t xml:space="preserve"> and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w:r w:rsidRPr="00022BA7">
        <w:t xml:space="preserve"> are power demand</w:t>
      </w:r>
      <w:r>
        <w:t>s</w:t>
      </w:r>
      <w:r w:rsidRPr="00022BA7">
        <w:t xml:space="preserve"> </w:t>
      </w:r>
      <w:r>
        <w:t>from</w:t>
      </w:r>
      <w:r w:rsidRPr="00022BA7">
        <w:t xml:space="preserve"> </w:t>
      </w:r>
      <w:r>
        <w:t xml:space="preserve">the </w:t>
      </w:r>
      <w:r w:rsidRPr="00022BA7">
        <w:t xml:space="preserve">main engine and </w:t>
      </w:r>
      <w:r>
        <w:t xml:space="preserve">auxiliary engine </w:t>
      </w:r>
      <w:r w:rsidRPr="00022BA7">
        <w:t>that are calculated in equation</w:t>
      </w:r>
      <w:r>
        <w:t>s</w:t>
      </w:r>
      <w:r w:rsidRPr="00022BA7">
        <w:t xml:space="preserve"> (</w:t>
      </w:r>
      <w:r>
        <w:t>6</w:t>
      </w:r>
      <w:r w:rsidRPr="00022BA7">
        <w:t>)</w:t>
      </w:r>
      <w:r>
        <w:t>-(7)</w:t>
      </w:r>
      <w:r w:rsidRPr="00022BA7">
        <w:t xml:space="preserve"> and (</w:t>
      </w:r>
      <w:r>
        <w:t>8</w:t>
      </w:r>
      <w:r w:rsidRPr="00022BA7">
        <w:t>)</w:t>
      </w:r>
      <w:r>
        <w:t>-(9)</w:t>
      </w:r>
      <w:r w:rsidRPr="00022BA7">
        <w:t xml:space="preserve">, respectively. The sum of power consumption in each hourly interval is divided into 12 because the power demand in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oMath>
      <w:r w:rsidRPr="00022BA7">
        <w:t xml:space="preserve"> and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w:r w:rsidRPr="00022BA7">
        <w:t xml:space="preserve"> is estimated at 5-minute intervals (</w:t>
      </w:r>
      <w:r>
        <w:t xml:space="preserve">so that </w:t>
      </w:r>
      <w:r w:rsidRPr="00022BA7">
        <w:t xml:space="preserve">12 data points per hour </w:t>
      </w:r>
      <w:r>
        <w:t>can</w:t>
      </w:r>
      <w:r w:rsidRPr="00022BA7">
        <w:t xml:space="preserve"> convert from kW to kWh). </w:t>
      </w:r>
      <m:oMath>
        <m:sSubSup>
          <m:sSubSupPr>
            <m:ctrlPr>
              <w:rPr>
                <w:rFonts w:ascii="Cambria Math" w:hAnsi="Cambria Math"/>
                <w:i/>
              </w:rPr>
            </m:ctrlPr>
          </m:sSubSupPr>
          <m:e>
            <m:r>
              <w:rPr>
                <w:rFonts w:ascii="Cambria Math" w:hAnsi="Cambria Math"/>
              </w:rPr>
              <m:t>EF</m:t>
            </m:r>
          </m:e>
          <m:sub>
            <m:r>
              <w:rPr>
                <w:rFonts w:ascii="Cambria Math" w:hAnsi="Cambria Math"/>
              </w:rPr>
              <m:t>e</m:t>
            </m:r>
          </m:sub>
          <m:sup>
            <m:r>
              <w:rPr>
                <w:rFonts w:ascii="Cambria Math" w:hAnsi="Cambria Math"/>
              </w:rPr>
              <m:t>WtT</m:t>
            </m:r>
          </m:sup>
        </m:sSubSup>
      </m:oMath>
      <w:r w:rsidRPr="00022BA7">
        <w:t xml:space="preserve"> is </w:t>
      </w:r>
      <w:r>
        <w:t>the w</w:t>
      </w:r>
      <w:r w:rsidRPr="00022BA7">
        <w:t>ell-to-</w:t>
      </w:r>
      <w:r>
        <w:t>t</w:t>
      </w:r>
      <w:r w:rsidRPr="00022BA7">
        <w:t xml:space="preserve">ank emission factor, </w:t>
      </w:r>
      <w:r>
        <w:t xml:space="preserve">which </w:t>
      </w:r>
      <w:r w:rsidRPr="00022BA7">
        <w:t>is</w:t>
      </w:r>
      <w:r>
        <w:t xml:space="preserve"> the</w:t>
      </w:r>
      <w:r w:rsidRPr="00022BA7">
        <w:t xml:space="preserve"> sum </w:t>
      </w:r>
      <w:r>
        <w:t xml:space="preserve">of </w:t>
      </w:r>
      <w:r w:rsidRPr="00022BA7">
        <w:t>emission</w:t>
      </w:r>
      <w:r>
        <w:t>s</w:t>
      </w:r>
      <w:r w:rsidRPr="00022BA7">
        <w:t xml:space="preserve"> in </w:t>
      </w:r>
      <w:r>
        <w:t>the f</w:t>
      </w:r>
      <w:r w:rsidRPr="00022BA7">
        <w:t xml:space="preserve">eedstock and </w:t>
      </w:r>
      <w:r>
        <w:t>c</w:t>
      </w:r>
      <w:r w:rsidRPr="00022BA7">
        <w:t>onversion stage</w:t>
      </w:r>
      <w:r>
        <w:t>s</w:t>
      </w:r>
      <w:r w:rsidRPr="00022BA7">
        <w:t xml:space="preserve">. </w:t>
      </w:r>
    </w:p>
    <w:p w14:paraId="56798BF5" w14:textId="77777777" w:rsidR="004F075A" w:rsidRPr="00022BA7" w:rsidRDefault="004F075A" w:rsidP="004F075A"/>
    <w:p w14:paraId="0FFB1278" w14:textId="0D5C73C4" w:rsidR="004F075A" w:rsidRPr="00022BA7" w:rsidRDefault="004F075A" w:rsidP="004F075A">
      <w:r>
        <w:t>E</w:t>
      </w:r>
      <w:r w:rsidRPr="00022BA7">
        <w:t>mission</w:t>
      </w:r>
      <w:r>
        <w:t>s</w:t>
      </w:r>
      <w:r w:rsidRPr="00022BA7">
        <w:t xml:space="preserve"> from </w:t>
      </w:r>
      <w:r>
        <w:t>the c</w:t>
      </w:r>
      <w:r w:rsidRPr="00022BA7">
        <w:t>ombustion stage</w:t>
      </w:r>
      <w:r w:rsidR="00116690">
        <w:t xml:space="preserve">, </w:t>
      </w:r>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rPr>
              <m:t>Cbst</m:t>
            </m:r>
          </m:sup>
        </m:sSubSup>
      </m:oMath>
      <w:r w:rsidR="00116690">
        <w:t>,</w:t>
      </w:r>
      <w:r w:rsidRPr="00022BA7">
        <w:t xml:space="preserve"> </w:t>
      </w:r>
      <w:r>
        <w:t>are the</w:t>
      </w:r>
      <w:r w:rsidRPr="00022BA7">
        <w:t xml:space="preserve"> sum of emission</w:t>
      </w:r>
      <w:r>
        <w:t>s</w:t>
      </w:r>
      <w:r w:rsidRPr="00022BA7">
        <w:t xml:space="preserve"> from main engine, </w:t>
      </w:r>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ME</m:t>
            </m:r>
          </m:sup>
        </m:sSubSup>
      </m:oMath>
      <w:r w:rsidRPr="00022BA7">
        <w:t xml:space="preserve">, and auxiliary engine, </w:t>
      </w:r>
      <m:oMath>
        <m:sSubSup>
          <m:sSubSupPr>
            <m:ctrlPr>
              <w:rPr>
                <w:rFonts w:ascii="Cambria Math" w:hAnsi="Cambria Math"/>
                <w:i/>
              </w:rPr>
            </m:ctrlPr>
          </m:sSubSupPr>
          <m:e>
            <m:r>
              <w:rPr>
                <w:rFonts w:ascii="Cambria Math" w:hAnsi="Cambria Math"/>
              </w:rPr>
              <m:t>EM</m:t>
            </m:r>
          </m:e>
          <m:sub>
            <m:r>
              <w:rPr>
                <w:rFonts w:ascii="Cambria Math" w:hAnsi="Cambria Math"/>
              </w:rPr>
              <m:t>e, v</m:t>
            </m:r>
          </m:sub>
          <m:sup>
            <m:r>
              <w:rPr>
                <w:rFonts w:ascii="Cambria Math" w:hAnsi="Cambria Math"/>
              </w:rPr>
              <m:t>AE</m:t>
            </m:r>
          </m:sup>
        </m:sSubSup>
      </m:oMath>
      <w:r w:rsidRPr="00022BA7">
        <w:t xml:space="preserve">. Emission factors vary by emission type, </w:t>
      </w:r>
      <m:oMath>
        <m:r>
          <w:rPr>
            <w:rFonts w:ascii="Cambria Math" w:hAnsi="Cambria Math"/>
          </w:rPr>
          <m:t>e</m:t>
        </m:r>
      </m:oMath>
      <w:r w:rsidRPr="00022BA7">
        <w:t xml:space="preserve">, and source. </w:t>
      </w:r>
      <w:r>
        <w:t>E</w:t>
      </w:r>
      <w:r w:rsidRPr="00022BA7">
        <w:t>mission factors are calculated based on GREET</w:t>
      </w:r>
      <w:r>
        <w:t>.</w:t>
      </w:r>
      <w:r w:rsidRPr="00022BA7">
        <w:t xml:space="preserve"> </w:t>
      </w:r>
      <w:r>
        <w:t>F</w:t>
      </w:r>
      <w:r w:rsidRPr="00022BA7">
        <w:t>or the IMO NO</w:t>
      </w:r>
      <w:r w:rsidRPr="000361AE">
        <w:rPr>
          <w:vertAlign w:val="subscript"/>
        </w:rPr>
        <w:t>x</w:t>
      </w:r>
      <w:r w:rsidRPr="00022BA7">
        <w:t xml:space="preserve"> regulation</w:t>
      </w:r>
      <w:r>
        <w:t>,</w:t>
      </w:r>
      <w:r w:rsidRPr="00022BA7">
        <w:t xml:space="preserve"> Tier III is assumed</w:t>
      </w:r>
      <w:r w:rsidR="00303F9E">
        <w:fldChar w:fldCharType="begin"/>
      </w:r>
      <w:r w:rsidR="00F33969">
        <w:instrText xml:space="preserve"> ADDIN ZOTERO_ITEM CSL_CITATION {"citationID":"DClMlSVg","properties":{"formattedCitation":"\\super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303F9E">
        <w:fldChar w:fldCharType="separate"/>
      </w:r>
      <w:r w:rsidR="00F33969" w:rsidRPr="00F33969">
        <w:rPr>
          <w:rFonts w:cs="Times New Roman"/>
          <w:szCs w:val="24"/>
          <w:vertAlign w:val="superscript"/>
        </w:rPr>
        <w:t>20</w:t>
      </w:r>
      <w:r w:rsidR="00303F9E">
        <w:fldChar w:fldCharType="end"/>
      </w:r>
      <w:r w:rsidRPr="00022BA7">
        <w:t>. We</w:t>
      </w:r>
      <w:r>
        <w:t xml:space="preserve"> </w:t>
      </w:r>
      <w:r w:rsidRPr="00022BA7">
        <w:t>also assum</w:t>
      </w:r>
      <w:r>
        <w:t>ed</w:t>
      </w:r>
      <w:r w:rsidRPr="00022BA7">
        <w:t xml:space="preserve"> a 65</w:t>
      </w:r>
      <w:r>
        <w:t>%</w:t>
      </w:r>
      <w:r w:rsidRPr="00022BA7">
        <w:t xml:space="preserve"> reduction in the NO</w:t>
      </w:r>
      <w:r w:rsidRPr="00123BF0">
        <w:rPr>
          <w:vertAlign w:val="subscript"/>
        </w:rPr>
        <w:t>x</w:t>
      </w:r>
      <w:r w:rsidRPr="00022BA7">
        <w:t xml:space="preserve"> emission factor by 2035, which aligns with Proposed Amendments by the California Air Resources Board</w:t>
      </w:r>
      <w:r w:rsidR="00AC2CC4">
        <w:fldChar w:fldCharType="begin"/>
      </w:r>
      <w:r w:rsidR="00F33969">
        <w:instrText xml:space="preserve"> ADDIN ZOTERO_ITEM CSL_CITATION {"citationID":"0Ygu26yP","properties":{"formattedCitation":"\\super 21\\nosupersub{}","plainCitation":"21","noteIndex":0},"citationItems":[{"id":170,"uris":["http://zotero.org/users/12468222/items/HICJDB5T"],"itemData":{"id":170,"type":"webpage","title":"CHC Fact Sheet: Tugboats (Towing Vessels)","URL":"https://ww2.arb.ca.gov/resources/fact-sheets/chc-fact-sheet-tugboats-towing-vessels","author":[{"literal":"California Air Resources Board"}],"accessed":{"date-parts":[["2023",9,26]]},"issued":{"date-parts":[["2021"]]}}}],"schema":"https://github.com/citation-style-language/schema/raw/master/csl-citation.json"} </w:instrText>
      </w:r>
      <w:r w:rsidR="00AC2CC4">
        <w:fldChar w:fldCharType="separate"/>
      </w:r>
      <w:r w:rsidR="00F33969" w:rsidRPr="00F33969">
        <w:rPr>
          <w:rFonts w:cs="Times New Roman"/>
          <w:szCs w:val="24"/>
          <w:vertAlign w:val="superscript"/>
        </w:rPr>
        <w:t>21</w:t>
      </w:r>
      <w:r w:rsidR="00AC2CC4">
        <w:fldChar w:fldCharType="end"/>
      </w:r>
      <w:r w:rsidRPr="00022BA7">
        <w:t>. Additionally, we considered the impact of stricter regulations on NO</w:t>
      </w:r>
      <w:r w:rsidRPr="000361AE">
        <w:rPr>
          <w:vertAlign w:val="subscript"/>
        </w:rPr>
        <w:t>x</w:t>
      </w:r>
      <w:r w:rsidRPr="00022BA7">
        <w:t xml:space="preserve"> and </w:t>
      </w:r>
      <w:proofErr w:type="spellStart"/>
      <w:r w:rsidRPr="00022BA7">
        <w:t>SO</w:t>
      </w:r>
      <w:r w:rsidRPr="000361AE">
        <w:rPr>
          <w:vertAlign w:val="subscript"/>
        </w:rPr>
        <w:t>x</w:t>
      </w:r>
      <w:proofErr w:type="spellEnd"/>
      <w:r w:rsidRPr="00022BA7">
        <w:t xml:space="preserve"> emissions, assuming zero emissions for these pollutants by 2050 for NO</w:t>
      </w:r>
      <w:r w:rsidRPr="000361AE">
        <w:rPr>
          <w:vertAlign w:val="subscript"/>
        </w:rPr>
        <w:t>x</w:t>
      </w:r>
      <w:r w:rsidRPr="00022BA7">
        <w:t xml:space="preserve"> and </w:t>
      </w:r>
      <w:r w:rsidR="00AE7724">
        <w:t xml:space="preserve">by </w:t>
      </w:r>
      <w:r w:rsidRPr="00022BA7">
        <w:t xml:space="preserve">2035 for </w:t>
      </w:r>
      <w:proofErr w:type="spellStart"/>
      <w:r w:rsidRPr="00022BA7">
        <w:t>SO</w:t>
      </w:r>
      <w:r w:rsidRPr="000361AE">
        <w:rPr>
          <w:vertAlign w:val="subscript"/>
        </w:rPr>
        <w:t>x</w:t>
      </w:r>
      <w:proofErr w:type="spellEnd"/>
      <w:r w:rsidRPr="00022BA7">
        <w:t>.</w:t>
      </w:r>
    </w:p>
    <w:p w14:paraId="2E003E9E" w14:textId="77777777" w:rsidR="004F075A" w:rsidRPr="00022BA7" w:rsidRDefault="004F075A" w:rsidP="004F075A"/>
    <w:p w14:paraId="5A6EEFA4" w14:textId="7147D665" w:rsidR="004F075A" w:rsidRDefault="004F075A" w:rsidP="004F075A">
      <w:r w:rsidRPr="00022BA7">
        <w:t xml:space="preserve">For emissions from </w:t>
      </w:r>
      <w:r>
        <w:t xml:space="preserve">the </w:t>
      </w:r>
      <w:r w:rsidRPr="00022BA7">
        <w:t xml:space="preserve">main engine, low-load adjustments, </w:t>
      </w:r>
      <m:oMath>
        <m:r>
          <w:rPr>
            <w:rFonts w:ascii="Cambria Math" w:hAnsi="Cambria Math"/>
          </w:rPr>
          <m:t>LL</m:t>
        </m:r>
        <m:sSub>
          <m:sSubPr>
            <m:ctrlPr>
              <w:rPr>
                <w:rFonts w:ascii="Cambria Math" w:hAnsi="Cambria Math"/>
              </w:rPr>
            </m:ctrlPr>
          </m:sSubPr>
          <m:e>
            <m:r>
              <w:rPr>
                <w:rFonts w:ascii="Cambria Math" w:hAnsi="Cambria Math"/>
              </w:rPr>
              <m:t>A</m:t>
            </m:r>
          </m:e>
          <m:sub>
            <m:r>
              <w:rPr>
                <w:rFonts w:ascii="Cambria Math" w:hAnsi="Cambria Math"/>
              </w:rPr>
              <m:t>e</m:t>
            </m:r>
          </m:sub>
        </m:sSub>
      </m:oMath>
      <w:r w:rsidRPr="00022BA7">
        <w:t xml:space="preserve">, are considered when the load factor for vessel </w:t>
      </w:r>
      <m:oMath>
        <m:r>
          <w:rPr>
            <w:rFonts w:ascii="Cambria Math" w:hAnsi="Cambria Math"/>
          </w:rPr>
          <m:t>v</m:t>
        </m:r>
      </m:oMath>
      <w:r w:rsidRPr="00022BA7">
        <w:t xml:space="preserve"> and time </w:t>
      </w:r>
      <m:oMath>
        <m:r>
          <w:rPr>
            <w:rFonts w:ascii="Cambria Math" w:hAnsi="Cambria Math"/>
          </w:rPr>
          <m:t>t</m:t>
        </m:r>
      </m:oMath>
      <w:r w:rsidRPr="00022BA7">
        <w:t xml:space="preserve">, </w:t>
      </w:r>
      <m:oMath>
        <m:sSubSup>
          <m:sSubSupPr>
            <m:ctrlPr>
              <w:rPr>
                <w:rFonts w:ascii="Cambria Math" w:hAnsi="Cambria Math"/>
                <w:i/>
              </w:rPr>
            </m:ctrlPr>
          </m:sSubSupPr>
          <m:e>
            <m:r>
              <w:rPr>
                <w:rFonts w:ascii="Cambria Math" w:hAnsi="Cambria Math"/>
              </w:rPr>
              <m:t>LF</m:t>
            </m:r>
          </m:e>
          <m:sub>
            <m:r>
              <w:rPr>
                <w:rFonts w:ascii="Cambria Math" w:hAnsi="Cambria Math"/>
              </w:rPr>
              <m:t>v,t</m:t>
            </m:r>
          </m:sub>
          <m:sup>
            <m:r>
              <w:rPr>
                <w:rFonts w:ascii="Cambria Math" w:hAnsi="Cambria Math"/>
              </w:rPr>
              <m:t>ME</m:t>
            </m:r>
          </m:sup>
        </m:sSubSup>
      </m:oMath>
      <w:r w:rsidRPr="00022BA7">
        <w:t>, is below 20% as shown in</w:t>
      </w:r>
      <w:r>
        <w:t xml:space="preserve"> </w:t>
      </w:r>
      <w:r w:rsidR="00011D82">
        <w:fldChar w:fldCharType="begin"/>
      </w:r>
      <w:r w:rsidR="00011D82">
        <w:instrText xml:space="preserve"> REF _Ref144853694 \h </w:instrText>
      </w:r>
      <w:r w:rsidR="00011D82">
        <w:fldChar w:fldCharType="separate"/>
      </w:r>
      <w:r w:rsidR="00C661AC">
        <w:t xml:space="preserve">Supplementary </w:t>
      </w:r>
      <w:r w:rsidR="00C661AC" w:rsidRPr="00022BA7">
        <w:t xml:space="preserve">Table </w:t>
      </w:r>
      <w:r w:rsidR="00C661AC">
        <w:rPr>
          <w:noProof/>
        </w:rPr>
        <w:t>15</w:t>
      </w:r>
      <w:r w:rsidR="00011D82">
        <w:fldChar w:fldCharType="end"/>
      </w:r>
      <w:r w:rsidRPr="00022BA7">
        <w:t>. The application of low-load adjustments is considered in both international shipping studies</w:t>
      </w:r>
      <w:r w:rsidR="001E33D0">
        <w:fldChar w:fldCharType="begin"/>
      </w:r>
      <w:r w:rsidR="00C61E16">
        <w:instrText xml:space="preserve"> ADDIN ZOTERO_ITEM CSL_CITATION {"citationID":"RtbIPLqC","properties":{"formattedCitation":"\\super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1E33D0">
        <w:fldChar w:fldCharType="separate"/>
      </w:r>
      <w:r w:rsidR="00C61E16" w:rsidRPr="00C61E16">
        <w:rPr>
          <w:rFonts w:cs="Times New Roman"/>
          <w:szCs w:val="24"/>
          <w:vertAlign w:val="superscript"/>
        </w:rPr>
        <w:t>7</w:t>
      </w:r>
      <w:r w:rsidR="001E33D0">
        <w:fldChar w:fldCharType="end"/>
      </w:r>
      <w:r w:rsidRPr="00022BA7">
        <w:t xml:space="preserve"> and domestic commercial marine vessels</w:t>
      </w:r>
      <w:r w:rsidR="001E33D0">
        <w:fldChar w:fldCharType="begin"/>
      </w:r>
      <w:r w:rsidR="00C61E16">
        <w:instrText xml:space="preserve"> ADDIN ZOTERO_ITEM CSL_CITATION {"citationID":"Z2fLFaqA","properties":{"formattedCitation":"\\super 8\\nosupersub{}","plainCitation":"8","noteIndex":0},"citationItems":[{"id":193,"uris":["http://zotero.org/users/12468222/items/BC5BXSHK"],"itemData":{"id":193,"type":"report","publisher":"Eastern Research Group, Inc.","title":"Category 1 and 2 Commercial Marine Vessel 2020 Emissions Inventory","URL":"https://gaftp.epa.gov/air/nei/2020/doc/supporting_data/nonpoint/CMV/2020NEI_C1C2_Documentation.pdf","author":[{"literal":"Eastern Research Group, Inc."}],"issued":{"date-parts":[["2022"]]}}}],"schema":"https://github.com/citation-style-language/schema/raw/master/csl-citation.json"} </w:instrText>
      </w:r>
      <w:r w:rsidR="001E33D0">
        <w:fldChar w:fldCharType="separate"/>
      </w:r>
      <w:r w:rsidR="00C61E16" w:rsidRPr="00C61E16">
        <w:rPr>
          <w:rFonts w:cs="Times New Roman"/>
          <w:szCs w:val="24"/>
          <w:vertAlign w:val="superscript"/>
        </w:rPr>
        <w:t>8</w:t>
      </w:r>
      <w:r w:rsidR="001E33D0">
        <w:fldChar w:fldCharType="end"/>
      </w:r>
      <w:r w:rsidRPr="00022BA7">
        <w:t>.</w:t>
      </w:r>
    </w:p>
    <w:p w14:paraId="1821A43A" w14:textId="77777777" w:rsidR="00CB12F5" w:rsidRPr="00022BA7" w:rsidRDefault="00CB12F5" w:rsidP="004F075A"/>
    <w:p w14:paraId="029A3CC8" w14:textId="77777777" w:rsidR="004F075A" w:rsidRPr="00022BA7" w:rsidRDefault="004F075A" w:rsidP="004F075A">
      <w:pPr>
        <w:rPr>
          <w:sz w:val="18"/>
        </w:rPr>
      </w:pPr>
    </w:p>
    <w:p w14:paraId="0466BA2F" w14:textId="14ABF0B9" w:rsidR="004F075A" w:rsidRPr="00022BA7" w:rsidRDefault="004F075A">
      <w:pPr>
        <w:pStyle w:val="Heading3"/>
      </w:pPr>
      <w:r w:rsidRPr="00022BA7">
        <w:t>Battery</w:t>
      </w:r>
      <w:r w:rsidR="00AE7724">
        <w:t>-</w:t>
      </w:r>
      <w:r w:rsidRPr="00022BA7">
        <w:t>Electric Ships (BESs)</w:t>
      </w:r>
    </w:p>
    <w:p w14:paraId="74015EDC" w14:textId="360EA6DF" w:rsidR="004F075A" w:rsidRPr="00022BA7" w:rsidRDefault="004F075A" w:rsidP="004F075A">
      <w:r>
        <w:t>E</w:t>
      </w:r>
      <w:r w:rsidRPr="00022BA7">
        <w:t xml:space="preserve">missions </w:t>
      </w:r>
      <w:r>
        <w:t xml:space="preserve">from </w:t>
      </w:r>
      <w:r w:rsidRPr="00022BA7">
        <w:t>BES</w:t>
      </w:r>
      <w:r>
        <w:t>s</w:t>
      </w:r>
      <w:r w:rsidRPr="00022BA7">
        <w:t xml:space="preserve">, </w:t>
      </w:r>
      <m:oMath>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m:t>
            </m:r>
          </m:sub>
          <m:sup>
            <m:r>
              <w:rPr>
                <w:rFonts w:ascii="Cambria Math" w:hAnsi="Cambria Math"/>
              </w:rPr>
              <m:t>BES</m:t>
            </m:r>
          </m:sup>
        </m:sSubSup>
      </m:oMath>
      <w:r w:rsidRPr="00022BA7">
        <w:t xml:space="preserve">, are the sum of emissions from the </w:t>
      </w:r>
      <w:r>
        <w:t>w</w:t>
      </w:r>
      <w:r w:rsidRPr="00022BA7">
        <w:t>ell-to-</w:t>
      </w:r>
      <w:r>
        <w:t>t</w:t>
      </w:r>
      <w:r w:rsidRPr="00022BA7">
        <w:t>ank phase</w:t>
      </w:r>
      <m:oMath>
        <m:r>
          <w:rPr>
            <w:rFonts w:ascii="Cambria Math" w:hAnsi="Cambria Math"/>
          </w:rPr>
          <m:t xml:space="preserve">, </m:t>
        </m:r>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WtT</m:t>
            </m:r>
            <m:r>
              <m:rPr>
                <m:sty m:val="p"/>
              </m:rPr>
              <w:rPr>
                <w:rFonts w:ascii="Cambria Math" w:hAnsi="Cambria Math"/>
              </w:rPr>
              <m:t>,</m:t>
            </m:r>
            <m:r>
              <w:rPr>
                <w:rFonts w:ascii="Cambria Math" w:hAnsi="Cambria Math"/>
              </w:rPr>
              <m:t>BES</m:t>
            </m:r>
          </m:sup>
        </m:sSubSup>
      </m:oMath>
      <w:r w:rsidRPr="00022BA7">
        <w:t xml:space="preserve">, power generators on the electricity grid, </w:t>
      </w:r>
      <m:oMath>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m:t>
            </m:r>
            <m:r>
              <m:rPr>
                <m:sty m:val="p"/>
              </m:rPr>
              <w:rPr>
                <w:rFonts w:ascii="Cambria Math" w:hAnsi="Cambria Math"/>
              </w:rPr>
              <m:t>,</m:t>
            </m:r>
            <m:r>
              <w:rPr>
                <w:rFonts w:ascii="Cambria Math" w:hAnsi="Cambria Math"/>
              </w:rPr>
              <m:t>pX,sc</m:t>
            </m:r>
          </m:sub>
          <m:sup>
            <m:r>
              <w:rPr>
                <w:rFonts w:ascii="Cambria Math" w:hAnsi="Cambria Math"/>
              </w:rPr>
              <m:t>Grid</m:t>
            </m:r>
          </m:sup>
        </m:sSubSup>
      </m:oMath>
      <w:r w:rsidRPr="00022BA7">
        <w:t xml:space="preserve">, and battery manufacturing, </w:t>
      </w:r>
      <m:oMath>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v,pX,sc</m:t>
            </m:r>
          </m:sub>
          <m:sup>
            <m:r>
              <w:rPr>
                <w:rFonts w:ascii="Cambria Math" w:hAnsi="Cambria Math"/>
              </w:rPr>
              <m:t>Batt</m:t>
            </m:r>
          </m:sup>
        </m:sSubSup>
      </m:oMath>
      <w:r w:rsidRPr="00022BA7">
        <w:t xml:space="preserve">. </w:t>
      </w:r>
      <w:r>
        <w:t>E</w:t>
      </w:r>
      <w:r w:rsidRPr="00022BA7">
        <w:t>mission credit</w:t>
      </w:r>
      <w:r>
        <w:t>s</w:t>
      </w:r>
      <w:r w:rsidRPr="00022BA7">
        <w:t xml:space="preserve"> from second-life battery </w:t>
      </w:r>
      <w:r w:rsidR="001646A3">
        <w:t xml:space="preserve">(SLB) </w:t>
      </w:r>
      <w:r>
        <w:t xml:space="preserve">use </w:t>
      </w:r>
      <w:r w:rsidRPr="00022BA7">
        <w:t xml:space="preserve">after BES use, </w:t>
      </w:r>
      <m:oMath>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v,pX,sc</m:t>
            </m:r>
          </m:sub>
          <m:sup>
            <m:r>
              <w:rPr>
                <w:rFonts w:ascii="Cambria Math" w:hAnsi="Cambria Math"/>
              </w:rPr>
              <m:t>SLB</m:t>
            </m:r>
          </m:sup>
        </m:sSubSup>
      </m:oMath>
      <w:r w:rsidRPr="00022BA7">
        <w:t xml:space="preserve">, </w:t>
      </w:r>
      <w:r>
        <w:t>are also</w:t>
      </w:r>
      <w:r w:rsidRPr="00022BA7">
        <w:t xml:space="preserve"> considered because this study assumes end</w:t>
      </w:r>
      <w:r>
        <w:t>-</w:t>
      </w:r>
      <w:r w:rsidRPr="00022BA7">
        <w:t>of</w:t>
      </w:r>
      <w:r>
        <w:t>-</w:t>
      </w:r>
      <w:r w:rsidRPr="00022BA7">
        <w:t xml:space="preserve">life </w:t>
      </w:r>
      <w:r>
        <w:t xml:space="preserve">batteries can </w:t>
      </w:r>
      <w:r w:rsidRPr="00022BA7">
        <w:t>still be used for other purposes. Emissions are represented by equations (</w:t>
      </w:r>
      <w:r>
        <w:t>40</w:t>
      </w:r>
      <w:r w:rsidRPr="00022BA7">
        <w:t>) through (</w:t>
      </w:r>
      <w:r>
        <w:t>44</w:t>
      </w:r>
      <w:r w:rsidRPr="00022BA7">
        <w:t>)</w:t>
      </w:r>
      <w:r>
        <w:t>:</w:t>
      </w:r>
    </w:p>
    <w:p w14:paraId="73A11890"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790"/>
        <w:gridCol w:w="861"/>
      </w:tblGrid>
      <w:tr w:rsidR="004F075A" w:rsidRPr="00022BA7" w14:paraId="79F82A1D" w14:textId="77777777" w:rsidTr="00F95C74">
        <w:trPr>
          <w:trHeight w:val="300"/>
        </w:trPr>
        <w:tc>
          <w:tcPr>
            <w:tcW w:w="709" w:type="dxa"/>
          </w:tcPr>
          <w:p w14:paraId="063842EE" w14:textId="77777777" w:rsidR="004F075A" w:rsidRPr="00022BA7" w:rsidRDefault="004F075A" w:rsidP="00F95C74">
            <w:pPr>
              <w:rPr>
                <w:i/>
              </w:rPr>
            </w:pPr>
          </w:p>
        </w:tc>
        <w:tc>
          <w:tcPr>
            <w:tcW w:w="7790" w:type="dxa"/>
          </w:tcPr>
          <w:p w14:paraId="376C4641"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eastAsia="Malgun Gothic" w:hAnsi="Cambria Math" w:cs="Times New Roman"/>
                        <w:i/>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BES</m:t>
                    </m:r>
                  </m:sup>
                </m:sSubSup>
                <m:r>
                  <w:rPr>
                    <w:rFonts w:ascii="Cambria Math" w:eastAsia="Malgun Gothic" w:hAnsi="Cambria Math" w:cs="Times New Roman"/>
                  </w:rPr>
                  <m:t>=</m:t>
                </m:r>
                <m:sSubSup>
                  <m:sSubSupPr>
                    <m:ctrlPr>
                      <w:rPr>
                        <w:rFonts w:ascii="Cambria Math" w:eastAsia="Malgun Gothic" w:hAnsi="Cambria Math" w:cs="Times New Roman"/>
                        <w:i/>
                      </w:rPr>
                    </m:ctrlPr>
                  </m:sSubSupPr>
                  <m:e>
                    <m:r>
                      <w:rPr>
                        <w:rFonts w:ascii="Cambria Math" w:eastAsia="Malgun Gothic" w:hAnsi="Cambria Math" w:cs="Times New Roman"/>
                      </w:rPr>
                      <m:t>EM</m:t>
                    </m:r>
                  </m:e>
                  <m:sub>
                    <m:r>
                      <w:rPr>
                        <w:rFonts w:ascii="Cambria Math" w:eastAsia="Malgun Gothic" w:hAnsi="Cambria Math" w:cs="Times New Roman"/>
                      </w:rPr>
                      <m:t>e,v,pX</m:t>
                    </m:r>
                  </m:sub>
                  <m:sup>
                    <m:r>
                      <w:rPr>
                        <w:rFonts w:ascii="Cambria Math" w:eastAsia="Malgun Gothic" w:hAnsi="Cambria Math" w:cs="Times New Roman"/>
                      </w:rPr>
                      <m:t>WtT,BES</m:t>
                    </m:r>
                  </m:sup>
                </m:sSubSup>
                <m:r>
                  <w:rPr>
                    <w:rFonts w:ascii="Cambria Math" w:eastAsia="Malgun Gothic" w:hAnsi="Cambria Math" w:cs="Times New Roman"/>
                  </w:rPr>
                  <m:t>+</m:t>
                </m:r>
                <m:sSubSup>
                  <m:sSubSupPr>
                    <m:ctrlPr>
                      <w:rPr>
                        <w:rFonts w:ascii="Cambria Math" w:eastAsia="Malgun Gothic" w:hAnsi="Cambria Math" w:cs="Times New Roman"/>
                        <w:i/>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Grid</m:t>
                    </m:r>
                  </m:sup>
                </m:sSubSup>
                <m:r>
                  <w:rPr>
                    <w:rFonts w:ascii="Cambria Math" w:eastAsia="Malgun Gothic" w:hAnsi="Cambria Math" w:cs="Times New Roman"/>
                  </w:rPr>
                  <m:t>+</m:t>
                </m:r>
                <m:sSubSup>
                  <m:sSubSupPr>
                    <m:ctrlPr>
                      <w:rPr>
                        <w:rFonts w:ascii="Cambria Math" w:eastAsia="Malgun Gothic" w:hAnsi="Cambria Math" w:cs="Times New Roman"/>
                        <w:i/>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Batt</m:t>
                    </m:r>
                  </m:sup>
                </m:sSubSup>
                <m:r>
                  <w:rPr>
                    <w:rFonts w:ascii="Cambria Math" w:eastAsia="Malgun Gothic" w:hAnsi="Cambria Math" w:cs="Times New Roman"/>
                  </w:rPr>
                  <m:t>-</m:t>
                </m:r>
                <m:sSubSup>
                  <m:sSubSupPr>
                    <m:ctrlPr>
                      <w:rPr>
                        <w:rFonts w:ascii="Cambria Math" w:eastAsia="Malgun Gothic" w:hAnsi="Cambria Math" w:cs="Times New Roman"/>
                        <w:i/>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SLB</m:t>
                    </m:r>
                  </m:sup>
                </m:sSubSup>
              </m:oMath>
            </m:oMathPara>
          </w:p>
        </w:tc>
        <w:tc>
          <w:tcPr>
            <w:tcW w:w="861" w:type="dxa"/>
          </w:tcPr>
          <w:p w14:paraId="4FD00261" w14:textId="77777777" w:rsidR="004F075A" w:rsidRPr="00022BA7" w:rsidRDefault="004F075A" w:rsidP="00F95C74">
            <w:pPr>
              <w:jc w:val="right"/>
            </w:pPr>
            <w:r w:rsidRPr="00022BA7">
              <w:t>(</w:t>
            </w:r>
            <w:r>
              <w:t>40</w:t>
            </w:r>
            <w:r w:rsidRPr="00022BA7">
              <w:t>)</w:t>
            </w:r>
          </w:p>
        </w:tc>
      </w:tr>
      <w:tr w:rsidR="004F075A" w:rsidRPr="00022BA7" w14:paraId="15697A3C" w14:textId="77777777" w:rsidTr="00F95C74">
        <w:trPr>
          <w:trHeight w:val="300"/>
        </w:trPr>
        <w:tc>
          <w:tcPr>
            <w:tcW w:w="709" w:type="dxa"/>
          </w:tcPr>
          <w:p w14:paraId="4074836F" w14:textId="77777777" w:rsidR="004F075A" w:rsidRPr="00022BA7" w:rsidRDefault="004F075A" w:rsidP="00F95C74">
            <w:pPr>
              <w:rPr>
                <w:i/>
              </w:rPr>
            </w:pPr>
          </w:p>
        </w:tc>
        <w:tc>
          <w:tcPr>
            <w:tcW w:w="7790" w:type="dxa"/>
          </w:tcPr>
          <w:p w14:paraId="50E31E8D" w14:textId="77777777" w:rsidR="004F075A" w:rsidRPr="00022BA7" w:rsidRDefault="00590C69" w:rsidP="00F95C74">
            <w:pPr>
              <w:rPr>
                <w:i/>
              </w:rPr>
            </w:pPr>
            <m:oMathPara>
              <m:oMath>
                <m:sSubSup>
                  <m:sSubSupPr>
                    <m:ctrlPr>
                      <w:rPr>
                        <w:rFonts w:ascii="Cambria Math" w:hAnsi="Cambria Math"/>
                        <w:i/>
                      </w:rPr>
                    </m:ctrlPr>
                  </m:sSubSupPr>
                  <m:e>
                    <m:r>
                      <w:rPr>
                        <w:rFonts w:ascii="Cambria Math" w:hAnsi="Cambria Math"/>
                      </w:rPr>
                      <m:t>EM</m:t>
                    </m:r>
                  </m:e>
                  <m:sub>
                    <m:r>
                      <w:rPr>
                        <w:rFonts w:ascii="Cambria Math" w:hAnsi="Cambria Math"/>
                      </w:rPr>
                      <m:t>e,v,pX</m:t>
                    </m:r>
                  </m:sub>
                  <m:sup>
                    <m:r>
                      <w:rPr>
                        <w:rFonts w:ascii="Cambria Math" w:hAnsi="Cambria Math"/>
                      </w:rPr>
                      <m:t>WtT,BES</m:t>
                    </m:r>
                  </m:sup>
                </m:sSubSup>
                <m:r>
                  <w:rPr>
                    <w:rFonts w:ascii="Cambria Math" w:hAnsi="Cambria Math"/>
                  </w:rPr>
                  <m:t>=</m:t>
                </m:r>
                <m:sSubSup>
                  <m:sSubSupPr>
                    <m:ctrlPr>
                      <w:rPr>
                        <w:rFonts w:ascii="Cambria Math" w:hAnsi="Cambria Math"/>
                        <w:i/>
                      </w:rPr>
                    </m:ctrlPr>
                  </m:sSubSupPr>
                  <m:e>
                    <m:r>
                      <w:rPr>
                        <w:rFonts w:ascii="Cambria Math" w:hAnsi="Cambria Math"/>
                      </w:rPr>
                      <m:t>EF</m:t>
                    </m:r>
                  </m:e>
                  <m:sub>
                    <m:r>
                      <w:rPr>
                        <w:rFonts w:ascii="Cambria Math" w:hAnsi="Cambria Math"/>
                      </w:rPr>
                      <m:t>e</m:t>
                    </m:r>
                  </m:sub>
                  <m:sup>
                    <m:r>
                      <w:rPr>
                        <w:rFonts w:ascii="Cambria Math" w:hAnsi="Cambria Math"/>
                      </w:rPr>
                      <m:t>WtT,BES</m:t>
                    </m:r>
                  </m:sup>
                </m:sSubSup>
                <m:r>
                  <w:rPr>
                    <w:rFonts w:ascii="Cambria Math" w:hAnsi="Cambria Math" w:cs="Cambria Math"/>
                  </w:rPr>
                  <m:t>⋅</m:t>
                </m:r>
                <m:sSubSup>
                  <m:sSubSupPr>
                    <m:ctrlPr>
                      <w:rPr>
                        <w:rFonts w:ascii="Cambria Math" w:hAnsi="Cambria Math"/>
                        <w:i/>
                      </w:rPr>
                    </m:ctrlPr>
                  </m:sSubSupPr>
                  <m:e>
                    <m:r>
                      <w:rPr>
                        <w:rFonts w:ascii="Cambria Math" w:hAnsi="Cambria Math"/>
                      </w:rPr>
                      <m:t>E</m:t>
                    </m:r>
                    <m:ctrlPr>
                      <w:rPr>
                        <w:rFonts w:ascii="Cambria Math" w:hAnsi="Cambria Math" w:cs="Cambria Math"/>
                        <w:i/>
                      </w:rPr>
                    </m:ctrlPr>
                  </m:e>
                  <m:sub>
                    <m:r>
                      <w:rPr>
                        <w:rFonts w:ascii="Cambria Math" w:hAnsi="Cambria Math"/>
                      </w:rPr>
                      <m:t>v,pX</m:t>
                    </m:r>
                  </m:sub>
                  <m:sup>
                    <m:r>
                      <w:rPr>
                        <w:rFonts w:ascii="Cambria Math" w:hAnsi="Cambria Math"/>
                      </w:rPr>
                      <m:t>Cov</m:t>
                    </m:r>
                  </m:sup>
                </m:sSubSup>
                <m:r>
                  <w:rPr>
                    <w:rFonts w:ascii="Cambria Math" w:hAnsi="Cambria Math" w:cs="Cambria Math"/>
                  </w:rPr>
                  <m:t>⋅</m:t>
                </m:r>
                <m:sSubSup>
                  <m:sSubSupPr>
                    <m:ctrlPr>
                      <w:rPr>
                        <w:rFonts w:ascii="Cambria Math" w:hAnsi="Cambria Math"/>
                        <w:i/>
                      </w:rPr>
                    </m:ctrlPr>
                  </m:sSubSupPr>
                  <m:e>
                    <m:r>
                      <w:rPr>
                        <w:rFonts w:ascii="Cambria Math" w:hAnsi="Cambria Math" w:cs="Times New Roman"/>
                      </w:rPr>
                      <m:t>η</m:t>
                    </m:r>
                    <m:ctrlPr>
                      <w:rPr>
                        <w:rFonts w:ascii="Cambria Math" w:hAnsi="Cambria Math" w:cs="Cambria Math"/>
                        <w:i/>
                      </w:rPr>
                    </m:ctrlPr>
                  </m:e>
                  <m:sub>
                    <m:r>
                      <w:rPr>
                        <w:rFonts w:ascii="Cambria Math" w:hAnsi="Cambria Math"/>
                      </w:rPr>
                      <m:t>SB</m:t>
                    </m:r>
                  </m:sub>
                  <m:sup>
                    <m:r>
                      <w:rPr>
                        <w:rFonts w:ascii="Cambria Math" w:hAnsi="Cambria Math"/>
                      </w:rPr>
                      <m:t>-1</m:t>
                    </m:r>
                  </m:sup>
                </m:sSubSup>
              </m:oMath>
            </m:oMathPara>
          </w:p>
        </w:tc>
        <w:tc>
          <w:tcPr>
            <w:tcW w:w="861" w:type="dxa"/>
          </w:tcPr>
          <w:p w14:paraId="3417F046" w14:textId="77777777" w:rsidR="004F075A" w:rsidRPr="00022BA7" w:rsidRDefault="004F075A" w:rsidP="00F95C74">
            <w:pPr>
              <w:jc w:val="right"/>
            </w:pPr>
            <w:r w:rsidRPr="00022BA7">
              <w:t>(</w:t>
            </w:r>
            <w:r>
              <w:t>41</w:t>
            </w:r>
            <w:r w:rsidRPr="00022BA7">
              <w:t>)</w:t>
            </w:r>
          </w:p>
        </w:tc>
      </w:tr>
      <w:tr w:rsidR="004F075A" w:rsidRPr="00022BA7" w14:paraId="12B61ED4" w14:textId="77777777" w:rsidTr="00F95C74">
        <w:trPr>
          <w:trHeight w:val="300"/>
        </w:trPr>
        <w:tc>
          <w:tcPr>
            <w:tcW w:w="709" w:type="dxa"/>
          </w:tcPr>
          <w:p w14:paraId="0A830A3F" w14:textId="77777777" w:rsidR="004F075A" w:rsidRPr="00022BA7" w:rsidRDefault="004F075A" w:rsidP="00F95C74">
            <w:pPr>
              <w:rPr>
                <w:i/>
              </w:rPr>
            </w:pPr>
          </w:p>
        </w:tc>
        <w:tc>
          <w:tcPr>
            <w:tcW w:w="7790" w:type="dxa"/>
          </w:tcPr>
          <w:p w14:paraId="602CBA13" w14:textId="77777777" w:rsidR="004F075A" w:rsidRPr="00022BA7" w:rsidRDefault="00590C69" w:rsidP="00F95C74">
            <w:pPr>
              <w:rPr>
                <w:rFonts w:eastAsia="Malgun Gothic" w:cs="Times New Roman"/>
                <w:i/>
                <w:iCs/>
              </w:rPr>
            </w:pPr>
            <m:oMathPara>
              <m:oMath>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Grid</m:t>
                    </m:r>
                  </m:sup>
                </m:sSubSup>
                <m:r>
                  <w:rPr>
                    <w:rFonts w:ascii="Cambria Math" w:eastAsia="Malgun Gothic" w:hAnsi="Cambria Math" w:cs="Times New Roman"/>
                  </w:rPr>
                  <m:t>=</m:t>
                </m:r>
                <m:sSubSup>
                  <m:sSubSupPr>
                    <m:ctrlPr>
                      <w:rPr>
                        <w:rFonts w:ascii="Cambria Math" w:eastAsia="Malgun Gothic" w:hAnsi="Cambria Math" w:cs="Times New Roman"/>
                        <w:i/>
                        <w:iCs/>
                      </w:rPr>
                    </m:ctrlPr>
                  </m:sSubSupPr>
                  <m:e>
                    <m:r>
                      <w:rPr>
                        <w:rFonts w:ascii="Cambria Math" w:eastAsia="Malgun Gothic" w:hAnsi="Cambria Math" w:cs="Times New Roman"/>
                      </w:rPr>
                      <m:t>EF</m:t>
                    </m:r>
                  </m:e>
                  <m:sub>
                    <m:r>
                      <w:rPr>
                        <w:rFonts w:ascii="Cambria Math" w:eastAsia="Malgun Gothic" w:hAnsi="Cambria Math" w:cs="Times New Roman"/>
                      </w:rPr>
                      <m:t>e,sc</m:t>
                    </m:r>
                  </m:sub>
                  <m:sup>
                    <m:r>
                      <w:rPr>
                        <w:rFonts w:ascii="Cambria Math" w:eastAsia="Malgun Gothic" w:hAnsi="Cambria Math" w:cs="Times New Roman"/>
                      </w:rPr>
                      <m:t>Grid</m:t>
                    </m:r>
                  </m:sup>
                </m:sSubSup>
                <m:r>
                  <w:rPr>
                    <w:rFonts w:ascii="Cambria Math" w:eastAsia="Malgun Gothic" w:hAnsi="Cambria Math" w:cs="Cambria Math"/>
                  </w:rPr>
                  <m:t>⋅</m:t>
                </m:r>
                <m:sSubSup>
                  <m:sSubSupPr>
                    <m:ctrlPr>
                      <w:rPr>
                        <w:rFonts w:ascii="Cambria Math" w:eastAsia="Malgun Gothic" w:hAnsi="Cambria Math" w:cs="Times New Roman"/>
                        <w:i/>
                        <w:iCs/>
                      </w:rPr>
                    </m:ctrlPr>
                  </m:sSubSupPr>
                  <m:e>
                    <m:r>
                      <w:rPr>
                        <w:rFonts w:ascii="Cambria Math" w:eastAsia="Malgun Gothic" w:hAnsi="Cambria Math" w:cs="Times New Roman"/>
                      </w:rPr>
                      <m:t>E</m:t>
                    </m:r>
                    <m:ctrlPr>
                      <w:rPr>
                        <w:rFonts w:ascii="Cambria Math" w:eastAsia="Malgun Gothic" w:hAnsi="Cambria Math" w:cs="Cambria Math"/>
                        <w:i/>
                        <w:iCs/>
                      </w:rPr>
                    </m:ctrlPr>
                  </m:e>
                  <m:sub>
                    <m:r>
                      <w:rPr>
                        <w:rFonts w:ascii="Cambria Math" w:eastAsia="Malgun Gothic" w:hAnsi="Cambria Math" w:cs="Times New Roman"/>
                      </w:rPr>
                      <m:t>v,pX</m:t>
                    </m:r>
                  </m:sub>
                  <m:sup>
                    <m:r>
                      <w:rPr>
                        <w:rFonts w:ascii="Cambria Math" w:eastAsia="Malgun Gothic" w:hAnsi="Cambria Math" w:cs="Times New Roman"/>
                      </w:rPr>
                      <m:t>Cov</m:t>
                    </m:r>
                  </m:sup>
                </m:sSubSup>
                <m:r>
                  <w:rPr>
                    <w:rFonts w:ascii="Cambria Math" w:eastAsia="Malgun Gothic" w:hAnsi="Cambria Math" w:cs="Cambria Math"/>
                  </w:rPr>
                  <m:t>⋅</m:t>
                </m:r>
                <m:sSubSup>
                  <m:sSubSupPr>
                    <m:ctrlPr>
                      <w:rPr>
                        <w:rFonts w:ascii="Cambria Math" w:eastAsia="Malgun Gothic" w:hAnsi="Cambria Math" w:cs="Times New Roman"/>
                        <w:i/>
                        <w:iCs/>
                      </w:rPr>
                    </m:ctrlPr>
                  </m:sSubSupPr>
                  <m:e>
                    <m:r>
                      <w:rPr>
                        <w:rFonts w:ascii="Cambria Math" w:eastAsia="Malgun Gothic" w:hAnsi="Cambria Math" w:cs="Times New Roman"/>
                      </w:rPr>
                      <m:t>η</m:t>
                    </m:r>
                    <m:ctrlPr>
                      <w:rPr>
                        <w:rFonts w:ascii="Cambria Math" w:eastAsia="Malgun Gothic" w:hAnsi="Cambria Math" w:cs="Cambria Math"/>
                        <w:i/>
                        <w:iCs/>
                      </w:rPr>
                    </m:ctrlPr>
                  </m:e>
                  <m:sub>
                    <m:r>
                      <w:rPr>
                        <w:rFonts w:ascii="Cambria Math" w:eastAsia="Malgun Gothic" w:hAnsi="Cambria Math" w:cs="Times New Roman"/>
                      </w:rPr>
                      <m:t>SB</m:t>
                    </m:r>
                  </m:sub>
                  <m:sup>
                    <m:r>
                      <w:rPr>
                        <w:rFonts w:ascii="Cambria Math" w:eastAsia="Malgun Gothic" w:hAnsi="Cambria Math" w:cs="Times New Roman"/>
                      </w:rPr>
                      <m:t>-1</m:t>
                    </m:r>
                  </m:sup>
                </m:sSubSup>
              </m:oMath>
            </m:oMathPara>
          </w:p>
        </w:tc>
        <w:tc>
          <w:tcPr>
            <w:tcW w:w="861" w:type="dxa"/>
          </w:tcPr>
          <w:p w14:paraId="2EEB44AB" w14:textId="77777777" w:rsidR="004F075A" w:rsidRPr="00022BA7" w:rsidRDefault="004F075A" w:rsidP="00F95C74">
            <w:pPr>
              <w:jc w:val="right"/>
            </w:pPr>
            <w:r w:rsidRPr="00022BA7">
              <w:t>(</w:t>
            </w:r>
            <w:r>
              <w:t>42</w:t>
            </w:r>
            <w:r w:rsidRPr="00022BA7">
              <w:t>)</w:t>
            </w:r>
          </w:p>
        </w:tc>
      </w:tr>
      <w:tr w:rsidR="004F075A" w:rsidRPr="00022BA7" w14:paraId="4266BDDE" w14:textId="77777777" w:rsidTr="00F95C74">
        <w:trPr>
          <w:trHeight w:val="300"/>
        </w:trPr>
        <w:tc>
          <w:tcPr>
            <w:tcW w:w="709" w:type="dxa"/>
          </w:tcPr>
          <w:p w14:paraId="6FC96229" w14:textId="77777777" w:rsidR="004F075A" w:rsidRPr="00022BA7" w:rsidRDefault="004F075A" w:rsidP="00F95C74">
            <w:pPr>
              <w:rPr>
                <w:i/>
              </w:rPr>
            </w:pPr>
          </w:p>
        </w:tc>
        <w:tc>
          <w:tcPr>
            <w:tcW w:w="7790" w:type="dxa"/>
          </w:tcPr>
          <w:p w14:paraId="1BC7B31C" w14:textId="77777777" w:rsidR="004F075A" w:rsidRPr="00022BA7" w:rsidRDefault="00590C69" w:rsidP="00F95C74">
            <w:pPr>
              <w:rPr>
                <w:rFonts w:eastAsia="Malgun Gothic" w:cs="Times New Roman"/>
                <w:i/>
                <w:iCs/>
              </w:rPr>
            </w:pPr>
            <m:oMathPara>
              <m:oMath>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Batt</m:t>
                    </m:r>
                  </m:sup>
                </m:sSubSup>
                <m:r>
                  <w:rPr>
                    <w:rFonts w:ascii="Cambria Math" w:eastAsia="Malgun Gothic" w:hAnsi="Cambria Math" w:cs="Times New Roman"/>
                  </w:rPr>
                  <m:t>=</m:t>
                </m:r>
                <m:sSubSup>
                  <m:sSubSupPr>
                    <m:ctrlPr>
                      <w:rPr>
                        <w:rFonts w:ascii="Cambria Math" w:eastAsia="Malgun Gothic" w:hAnsi="Cambria Math" w:cs="Times New Roman"/>
                        <w:i/>
                        <w:iCs/>
                      </w:rPr>
                    </m:ctrlPr>
                  </m:sSubSupPr>
                  <m:e>
                    <m:r>
                      <w:rPr>
                        <w:rFonts w:ascii="Cambria Math" w:eastAsia="Malgun Gothic" w:hAnsi="Cambria Math" w:cs="Times New Roman"/>
                      </w:rPr>
                      <m:t>EF</m:t>
                    </m:r>
                  </m:e>
                  <m:sub>
                    <m:r>
                      <w:rPr>
                        <w:rFonts w:ascii="Cambria Math" w:eastAsia="Malgun Gothic" w:hAnsi="Cambria Math" w:cs="Times New Roman"/>
                      </w:rPr>
                      <m:t>e,sc</m:t>
                    </m:r>
                  </m:sub>
                  <m:sup>
                    <m:r>
                      <w:rPr>
                        <w:rFonts w:ascii="Cambria Math" w:eastAsia="Malgun Gothic" w:hAnsi="Cambria Math" w:cs="Times New Roman"/>
                      </w:rPr>
                      <m:t>BM</m:t>
                    </m:r>
                  </m:sup>
                </m:sSubSup>
                <m:r>
                  <w:rPr>
                    <w:rFonts w:ascii="Cambria Math" w:eastAsia="Malgun Gothic" w:hAnsi="Cambria Math" w:cs="Times New Roman"/>
                  </w:rPr>
                  <m:t>⋅</m:t>
                </m:r>
                <m:sSubSup>
                  <m:sSubSupPr>
                    <m:ctrlPr>
                      <w:rPr>
                        <w:rFonts w:ascii="Cambria Math" w:eastAsia="Malgun Gothic" w:hAnsi="Cambria Math" w:cs="Times New Roman"/>
                        <w:i/>
                        <w:iCs/>
                      </w:rPr>
                    </m:ctrlPr>
                  </m:sSubSupPr>
                  <m:e>
                    <m:r>
                      <w:rPr>
                        <w:rFonts w:ascii="Cambria Math" w:eastAsia="Malgun Gothic" w:hAnsi="Cambria Math" w:cs="Times New Roman"/>
                      </w:rPr>
                      <m:t>CAP</m:t>
                    </m:r>
                    <m:ctrlPr>
                      <w:rPr>
                        <w:rFonts w:ascii="Cambria Math" w:eastAsia="Malgun Gothic" w:hAnsi="Cambria Math" w:cs="Cambria Math"/>
                        <w:i/>
                        <w:iCs/>
                      </w:rPr>
                    </m:ctrlPr>
                  </m:e>
                  <m:sub>
                    <m:r>
                      <w:rPr>
                        <w:rFonts w:ascii="Cambria Math" w:eastAsia="Malgun Gothic" w:hAnsi="Cambria Math" w:cs="Times New Roman"/>
                      </w:rPr>
                      <m:t>v,pX</m:t>
                    </m:r>
                  </m:sub>
                  <m:sup>
                    <m:r>
                      <w:rPr>
                        <w:rFonts w:ascii="Cambria Math" w:eastAsia="Malgun Gothic" w:hAnsi="Cambria Math" w:cs="Times New Roman"/>
                      </w:rPr>
                      <m:t>B</m:t>
                    </m:r>
                  </m:sup>
                </m:sSubSup>
                <m:r>
                  <w:rPr>
                    <w:rFonts w:ascii="Cambria Math" w:eastAsia="Malgun Gothic" w:hAnsi="Cambria Math" w:cs="Times New Roman"/>
                  </w:rPr>
                  <m:t xml:space="preserve"> </m:t>
                </m:r>
                <m:r>
                  <w:rPr>
                    <w:rFonts w:ascii="Cambria Math" w:eastAsia="Malgun Gothic" w:hAnsi="Cambria Math" w:cs="Cambria Math"/>
                  </w:rPr>
                  <m:t>/</m:t>
                </m:r>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v,pX</m:t>
                    </m:r>
                    <m:ctrlPr>
                      <w:rPr>
                        <w:rFonts w:ascii="Cambria Math" w:eastAsia="Cambria Math" w:hAnsi="Cambria Math" w:cs="Cambria Math"/>
                        <w:i/>
                      </w:rPr>
                    </m:ctrlPr>
                  </m:sub>
                  <m:sup>
                    <m:r>
                      <w:rPr>
                        <w:rFonts w:ascii="Cambria Math" w:eastAsia="Cambria Math" w:hAnsi="Cambria Math" w:cs="Cambria Math"/>
                      </w:rPr>
                      <m:t>B</m:t>
                    </m:r>
                  </m:sup>
                </m:sSubSup>
              </m:oMath>
            </m:oMathPara>
          </w:p>
        </w:tc>
        <w:tc>
          <w:tcPr>
            <w:tcW w:w="861" w:type="dxa"/>
          </w:tcPr>
          <w:p w14:paraId="572F0885" w14:textId="77777777" w:rsidR="004F075A" w:rsidRPr="00022BA7" w:rsidRDefault="004F075A" w:rsidP="00F95C74">
            <w:pPr>
              <w:jc w:val="right"/>
            </w:pPr>
            <w:r w:rsidRPr="00022BA7">
              <w:t>(</w:t>
            </w:r>
            <w:r>
              <w:t>43</w:t>
            </w:r>
            <w:r w:rsidRPr="00022BA7">
              <w:t>)</w:t>
            </w:r>
          </w:p>
        </w:tc>
      </w:tr>
      <w:tr w:rsidR="004F075A" w:rsidRPr="00022BA7" w14:paraId="3D042BE1" w14:textId="77777777" w:rsidTr="00F95C74">
        <w:trPr>
          <w:trHeight w:val="300"/>
        </w:trPr>
        <w:tc>
          <w:tcPr>
            <w:tcW w:w="709" w:type="dxa"/>
          </w:tcPr>
          <w:p w14:paraId="7A8EC889" w14:textId="77777777" w:rsidR="004F075A" w:rsidRPr="00022BA7" w:rsidRDefault="004F075A" w:rsidP="00F95C74">
            <w:pPr>
              <w:rPr>
                <w:i/>
              </w:rPr>
            </w:pPr>
          </w:p>
        </w:tc>
        <w:tc>
          <w:tcPr>
            <w:tcW w:w="7790" w:type="dxa"/>
          </w:tcPr>
          <w:p w14:paraId="52B01645" w14:textId="77777777" w:rsidR="004F075A" w:rsidRPr="00022BA7" w:rsidRDefault="00590C69" w:rsidP="00F95C74">
            <w:pPr>
              <w:rPr>
                <w:rFonts w:eastAsia="Malgun Gothic" w:cs="Times New Roman"/>
                <w:i/>
                <w:iCs/>
              </w:rPr>
            </w:pPr>
            <m:oMathPara>
              <m:oMath>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SLB</m:t>
                    </m:r>
                  </m:sup>
                </m:sSubSup>
                <m:r>
                  <w:rPr>
                    <w:rFonts w:ascii="Cambria Math" w:eastAsia="Malgun Gothic" w:hAnsi="Cambria Math" w:cs="Times New Roman"/>
                  </w:rPr>
                  <m:t>=</m:t>
                </m:r>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Batt</m:t>
                    </m:r>
                  </m:sup>
                </m:sSubSup>
                <m:r>
                  <w:rPr>
                    <w:rFonts w:ascii="Cambria Math" w:eastAsia="Malgun Gothic" w:hAnsi="Cambria Math" w:cs="Cambria Math"/>
                  </w:rPr>
                  <m:t>⋅</m:t>
                </m:r>
                <m:sSup>
                  <m:sSupPr>
                    <m:ctrlPr>
                      <w:rPr>
                        <w:rFonts w:ascii="Cambria Math" w:eastAsia="Malgun Gothic" w:hAnsi="Cambria Math" w:cs="Times New Roman"/>
                        <w:i/>
                        <w:iCs/>
                      </w:rPr>
                    </m:ctrlPr>
                  </m:sSupPr>
                  <m:e>
                    <m:r>
                      <w:rPr>
                        <w:rFonts w:ascii="Cambria Math" w:eastAsia="Malgun Gothic" w:hAnsi="Cambria Math" w:cs="Times New Roman"/>
                      </w:rPr>
                      <m:t>F</m:t>
                    </m:r>
                    <m:ctrlPr>
                      <w:rPr>
                        <w:rFonts w:ascii="Cambria Math" w:eastAsia="Malgun Gothic" w:hAnsi="Cambria Math" w:cs="Cambria Math"/>
                        <w:i/>
                        <w:iCs/>
                      </w:rPr>
                    </m:ctrlPr>
                  </m:e>
                  <m:sup>
                    <m:r>
                      <w:rPr>
                        <w:rFonts w:ascii="Cambria Math" w:eastAsia="Malgun Gothic" w:hAnsi="Cambria Math" w:cs="Times New Roman"/>
                      </w:rPr>
                      <m:t>SLB</m:t>
                    </m:r>
                  </m:sup>
                </m:sSup>
              </m:oMath>
            </m:oMathPara>
          </w:p>
        </w:tc>
        <w:tc>
          <w:tcPr>
            <w:tcW w:w="861" w:type="dxa"/>
          </w:tcPr>
          <w:p w14:paraId="4853417D" w14:textId="77777777" w:rsidR="004F075A" w:rsidRPr="00022BA7" w:rsidRDefault="004F075A" w:rsidP="00F95C74">
            <w:pPr>
              <w:jc w:val="right"/>
            </w:pPr>
            <w:r w:rsidRPr="00022BA7">
              <w:t>(</w:t>
            </w:r>
            <w:r>
              <w:t>44</w:t>
            </w:r>
            <w:r w:rsidRPr="00022BA7">
              <w:t>)</w:t>
            </w:r>
          </w:p>
        </w:tc>
      </w:tr>
    </w:tbl>
    <w:p w14:paraId="64143DEA" w14:textId="77777777" w:rsidR="004F075A" w:rsidRPr="00022BA7" w:rsidRDefault="004F075A" w:rsidP="004F075A"/>
    <w:p w14:paraId="7798186A" w14:textId="77777777" w:rsidR="004F075A" w:rsidRPr="00022BA7" w:rsidRDefault="004F075A" w:rsidP="004F075A">
      <w:pPr>
        <w:rPr>
          <w:iCs/>
        </w:rPr>
      </w:pPr>
      <w:r w:rsidRPr="00022BA7">
        <w:t xml:space="preserve">where </w:t>
      </w:r>
      <m:oMath>
        <m:sSubSup>
          <m:sSubSupPr>
            <m:ctrlPr>
              <w:rPr>
                <w:rFonts w:ascii="Cambria Math" w:hAnsi="Cambria Math"/>
              </w:rPr>
            </m:ctrlPr>
          </m:sSubSupPr>
          <m:e>
            <m:r>
              <w:rPr>
                <w:rFonts w:ascii="Cambria Math" w:hAnsi="Cambria Math"/>
              </w:rPr>
              <m:t>EF</m:t>
            </m:r>
          </m:e>
          <m:sub>
            <m:r>
              <w:rPr>
                <w:rFonts w:ascii="Cambria Math" w:hAnsi="Cambria Math"/>
              </w:rPr>
              <m:t>e</m:t>
            </m:r>
          </m:sub>
          <m:sup>
            <m:r>
              <w:rPr>
                <w:rFonts w:ascii="Cambria Math" w:hAnsi="Cambria Math"/>
              </w:rPr>
              <m:t>WtT</m:t>
            </m:r>
            <m:r>
              <m:rPr>
                <m:sty m:val="p"/>
              </m:rPr>
              <w:rPr>
                <w:rFonts w:ascii="Cambria Math" w:hAnsi="Cambria Math"/>
              </w:rPr>
              <m:t>,</m:t>
            </m:r>
            <m:r>
              <w:rPr>
                <w:rFonts w:ascii="Cambria Math" w:hAnsi="Cambria Math"/>
              </w:rPr>
              <m:t>BES</m:t>
            </m:r>
          </m:sup>
        </m:sSubSup>
      </m:oMath>
      <w:r w:rsidRPr="00022BA7">
        <w:t xml:space="preserve"> is the emission factor considering emissions from fuel extraction and production with the U.S. average power mix, </w:t>
      </w:r>
      <m:oMath>
        <m:sSubSup>
          <m:sSubSupPr>
            <m:ctrlPr>
              <w:rPr>
                <w:rFonts w:ascii="Cambria Math" w:hAnsi="Cambria Math"/>
              </w:rPr>
            </m:ctrlPr>
          </m:sSubSupPr>
          <m:e>
            <m:r>
              <w:rPr>
                <w:rFonts w:ascii="Cambria Math" w:hAnsi="Cambria Math"/>
              </w:rPr>
              <m:t>E</m:t>
            </m:r>
            <m:ctrlPr>
              <w:rPr>
                <w:rFonts w:ascii="Cambria Math" w:hAnsi="Cambria Math" w:cs="Cambria Math"/>
              </w:rPr>
            </m:ctrlP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oMath>
      <w:r w:rsidRPr="00022BA7">
        <w:t xml:space="preserve"> is </w:t>
      </w:r>
      <w:r>
        <w:t xml:space="preserve">the </w:t>
      </w:r>
      <w:r w:rsidRPr="00022BA7">
        <w:t xml:space="preserve">energy </w:t>
      </w:r>
      <w:r>
        <w:t>demand of covered trips for</w:t>
      </w:r>
      <w:r w:rsidRPr="00022BA7">
        <w:t xml:space="preserve"> vessel </w:t>
      </w:r>
      <m:oMath>
        <m:r>
          <w:rPr>
            <w:rFonts w:ascii="Cambria Math" w:eastAsia="Malgun Gothic" w:hAnsi="Cambria Math" w:cs="Times New Roman"/>
          </w:rPr>
          <m:t>v</m:t>
        </m:r>
      </m:oMath>
      <w:r w:rsidRPr="00022BA7">
        <w:t xml:space="preserve"> with capacity tier </w:t>
      </w:r>
      <m:oMath>
        <m:r>
          <w:rPr>
            <w:rFonts w:ascii="Cambria Math" w:eastAsia="Malgun Gothic" w:hAnsi="Cambria Math" w:cs="Times New Roman"/>
          </w:rPr>
          <m:t>pX</m:t>
        </m:r>
      </m:oMath>
      <w:r w:rsidRPr="00022BA7">
        <w:t xml:space="preserve">, </w:t>
      </w:r>
      <w:r>
        <w:t xml:space="preserve">and </w:t>
      </w:r>
      <m:oMath>
        <m:sSub>
          <m:sSubPr>
            <m:ctrlPr>
              <w:rPr>
                <w:rFonts w:ascii="Cambria Math" w:eastAsia="Malgun Gothic" w:hAnsi="Cambria Math" w:cs="Times New Roman"/>
                <w:i/>
                <w:iCs/>
              </w:rPr>
            </m:ctrlPr>
          </m:sSubPr>
          <m:e>
            <m:r>
              <w:rPr>
                <w:rFonts w:ascii="Cambria Math" w:eastAsia="Malgun Gothic" w:hAnsi="Cambria Math" w:cs="Times New Roman"/>
              </w:rPr>
              <m:t>η</m:t>
            </m:r>
          </m:e>
          <m:sub>
            <m:r>
              <w:rPr>
                <w:rFonts w:ascii="Cambria Math" w:eastAsia="Malgun Gothic" w:hAnsi="Cambria Math" w:cs="Times New Roman"/>
              </w:rPr>
              <m:t>SB</m:t>
            </m:r>
          </m:sub>
        </m:sSub>
      </m:oMath>
      <w:r w:rsidRPr="00022BA7">
        <w:rPr>
          <w:iCs/>
        </w:rPr>
        <w:t xml:space="preserve"> is </w:t>
      </w:r>
      <w:r>
        <w:rPr>
          <w:iCs/>
        </w:rPr>
        <w:t xml:space="preserve">the </w:t>
      </w:r>
      <w:r w:rsidRPr="00022BA7">
        <w:rPr>
          <w:iCs/>
        </w:rPr>
        <w:t xml:space="preserve">efficiency from </w:t>
      </w:r>
      <w:r>
        <w:rPr>
          <w:iCs/>
        </w:rPr>
        <w:t>the SPC</w:t>
      </w:r>
      <w:r w:rsidRPr="00022BA7">
        <w:rPr>
          <w:iCs/>
        </w:rPr>
        <w:t xml:space="preserve"> to </w:t>
      </w:r>
      <w:r>
        <w:rPr>
          <w:iCs/>
        </w:rPr>
        <w:t xml:space="preserve">the </w:t>
      </w:r>
      <w:r w:rsidRPr="00022BA7">
        <w:rPr>
          <w:iCs/>
        </w:rPr>
        <w:t>battery.</w:t>
      </w:r>
    </w:p>
    <w:p w14:paraId="20ED959E" w14:textId="77777777" w:rsidR="004F075A" w:rsidRPr="00022BA7" w:rsidRDefault="004F075A" w:rsidP="004F075A"/>
    <w:p w14:paraId="559192A8" w14:textId="1CC458C4" w:rsidR="004F075A" w:rsidRPr="00022BA7" w:rsidRDefault="00590C69" w:rsidP="004F075A">
      <m:oMath>
        <m:sSubSup>
          <m:sSubSupPr>
            <m:ctrlPr>
              <w:rPr>
                <w:rFonts w:ascii="Cambria Math" w:hAnsi="Cambria Math"/>
              </w:rPr>
            </m:ctrlPr>
          </m:sSubSupPr>
          <m:e>
            <m:r>
              <w:rPr>
                <w:rFonts w:ascii="Cambria Math" w:hAnsi="Cambria Math"/>
              </w:rPr>
              <m:t>EF</m:t>
            </m:r>
          </m:e>
          <m:sub>
            <m:r>
              <w:rPr>
                <w:rFonts w:ascii="Cambria Math" w:hAnsi="Cambria Math"/>
              </w:rPr>
              <m:t>e</m:t>
            </m:r>
            <m:r>
              <m:rPr>
                <m:sty m:val="p"/>
              </m:rPr>
              <w:rPr>
                <w:rFonts w:ascii="Cambria Math" w:hAnsi="Cambria Math"/>
              </w:rPr>
              <m:t>,</m:t>
            </m:r>
            <m:r>
              <w:rPr>
                <w:rFonts w:ascii="Cambria Math" w:hAnsi="Cambria Math"/>
              </w:rPr>
              <m:t>sc</m:t>
            </m:r>
          </m:sub>
          <m:sup>
            <m:r>
              <w:rPr>
                <w:rFonts w:ascii="Cambria Math" w:hAnsi="Cambria Math"/>
              </w:rPr>
              <m:t>Grid</m:t>
            </m:r>
          </m:sup>
        </m:sSubSup>
      </m:oMath>
      <w:r w:rsidR="004F075A" w:rsidRPr="00022BA7">
        <w:t xml:space="preserve"> is the emission factor applicable when grid-supplied power is consumed</w:t>
      </w:r>
      <w:r w:rsidR="004F075A">
        <w:t>,</w:t>
      </w:r>
      <w:r w:rsidR="004F075A" w:rsidRPr="00022BA7">
        <w:t xml:space="preserve"> assuming </w:t>
      </w:r>
      <w:r w:rsidR="004F075A">
        <w:t xml:space="preserve">the </w:t>
      </w:r>
      <w:r w:rsidR="004F075A" w:rsidRPr="00022BA7">
        <w:t xml:space="preserve">U.S. average power </w:t>
      </w:r>
      <w:proofErr w:type="gramStart"/>
      <w:r w:rsidR="004F075A" w:rsidRPr="00022BA7">
        <w:t>mix.</w:t>
      </w:r>
      <w:proofErr w:type="gramEnd"/>
      <w:r w:rsidR="004F075A" w:rsidRPr="00022BA7">
        <w:t xml:space="preserve"> We estimated emissions under two emission scenarios and three representative years</w:t>
      </w:r>
      <w:r w:rsidR="004F075A">
        <w:t>:</w:t>
      </w:r>
      <w:r w:rsidR="004F075A" w:rsidRPr="00022BA7">
        <w:t xml:space="preserve"> 2022, 2035, and 2050. We </w:t>
      </w:r>
      <w:r w:rsidR="004F075A">
        <w:t xml:space="preserve">also </w:t>
      </w:r>
      <w:r w:rsidR="004F075A" w:rsidRPr="00022BA7">
        <w:t xml:space="preserve">assessed life cycle energy demands and </w:t>
      </w:r>
      <w:r w:rsidR="00931BC5">
        <w:t>greenhouse gas (</w:t>
      </w:r>
      <w:r w:rsidR="004F075A" w:rsidRPr="00022BA7">
        <w:t>GHG</w:t>
      </w:r>
      <w:r w:rsidR="00931BC5">
        <w:t>)</w:t>
      </w:r>
      <w:r w:rsidR="004F075A" w:rsidRPr="00022BA7">
        <w:t xml:space="preserve"> emissions of electricity generation by modeling two projected generation scenarios for all U.S. states through 2050 and combining those scenarios with life cycle emission factors. We modeled the</w:t>
      </w:r>
      <w:r w:rsidR="004F075A">
        <w:t>se</w:t>
      </w:r>
      <w:r w:rsidR="004F075A" w:rsidRPr="00022BA7">
        <w:t xml:space="preserve"> projection</w:t>
      </w:r>
      <w:r w:rsidR="004F075A">
        <w:t>s</w:t>
      </w:r>
      <w:r w:rsidR="004F075A" w:rsidRPr="00022BA7">
        <w:t xml:space="preserve"> using the National Renewable Energy Laboratory (NREL)</w:t>
      </w:r>
      <w:r w:rsidR="00190F27">
        <w:t>’</w:t>
      </w:r>
      <w:r w:rsidR="004F075A">
        <w:t>s</w:t>
      </w:r>
      <w:r w:rsidR="004F075A" w:rsidRPr="00022BA7">
        <w:t xml:space="preserve"> Cambium </w:t>
      </w:r>
      <w:proofErr w:type="spellStart"/>
      <w:r w:rsidR="004F075A" w:rsidRPr="00022BA7">
        <w:t>modelfor</w:t>
      </w:r>
      <w:proofErr w:type="spellEnd"/>
      <w:r w:rsidR="004F075A" w:rsidRPr="00022BA7">
        <w:t xml:space="preserve"> a </w:t>
      </w:r>
      <w:r w:rsidR="00190F27">
        <w:t>“</w:t>
      </w:r>
      <w:r w:rsidR="004F075A" w:rsidRPr="00022BA7">
        <w:t>Business as Usual (BAU)</w:t>
      </w:r>
      <w:r w:rsidR="00190F27">
        <w:t>”</w:t>
      </w:r>
      <w:r w:rsidR="004F075A" w:rsidRPr="00022BA7">
        <w:t xml:space="preserve"> scenario (defined by NREL as the </w:t>
      </w:r>
      <w:r w:rsidR="00190F27">
        <w:t>“</w:t>
      </w:r>
      <w:r w:rsidR="004F075A" w:rsidRPr="00022BA7">
        <w:t>Mid-case</w:t>
      </w:r>
      <w:r w:rsidR="00190F27">
        <w:t>”</w:t>
      </w:r>
      <w:r w:rsidR="004F075A" w:rsidRPr="00022BA7">
        <w:t xml:space="preserve">) and a </w:t>
      </w:r>
      <w:r w:rsidR="00190F27">
        <w:t>“</w:t>
      </w:r>
      <w:r w:rsidR="004F075A" w:rsidRPr="00022BA7">
        <w:t xml:space="preserve">95% </w:t>
      </w:r>
      <w:r w:rsidR="004F075A">
        <w:t>E</w:t>
      </w:r>
      <w:r w:rsidR="004F075A" w:rsidRPr="00022BA7">
        <w:t xml:space="preserve">lectricity </w:t>
      </w:r>
      <w:r w:rsidR="004F075A">
        <w:t>D</w:t>
      </w:r>
      <w:r w:rsidR="004F075A" w:rsidRPr="00022BA7">
        <w:t>ecarbonization by 2050</w:t>
      </w:r>
      <w:r w:rsidR="00407FBE">
        <w:t xml:space="preserve"> (</w:t>
      </w:r>
      <w:r w:rsidR="00407FBE" w:rsidRPr="00022BA7">
        <w:t>DEC</w:t>
      </w:r>
      <w:r w:rsidR="00407FBE">
        <w:t>)</w:t>
      </w:r>
      <w:r w:rsidR="001646A3">
        <w:t>”</w:t>
      </w:r>
      <w:r w:rsidR="004F075A" w:rsidRPr="00022BA7">
        <w:t xml:space="preserve"> scenario</w:t>
      </w:r>
      <w:r w:rsidR="00F04FF4">
        <w:t xml:space="preserve"> </w:t>
      </w:r>
      <w:r w:rsidR="00F04FF4" w:rsidRPr="00022BA7">
        <w:t>(</w:t>
      </w:r>
      <w:r w:rsidR="009410C1" w:rsidRPr="00022BA7">
        <w:t xml:space="preserve">defined by NREL as </w:t>
      </w:r>
      <w:r w:rsidR="009410C1">
        <w:t>“</w:t>
      </w:r>
      <w:r w:rsidR="002B08EF">
        <w:t>Mid-case with 95% decarbonization by 2050</w:t>
      </w:r>
      <w:r w:rsidR="002B08EF" w:rsidRPr="00022BA7" w:rsidDel="002B08EF">
        <w:t xml:space="preserve"> </w:t>
      </w:r>
      <w:r w:rsidR="009410C1">
        <w:t>”</w:t>
      </w:r>
      <w:r w:rsidR="00F04FF4" w:rsidRPr="00022BA7">
        <w:t>)</w:t>
      </w:r>
      <w:r w:rsidR="005E153C">
        <w:fldChar w:fldCharType="begin"/>
      </w:r>
      <w:r w:rsidR="00F33969">
        <w:instrText xml:space="preserve"> ADDIN ZOTERO_ITEM CSL_CITATION {"citationID":"jjZERhAh","properties":{"formattedCitation":"\\super 22\\nosupersub{}","plainCitation":"22","noteIndex":0},"citationItems":[{"id":200,"uris":["http://zotero.org/users/12468222/items/UHPJPMWV"],"itemData":{"id":200,"type":"article-journal","container-title":"Renewable Energy","language":"en","source":"Zotero","title":"Cambium Documentation: Version 2021","author":[{"family":"Gagnon","given":"Pieter"},{"family":"Frazier","given":"Will"},{"family":"Cole","given":"Wesley"},{"family":"Hale","given":"Elaine"}],"issued":{"date-parts":[["2021"]]}}}],"schema":"https://github.com/citation-style-language/schema/raw/master/csl-citation.json"} </w:instrText>
      </w:r>
      <w:r w:rsidR="005E153C">
        <w:fldChar w:fldCharType="separate"/>
      </w:r>
      <w:r w:rsidR="00F33969" w:rsidRPr="00F33969">
        <w:rPr>
          <w:rFonts w:cs="Times New Roman"/>
          <w:szCs w:val="24"/>
          <w:vertAlign w:val="superscript"/>
        </w:rPr>
        <w:t>22</w:t>
      </w:r>
      <w:r w:rsidR="005E153C">
        <w:fldChar w:fldCharType="end"/>
      </w:r>
      <w:r w:rsidR="004F075A" w:rsidRPr="00022BA7">
        <w:t>. We used GREET</w:t>
      </w:r>
      <w:r w:rsidR="00190F27">
        <w:t>’</w:t>
      </w:r>
      <w:r w:rsidR="004F075A" w:rsidRPr="00022BA7">
        <w:t xml:space="preserve">s electricity generation model to develop energy and GHG impacts for different generation technologies, and then applied the most relevant emission factors to the projected generation scenarios to obtain life cycle energy and GHG emission factors for each </w:t>
      </w:r>
      <w:r w:rsidR="004F075A">
        <w:t xml:space="preserve">U.S. </w:t>
      </w:r>
      <w:r w:rsidR="004F075A" w:rsidRPr="00022BA7">
        <w:t>state through 2050</w:t>
      </w:r>
      <w:r w:rsidR="00670100">
        <w:fldChar w:fldCharType="begin"/>
      </w:r>
      <w:r w:rsidR="00F33969">
        <w:instrText xml:space="preserve"> ADDIN ZOTERO_ITEM CSL_CITATION {"citationID":"OFORGH6Z","properties":{"formattedCitation":"\\super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670100">
        <w:fldChar w:fldCharType="separate"/>
      </w:r>
      <w:r w:rsidR="00F33969" w:rsidRPr="00F33969">
        <w:rPr>
          <w:rFonts w:cs="Times New Roman"/>
          <w:szCs w:val="24"/>
          <w:vertAlign w:val="superscript"/>
        </w:rPr>
        <w:t>20</w:t>
      </w:r>
      <w:r w:rsidR="00670100">
        <w:fldChar w:fldCharType="end"/>
      </w:r>
      <w:r w:rsidR="004F075A" w:rsidRPr="00022BA7">
        <w:t>. NO</w:t>
      </w:r>
      <w:r w:rsidR="004F075A" w:rsidRPr="00D63A74">
        <w:rPr>
          <w:vertAlign w:val="subscript"/>
        </w:rPr>
        <w:t>x</w:t>
      </w:r>
      <w:r w:rsidR="004F075A" w:rsidRPr="00022BA7">
        <w:t xml:space="preserve"> and </w:t>
      </w:r>
      <w:proofErr w:type="spellStart"/>
      <w:r w:rsidR="004F075A" w:rsidRPr="00022BA7">
        <w:t>SO</w:t>
      </w:r>
      <w:r w:rsidR="004F075A" w:rsidRPr="00D63A74">
        <w:rPr>
          <w:vertAlign w:val="subscript"/>
        </w:rPr>
        <w:t>x</w:t>
      </w:r>
      <w:proofErr w:type="spellEnd"/>
      <w:r w:rsidR="004F075A" w:rsidRPr="00022BA7">
        <w:t xml:space="preserve"> emissions are not considered </w:t>
      </w:r>
      <w:r w:rsidR="004F075A">
        <w:t>with</w:t>
      </w:r>
      <w:r w:rsidR="004F075A" w:rsidRPr="00022BA7">
        <w:t xml:space="preserve"> BESs</w:t>
      </w:r>
      <w:r w:rsidR="004F075A">
        <w:t>,</w:t>
      </w:r>
      <w:r w:rsidR="004F075A" w:rsidRPr="00022BA7">
        <w:t xml:space="preserve"> as we assumed the</w:t>
      </w:r>
      <w:r w:rsidR="004F075A">
        <w:t>y</w:t>
      </w:r>
      <w:r w:rsidR="004F075A" w:rsidRPr="00022BA7">
        <w:t xml:space="preserve"> </w:t>
      </w:r>
      <w:r w:rsidR="004F075A">
        <w:t xml:space="preserve">would </w:t>
      </w:r>
      <w:r w:rsidR="004F075A" w:rsidRPr="00022BA7">
        <w:t>only appl</w:t>
      </w:r>
      <w:r w:rsidR="004F075A">
        <w:t>y</w:t>
      </w:r>
      <w:r w:rsidR="004F075A" w:rsidRPr="00022BA7">
        <w:t xml:space="preserve"> to </w:t>
      </w:r>
      <w:r w:rsidR="004F075A">
        <w:t>ships</w:t>
      </w:r>
      <w:r w:rsidR="00190F27">
        <w:t>’</w:t>
      </w:r>
      <w:r w:rsidR="004F075A" w:rsidRPr="00022BA7">
        <w:t xml:space="preserve"> operational stage.</w:t>
      </w:r>
    </w:p>
    <w:p w14:paraId="4CB42314" w14:textId="77777777" w:rsidR="004F075A" w:rsidRPr="00022BA7" w:rsidRDefault="004F075A" w:rsidP="004F075A"/>
    <w:p w14:paraId="35B28D42" w14:textId="3E133AEE" w:rsidR="004F075A" w:rsidRPr="00022BA7" w:rsidRDefault="004F075A" w:rsidP="004F075A">
      <w:pPr>
        <w:rPr>
          <w:iCs/>
        </w:rPr>
      </w:pPr>
      <w:r>
        <w:t>E</w:t>
      </w:r>
      <w:r w:rsidRPr="00022BA7">
        <w:t>mission</w:t>
      </w:r>
      <w:r>
        <w:t>s</w:t>
      </w:r>
      <w:r w:rsidRPr="00022BA7">
        <w:t xml:space="preserve"> from battery manufacturing, </w:t>
      </w:r>
      <m:oMath>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Batt</m:t>
            </m:r>
          </m:sup>
        </m:sSubSup>
      </m:oMath>
      <w:r w:rsidRPr="00022BA7">
        <w:rPr>
          <w:iCs/>
        </w:rPr>
        <w:t>,</w:t>
      </w:r>
      <w:r w:rsidRPr="00022BA7">
        <w:t xml:space="preserve"> </w:t>
      </w:r>
      <w:r>
        <w:t>are</w:t>
      </w:r>
      <w:r w:rsidRPr="00022BA7">
        <w:t xml:space="preserve"> calculated as the </w:t>
      </w:r>
      <w:r>
        <w:t>product</w:t>
      </w:r>
      <w:r w:rsidRPr="00022BA7">
        <w:t xml:space="preserve"> of the emission factor for battery manufacturing,</w:t>
      </w:r>
      <m:oMath>
        <m:r>
          <w:rPr>
            <w:rFonts w:ascii="Cambria Math" w:eastAsia="Malgun Gothic" w:hAnsi="Cambria Math" w:cs="Times New Roman"/>
          </w:rPr>
          <m:t xml:space="preserve"> </m:t>
        </m:r>
        <m:sSubSup>
          <m:sSubSupPr>
            <m:ctrlPr>
              <w:rPr>
                <w:rFonts w:ascii="Cambria Math" w:eastAsia="Malgun Gothic" w:hAnsi="Cambria Math" w:cs="Times New Roman"/>
                <w:i/>
                <w:iCs/>
              </w:rPr>
            </m:ctrlPr>
          </m:sSubSupPr>
          <m:e>
            <m:r>
              <w:rPr>
                <w:rFonts w:ascii="Cambria Math" w:eastAsia="Malgun Gothic" w:hAnsi="Cambria Math" w:cs="Times New Roman"/>
              </w:rPr>
              <m:t>EF</m:t>
            </m:r>
          </m:e>
          <m:sub>
            <m:r>
              <w:rPr>
                <w:rFonts w:ascii="Cambria Math" w:eastAsia="Malgun Gothic" w:hAnsi="Cambria Math" w:cs="Times New Roman"/>
              </w:rPr>
              <m:t>e,sc</m:t>
            </m:r>
          </m:sub>
          <m:sup>
            <m:r>
              <w:rPr>
                <w:rFonts w:ascii="Cambria Math" w:eastAsia="Malgun Gothic" w:hAnsi="Cambria Math" w:cs="Times New Roman"/>
              </w:rPr>
              <m:t>BM</m:t>
            </m:r>
          </m:sup>
        </m:sSubSup>
        <m:r>
          <w:rPr>
            <w:rFonts w:ascii="Cambria Math" w:eastAsia="Malgun Gothic" w:hAnsi="Cambria Math" w:cs="Times New Roman"/>
          </w:rPr>
          <m:t>,</m:t>
        </m:r>
      </m:oMath>
      <w:r w:rsidRPr="00022BA7">
        <w:t xml:space="preserve"> </w:t>
      </w:r>
      <w:r>
        <w:t xml:space="preserve">and </w:t>
      </w:r>
      <w:r w:rsidRPr="00022BA7">
        <w:t xml:space="preserve">battery capacity, </w:t>
      </w:r>
      <m:oMath>
        <m:sSubSup>
          <m:sSubSupPr>
            <m:ctrlPr>
              <w:rPr>
                <w:rFonts w:ascii="Cambria Math" w:eastAsia="Malgun Gothic" w:hAnsi="Cambria Math" w:cs="Times New Roman"/>
                <w:i/>
                <w:iCs/>
              </w:rPr>
            </m:ctrlPr>
          </m:sSubSupPr>
          <m:e>
            <m:r>
              <w:rPr>
                <w:rFonts w:ascii="Cambria Math" w:eastAsia="Malgun Gothic" w:hAnsi="Cambria Math" w:cs="Times New Roman"/>
              </w:rPr>
              <m:t>CAP</m:t>
            </m:r>
            <m:ctrlPr>
              <w:rPr>
                <w:rFonts w:ascii="Cambria Math" w:eastAsia="Malgun Gothic" w:hAnsi="Cambria Math" w:cs="Cambria Math"/>
                <w:i/>
                <w:iCs/>
              </w:rPr>
            </m:ctrlPr>
          </m:e>
          <m:sub>
            <m:r>
              <w:rPr>
                <w:rFonts w:ascii="Cambria Math" w:eastAsia="Malgun Gothic" w:hAnsi="Cambria Math" w:cs="Times New Roman"/>
              </w:rPr>
              <m:t>v,pX</m:t>
            </m:r>
          </m:sub>
          <m:sup>
            <m:r>
              <w:rPr>
                <w:rFonts w:ascii="Cambria Math" w:eastAsia="Malgun Gothic" w:hAnsi="Cambria Math" w:cs="Times New Roman"/>
              </w:rPr>
              <m:t>B</m:t>
            </m:r>
          </m:sup>
        </m:sSubSup>
      </m:oMath>
      <w:r>
        <w:rPr>
          <w:iCs/>
        </w:rPr>
        <w:t>. The e</w:t>
      </w:r>
      <w:r w:rsidRPr="00022BA7">
        <w:t>mission</w:t>
      </w:r>
      <w:r>
        <w:t>s</w:t>
      </w:r>
      <w:r w:rsidRPr="00022BA7">
        <w:t xml:space="preserve"> from battery manufacturing</w:t>
      </w:r>
      <w:r>
        <w:t xml:space="preserve"> is annualized by dividing by lifetime of battery  </w:t>
      </w:r>
      <m:oMath>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v,pX</m:t>
            </m:r>
            <m:ctrlPr>
              <w:rPr>
                <w:rFonts w:ascii="Cambria Math" w:eastAsia="Cambria Math" w:hAnsi="Cambria Math" w:cs="Cambria Math"/>
                <w:i/>
              </w:rPr>
            </m:ctrlPr>
          </m:sub>
          <m:sup>
            <m:r>
              <w:rPr>
                <w:rFonts w:ascii="Cambria Math" w:eastAsia="Cambria Math" w:hAnsi="Cambria Math" w:cs="Cambria Math"/>
              </w:rPr>
              <m:t>B</m:t>
            </m:r>
          </m:sup>
        </m:sSubSup>
      </m:oMath>
      <w:r>
        <w:rPr>
          <w:bCs/>
        </w:rPr>
        <w:t xml:space="preserve">. </w:t>
      </w:r>
      <m:oMath>
        <m:sSubSup>
          <m:sSubSupPr>
            <m:ctrlPr>
              <w:rPr>
                <w:rFonts w:ascii="Cambria Math" w:hAnsi="Cambria Math"/>
              </w:rPr>
            </m:ctrlPr>
          </m:sSubSupPr>
          <m:e>
            <m:r>
              <w:rPr>
                <w:rFonts w:ascii="Cambria Math" w:hAnsi="Cambria Math"/>
              </w:rPr>
              <m:t>EF</m:t>
            </m:r>
          </m:e>
          <m:sub>
            <m:r>
              <w:rPr>
                <w:rFonts w:ascii="Cambria Math" w:hAnsi="Cambria Math"/>
              </w:rPr>
              <m:t>e,sc</m:t>
            </m:r>
          </m:sub>
          <m:sup>
            <m:r>
              <w:rPr>
                <w:rFonts w:ascii="Cambria Math" w:hAnsi="Cambria Math"/>
              </w:rPr>
              <m:t>BM</m:t>
            </m:r>
          </m:sup>
        </m:sSubSup>
      </m:oMath>
      <w:r w:rsidRPr="00022BA7">
        <w:t xml:space="preserve"> comprise</w:t>
      </w:r>
      <w:r>
        <w:t xml:space="preserve">s </w:t>
      </w:r>
      <w:r w:rsidRPr="00022BA7">
        <w:t>the emission factors involved throughout the battery manufacturing process, from the extraction of raw materials to the final manufacturing stage. When estimating the emissions from battery manufacturing, average emission factors in Kansas, North Carolina, Ohio, and Tennessee are utilized as production is assumed to occur in these states based on the</w:t>
      </w:r>
      <w:r>
        <w:t>ir</w:t>
      </w:r>
      <w:r w:rsidRPr="00022BA7">
        <w:t xml:space="preserve"> concentration of battery manufacturing capacity</w:t>
      </w:r>
      <w:r w:rsidR="005E153C">
        <w:fldChar w:fldCharType="begin"/>
      </w:r>
      <w:r w:rsidR="00F33969">
        <w:instrText xml:space="preserve"> ADDIN ZOTERO_ITEM CSL_CITATION {"citationID":"GrkpGZnI","properties":{"formattedCitation":"\\super 23\\nosupersub{}","plainCitation":"23","noteIndex":0},"citationItems":[{"id":205,"uris":["http://zotero.org/users/12468222/items/45NL3WLQ"],"itemData":{"id":205,"type":"report","abstract":"The number of plug-in electric vehicles (PEVs) sold in the United States has consistently grown since 2010, reaching 4% of the light-duty vehicle market in 2021. This report examines how the characteristics for these PEVs has changed over this decade, evaluating range, energy efficiency, costs, and performance. Given the vehicle characteristics, this report estimates miles driven, electricity consumption, petroleum reduction, and greenhouse gas emissions attributable to electric vehicles. This report also explores vehicle manufacturing and battery production, considering supply chains from battery cells to assembly. Over 2.1 million PEVs have been sold in the United States through December 2021, with 1.3 million of these all fully-electric battery electric vehicles (BEV), and 800,000 plug-in hybrid electric vehicles (PHEV) which have the capability of using gasoline. The sales-weighted average range for BEVs reached 290 miles in 2021 and 28 miles for PHEVs. We estimate that electric vehicles have driven 68 billion miles on electricity since 2010, thereby reducing national gasoline consumption by 0.54% in 2021 and 2.5 billion gallons cumulatively through 2021. In 2021, PEVs used 6.1 terawatt-hours of electricity to drive 19.1 billion miles, offsetting 700 million gallons of gasoline. We find that this fuel switching reduced consumer fuel costs by $1.3 billion in 2021. Since 2010, 65% of PEVs sold in the United States have been assembled domestically, and over 110 gigawatt-hours of lithium-ion batteries have been installed in vehicles to date.","language":"English","note":"DOI: 10.2172/1898424","number":"ANL-22/71","publisher":"Argonne National Lab. (ANL), Argonne, IL (United States)","source":"www.osti.gov","title":"Assessment of Light-Duty Plug-in Electric Vehicles in the United States, 2010 – 2021","URL":"https://www.osti.gov/biblio/1898424","author":[{"family":"Gohlke","given":"David"},{"family":"Zhou","given":"Yan"},{"family":"Wu","given":"Xinyi"},{"family":"Courtney","given":"Calista"}],"accessed":{"date-parts":[["2023",9,26]]},"issued":{"date-parts":[["2022",11,1]]}}}],"schema":"https://github.com/citation-style-language/schema/raw/master/csl-citation.json"} </w:instrText>
      </w:r>
      <w:r w:rsidR="005E153C">
        <w:fldChar w:fldCharType="separate"/>
      </w:r>
      <w:r w:rsidR="00F33969" w:rsidRPr="00F33969">
        <w:rPr>
          <w:rFonts w:cs="Times New Roman"/>
          <w:szCs w:val="24"/>
          <w:vertAlign w:val="superscript"/>
        </w:rPr>
        <w:t>23</w:t>
      </w:r>
      <w:r w:rsidR="005E153C">
        <w:fldChar w:fldCharType="end"/>
      </w:r>
      <w:r w:rsidRPr="00022BA7">
        <w:t xml:space="preserve">. Specific values for BES emission factors are provided in </w:t>
      </w:r>
      <w:r w:rsidR="00743A51">
        <w:fldChar w:fldCharType="begin"/>
      </w:r>
      <w:r w:rsidR="00743A51">
        <w:instrText xml:space="preserve"> REF _Ref144853715 \h </w:instrText>
      </w:r>
      <w:r w:rsidR="00743A51">
        <w:fldChar w:fldCharType="separate"/>
      </w:r>
      <w:r w:rsidR="00C661AC">
        <w:t xml:space="preserve">Supplementary </w:t>
      </w:r>
      <w:r w:rsidR="00C661AC" w:rsidRPr="00022BA7">
        <w:t xml:space="preserve">Table </w:t>
      </w:r>
      <w:r w:rsidR="00C661AC">
        <w:rPr>
          <w:noProof/>
        </w:rPr>
        <w:t>16</w:t>
      </w:r>
      <w:r w:rsidR="00743A51">
        <w:fldChar w:fldCharType="end"/>
      </w:r>
      <w:r w:rsidRPr="00022BA7">
        <w:rPr>
          <w:iCs/>
        </w:rPr>
        <w:t>.</w:t>
      </w:r>
    </w:p>
    <w:p w14:paraId="1DE1F266" w14:textId="77777777" w:rsidR="004F075A" w:rsidRPr="00022BA7" w:rsidRDefault="004F075A" w:rsidP="004F075A">
      <w:pPr>
        <w:rPr>
          <w:iCs/>
        </w:rPr>
      </w:pPr>
    </w:p>
    <w:p w14:paraId="001CE93B" w14:textId="338E0CB4" w:rsidR="004F075A" w:rsidRPr="00022BA7" w:rsidRDefault="004F075A" w:rsidP="004F075A">
      <w:pPr>
        <w:rPr>
          <w:iCs/>
        </w:rPr>
      </w:pPr>
      <w:r w:rsidRPr="00022BA7">
        <w:rPr>
          <w:iCs/>
        </w:rPr>
        <w:t xml:space="preserve">In this study, we assume that a battery is considered to reach </w:t>
      </w:r>
      <w:r>
        <w:rPr>
          <w:iCs/>
        </w:rPr>
        <w:t xml:space="preserve">its </w:t>
      </w:r>
      <w:r w:rsidRPr="00022BA7">
        <w:rPr>
          <w:iCs/>
        </w:rPr>
        <w:t xml:space="preserve">end of life when its </w:t>
      </w:r>
      <w:r>
        <w:rPr>
          <w:iCs/>
        </w:rPr>
        <w:t xml:space="preserve">maximum </w:t>
      </w:r>
      <w:r w:rsidRPr="00022BA7">
        <w:rPr>
          <w:iCs/>
        </w:rPr>
        <w:t xml:space="preserve">state of health (SOH) drops to 80%. However, after its initial use in a BES, the battery can still be repurposed and utilized as a </w:t>
      </w:r>
      <w:proofErr w:type="gramStart"/>
      <w:r w:rsidR="008B569A" w:rsidRPr="00022BA7">
        <w:rPr>
          <w:iCs/>
        </w:rPr>
        <w:t>SLB</w:t>
      </w:r>
      <w:r w:rsidR="008B569A" w:rsidRPr="00022BA7" w:rsidDel="008B569A">
        <w:rPr>
          <w:iCs/>
        </w:rPr>
        <w:t xml:space="preserve"> </w:t>
      </w:r>
      <w:r w:rsidRPr="00022BA7">
        <w:rPr>
          <w:iCs/>
        </w:rPr>
        <w:t>.</w:t>
      </w:r>
      <w:proofErr w:type="gramEnd"/>
      <w:r w:rsidRPr="00022BA7">
        <w:rPr>
          <w:iCs/>
        </w:rPr>
        <w:t xml:space="preserve"> According to </w:t>
      </w:r>
      <w:proofErr w:type="spellStart"/>
      <w:r w:rsidRPr="00022BA7">
        <w:rPr>
          <w:iCs/>
        </w:rPr>
        <w:t>Sathre</w:t>
      </w:r>
      <w:proofErr w:type="spellEnd"/>
      <w:r w:rsidRPr="00022BA7">
        <w:rPr>
          <w:iCs/>
        </w:rPr>
        <w:t xml:space="preserve"> et al.</w:t>
      </w:r>
      <w:r w:rsidR="00A9694E">
        <w:rPr>
          <w:iCs/>
        </w:rPr>
        <w:fldChar w:fldCharType="begin"/>
      </w:r>
      <w:r w:rsidR="00F33969">
        <w:rPr>
          <w:iCs/>
        </w:rPr>
        <w:instrText xml:space="preserve"> ADDIN ZOTERO_ITEM CSL_CITATION {"citationID":"YzHkag9F","properties":{"formattedCitation":"\\super 24\\nosupersub{}","plainCitation":"24","noteIndex":0},"citationItems":[{"id":252,"uris":["http://zotero.org/users/12468222/items/2ANQ7NPN"],"itemData":{"id":252,"type":"article-journal","abstract":"As the use of plug-in electric vehicles (PEVs) further increases in the coming decades, a growing stream of batteries will reach the end of their service lives. Here we study the potential of those batteries to be used in second-life applications to enable the expansion of intermittent renewable electricity supply in California through the year 2050. We develop and apply a parametric life-cycle system model integrating battery supply, degradation, logistics, and second-life use. We calculate and compare several metrics of second-life system performance, including cumulative electricity delivered, energy balance, greenhouse gas (GHG) balance, and energy stored on invested. We find that second-life use of retired PEV batteries may play a modest, though not insignificant, role in California's future energy system. The electricity delivered by second-life batteries in 2050 under base-case modeling conditions is 15 TWh per year, about 5% of total current and projected electricity use in California. If used instead of natural gas-fired electricity generation, this electricity would reduce GHG emissions by about 7 million metric tons of CO2e per year in 2050.","container-title":"Journal of Power Sources","DOI":"10.1016/j.jpowsour.2015.04.097","ISSN":"0378-7753","journalAbbreviation":"Journal of Power Sources","page":"82-91","source":"ScienceDirect","title":"Energy and climate effects of second-life use of electric vehicle batteries in California through 2050","volume":"288","author":[{"family":"Sathre","given":"Roger"},{"family":"Scown","given":"Corinne D."},{"family":"Kavvada","given":"Olga"},{"family":"Hendrickson","given":"Thomas P."}],"issued":{"date-parts":[["2015",8,15]]}}}],"schema":"https://github.com/citation-style-language/schema/raw/master/csl-citation.json"} </w:instrText>
      </w:r>
      <w:r w:rsidR="00A9694E">
        <w:rPr>
          <w:iCs/>
        </w:rPr>
        <w:fldChar w:fldCharType="separate"/>
      </w:r>
      <w:r w:rsidR="00F33969" w:rsidRPr="00F33969">
        <w:rPr>
          <w:rFonts w:cs="Times New Roman"/>
          <w:szCs w:val="24"/>
          <w:vertAlign w:val="superscript"/>
        </w:rPr>
        <w:t>24</w:t>
      </w:r>
      <w:r w:rsidR="00A9694E">
        <w:rPr>
          <w:iCs/>
        </w:rPr>
        <w:fldChar w:fldCharType="end"/>
      </w:r>
      <w:r w:rsidRPr="00022BA7">
        <w:rPr>
          <w:iCs/>
        </w:rPr>
        <w:t>, the share of energy delivered during the first life of the battery</w:t>
      </w:r>
      <w:r>
        <w:rPr>
          <w:iCs/>
        </w:rPr>
        <w:t xml:space="preserve"> (i.e., </w:t>
      </w:r>
      <w:r w:rsidRPr="00022BA7">
        <w:rPr>
          <w:iCs/>
        </w:rPr>
        <w:t>until it experiences a 20% capacity decrease</w:t>
      </w:r>
      <w:r>
        <w:rPr>
          <w:iCs/>
        </w:rPr>
        <w:t>)</w:t>
      </w:r>
      <w:r w:rsidRPr="00022BA7">
        <w:rPr>
          <w:iCs/>
        </w:rPr>
        <w:t xml:space="preserve"> is 28%, while the remaining 72% </w:t>
      </w:r>
      <w:r>
        <w:rPr>
          <w:iCs/>
        </w:rPr>
        <w:t xml:space="preserve">is delivered as an SLB (i.e., </w:t>
      </w:r>
      <w:r w:rsidRPr="00022BA7">
        <w:rPr>
          <w:iCs/>
        </w:rPr>
        <w:t xml:space="preserve">when the </w:t>
      </w:r>
      <w:r>
        <w:rPr>
          <w:iCs/>
        </w:rPr>
        <w:t>battery</w:t>
      </w:r>
      <w:r w:rsidRPr="00022BA7">
        <w:rPr>
          <w:iCs/>
        </w:rPr>
        <w:t xml:space="preserve"> is used from 80% to 40% SOH</w:t>
      </w:r>
      <w:r>
        <w:rPr>
          <w:iCs/>
        </w:rPr>
        <w:t>)</w:t>
      </w:r>
      <w:r w:rsidRPr="00022BA7">
        <w:rPr>
          <w:iCs/>
        </w:rPr>
        <w:t xml:space="preserve">. Based on this, the emissions from battery manufacturing are allocated to the SLB, </w:t>
      </w:r>
      <m:oMath>
        <m:sSubSup>
          <m:sSubSupPr>
            <m:ctrlPr>
              <w:rPr>
                <w:rFonts w:ascii="Cambria Math" w:eastAsia="Malgun Gothic" w:hAnsi="Cambria Math" w:cs="Times New Roman"/>
                <w:i/>
                <w:iCs/>
              </w:rPr>
            </m:ctrlPr>
          </m:sSubSupPr>
          <m:e>
            <m:r>
              <w:rPr>
                <w:rFonts w:ascii="Cambria Math" w:eastAsia="Malgun Gothic" w:hAnsi="Cambria Math" w:cs="Times New Roman"/>
              </w:rPr>
              <m:t>EM</m:t>
            </m:r>
          </m:e>
          <m:sub>
            <m:r>
              <w:rPr>
                <w:rFonts w:ascii="Cambria Math" w:eastAsia="Malgun Gothic" w:hAnsi="Cambria Math" w:cs="Times New Roman"/>
              </w:rPr>
              <m:t>e,v,pX,sc</m:t>
            </m:r>
          </m:sub>
          <m:sup>
            <m:r>
              <w:rPr>
                <w:rFonts w:ascii="Cambria Math" w:eastAsia="Malgun Gothic" w:hAnsi="Cambria Math" w:cs="Times New Roman"/>
              </w:rPr>
              <m:t>SLB</m:t>
            </m:r>
          </m:sup>
        </m:sSubSup>
      </m:oMath>
      <w:r w:rsidRPr="00022BA7">
        <w:rPr>
          <w:iCs/>
        </w:rPr>
        <w:t xml:space="preserve">, with a factor </w:t>
      </w:r>
      <w:r>
        <w:rPr>
          <w:iCs/>
        </w:rPr>
        <w:t>(</w:t>
      </w:r>
      <w:r w:rsidRPr="00022BA7">
        <w:rPr>
          <w:iCs/>
        </w:rPr>
        <w:t xml:space="preserve">denoted as </w:t>
      </w:r>
      <m:oMath>
        <m:sSup>
          <m:sSupPr>
            <m:ctrlPr>
              <w:rPr>
                <w:rFonts w:ascii="Cambria Math" w:eastAsia="Malgun Gothic" w:hAnsi="Cambria Math" w:cs="Times New Roman"/>
                <w:i/>
                <w:iCs/>
              </w:rPr>
            </m:ctrlPr>
          </m:sSupPr>
          <m:e>
            <m:r>
              <w:rPr>
                <w:rFonts w:ascii="Cambria Math" w:eastAsia="Malgun Gothic" w:hAnsi="Cambria Math" w:cs="Times New Roman"/>
              </w:rPr>
              <m:t>F</m:t>
            </m:r>
            <m:ctrlPr>
              <w:rPr>
                <w:rFonts w:ascii="Cambria Math" w:eastAsia="Malgun Gothic" w:hAnsi="Cambria Math" w:cs="Cambria Math"/>
                <w:i/>
                <w:iCs/>
              </w:rPr>
            </m:ctrlPr>
          </m:e>
          <m:sup>
            <m:r>
              <w:rPr>
                <w:rFonts w:ascii="Cambria Math" w:eastAsia="Malgun Gothic" w:hAnsi="Cambria Math" w:cs="Times New Roman"/>
              </w:rPr>
              <m:t>SLB</m:t>
            </m:r>
          </m:sup>
        </m:sSup>
      </m:oMath>
      <w:r>
        <w:rPr>
          <w:iCs/>
        </w:rPr>
        <w:t>)</w:t>
      </w:r>
      <w:r w:rsidRPr="00022BA7">
        <w:rPr>
          <w:iCs/>
        </w:rPr>
        <w:t xml:space="preserve"> of 72%</w:t>
      </w:r>
      <w:r w:rsidR="00AD300D">
        <w:rPr>
          <w:iCs/>
        </w:rPr>
        <w:fldChar w:fldCharType="begin"/>
      </w:r>
      <w:r w:rsidR="00F33969">
        <w:rPr>
          <w:iCs/>
        </w:rPr>
        <w:instrText xml:space="preserve"> ADDIN ZOTERO_ITEM CSL_CITATION {"citationID":"eyPrSCKi","properties":{"formattedCitation":"\\super 24\\nosupersub{}","plainCitation":"24","noteIndex":0},"citationItems":[{"id":252,"uris":["http://zotero.org/users/12468222/items/2ANQ7NPN"],"itemData":{"id":252,"type":"article-journal","abstract":"As the use of plug-in electric vehicles (PEVs) further increases in the coming decades, a growing stream of batteries will reach the end of their service lives. Here we study the potential of those batteries to be used in second-life applications to enable the expansion of intermittent renewable electricity supply in California through the year 2050. We develop and apply a parametric life-cycle system model integrating battery supply, degradation, logistics, and second-life use. We calculate and compare several metrics of second-life system performance, including cumulative electricity delivered, energy balance, greenhouse gas (GHG) balance, and energy stored on invested. We find that second-life use of retired PEV batteries may play a modest, though not insignificant, role in California's future energy system. The electricity delivered by second-life batteries in 2050 under base-case modeling conditions is 15 TWh per year, about 5% of total current and projected electricity use in California. If used instead of natural gas-fired electricity generation, this electricity would reduce GHG emissions by about 7 million metric tons of CO2e per year in 2050.","container-title":"Journal of Power Sources","DOI":"10.1016/j.jpowsour.2015.04.097","ISSN":"0378-7753","journalAbbreviation":"Journal of Power Sources","page":"82-91","source":"ScienceDirect","title":"Energy and climate effects of second-life use of electric vehicle batteries in California through 2050","volume":"288","author":[{"family":"Sathre","given":"Roger"},{"family":"Scown","given":"Corinne D."},{"family":"Kavvada","given":"Olga"},{"family":"Hendrickson","given":"Thomas P."}],"issued":{"date-parts":[["2015",8,15]]}}}],"schema":"https://github.com/citation-style-language/schema/raw/master/csl-citation.json"} </w:instrText>
      </w:r>
      <w:r w:rsidR="00AD300D">
        <w:rPr>
          <w:iCs/>
        </w:rPr>
        <w:fldChar w:fldCharType="separate"/>
      </w:r>
      <w:r w:rsidR="00F33969" w:rsidRPr="00F33969">
        <w:rPr>
          <w:rFonts w:cs="Times New Roman"/>
          <w:szCs w:val="24"/>
          <w:vertAlign w:val="superscript"/>
        </w:rPr>
        <w:t>24</w:t>
      </w:r>
      <w:r w:rsidR="00AD300D">
        <w:rPr>
          <w:iCs/>
        </w:rPr>
        <w:fldChar w:fldCharType="end"/>
      </w:r>
      <w:r w:rsidRPr="00022BA7">
        <w:rPr>
          <w:iCs/>
        </w:rPr>
        <w:t>.</w:t>
      </w:r>
    </w:p>
    <w:p w14:paraId="702C3C6B" w14:textId="77777777" w:rsidR="004F075A" w:rsidRPr="00022BA7" w:rsidRDefault="004F075A" w:rsidP="004F075A">
      <w:pPr>
        <w:rPr>
          <w:iCs/>
        </w:rPr>
      </w:pPr>
    </w:p>
    <w:p w14:paraId="1C4F5F8E" w14:textId="2E57F01A" w:rsidR="00BE6E88" w:rsidRDefault="00BE6E88">
      <w:pPr>
        <w:widowControl/>
        <w:spacing w:line="240" w:lineRule="auto"/>
        <w:rPr>
          <w:sz w:val="18"/>
        </w:rPr>
      </w:pPr>
      <w:r>
        <w:rPr>
          <w:sz w:val="18"/>
        </w:rPr>
        <w:br w:type="page"/>
      </w:r>
    </w:p>
    <w:p w14:paraId="2C1178AB" w14:textId="1ED3D1BF" w:rsidR="0050058E" w:rsidRPr="00022BA7" w:rsidRDefault="00E80507" w:rsidP="0050058E">
      <w:pPr>
        <w:pStyle w:val="Heading1"/>
        <w:numPr>
          <w:ilvl w:val="0"/>
          <w:numId w:val="0"/>
        </w:numPr>
        <w:rPr>
          <w:color w:val="1F497D" w:themeColor="text2"/>
        </w:rPr>
      </w:pPr>
      <w:bookmarkStart w:id="89" w:name="_Ref144857571"/>
      <w:bookmarkStart w:id="90" w:name="_Toc146723122"/>
      <w:r>
        <w:rPr>
          <w:color w:val="1F497D" w:themeColor="text2"/>
        </w:rPr>
        <w:t xml:space="preserve">Supplementary Note 6: </w:t>
      </w:r>
      <w:r w:rsidR="007916C1" w:rsidRPr="007916C1">
        <w:rPr>
          <w:color w:val="1F497D" w:themeColor="text2"/>
        </w:rPr>
        <w:t xml:space="preserve">Economic Feasibility </w:t>
      </w:r>
      <w:r w:rsidR="0050058E">
        <w:rPr>
          <w:color w:val="1F497D" w:themeColor="text2"/>
        </w:rPr>
        <w:t>Calculation</w:t>
      </w:r>
      <w:bookmarkEnd w:id="89"/>
      <w:bookmarkEnd w:id="90"/>
    </w:p>
    <w:p w14:paraId="4183ABCD" w14:textId="427BB4A7" w:rsidR="004F075A" w:rsidRPr="00022BA7" w:rsidRDefault="004F075A" w:rsidP="004F075A">
      <w:pPr>
        <w:rPr>
          <w:lang w:eastAsia="ko-KR"/>
        </w:rPr>
      </w:pPr>
      <w:r>
        <w:rPr>
          <w:lang w:eastAsia="ko-KR"/>
        </w:rPr>
        <w:t>T</w:t>
      </w:r>
      <w:r w:rsidRPr="00022BA7">
        <w:rPr>
          <w:lang w:eastAsia="ko-KR"/>
        </w:rPr>
        <w:t xml:space="preserve">o establish an economic comparison between </w:t>
      </w:r>
      <w:r>
        <w:rPr>
          <w:lang w:eastAsia="ko-KR"/>
        </w:rPr>
        <w:t>continuing to utilize</w:t>
      </w:r>
      <w:r w:rsidRPr="00022BA7">
        <w:rPr>
          <w:lang w:eastAsia="ko-KR"/>
        </w:rPr>
        <w:t xml:space="preserve"> ICEs </w:t>
      </w:r>
      <w:r>
        <w:rPr>
          <w:lang w:eastAsia="ko-KR"/>
        </w:rPr>
        <w:t>vs.</w:t>
      </w:r>
      <w:r w:rsidRPr="00022BA7">
        <w:rPr>
          <w:lang w:eastAsia="ko-KR"/>
        </w:rPr>
        <w:t xml:space="preserve"> retrofitting the</w:t>
      </w:r>
      <w:r>
        <w:rPr>
          <w:lang w:eastAsia="ko-KR"/>
        </w:rPr>
        <w:t>m</w:t>
      </w:r>
      <w:r w:rsidRPr="00022BA7">
        <w:rPr>
          <w:lang w:eastAsia="ko-KR"/>
        </w:rPr>
        <w:t xml:space="preserve"> with BES technology, we conducted a comprehensive analysis of the total costs associated with each approach. Our analysis encompassed various factors</w:t>
      </w:r>
      <w:r>
        <w:rPr>
          <w:lang w:eastAsia="ko-KR"/>
        </w:rPr>
        <w:t>,</w:t>
      </w:r>
      <w:r w:rsidRPr="00022BA7">
        <w:rPr>
          <w:lang w:eastAsia="ko-KR"/>
        </w:rPr>
        <w:t xml:space="preserve"> including operational costs and emission costs related to ICE technology as well as battery system costs, operational costs, and emission costs specific to BES technology. </w:t>
      </w:r>
      <w:r w:rsidRPr="00022BA7">
        <w:t xml:space="preserve">For ICE ships, the total cost includes </w:t>
      </w:r>
      <w:r>
        <w:t xml:space="preserve">that for </w:t>
      </w:r>
      <w:r w:rsidRPr="00022BA7">
        <w:t>fuel (ultra</w:t>
      </w:r>
      <w:r w:rsidR="00A70661">
        <w:t>-</w:t>
      </w:r>
      <w:r w:rsidRPr="00022BA7">
        <w:t xml:space="preserve">low sulfur diesel, or ULSD), the social cost of </w:t>
      </w:r>
      <w:r w:rsidRPr="00022BA7">
        <w:rPr>
          <w:lang w:eastAsia="ko-KR"/>
        </w:rPr>
        <w:t>CO</w:t>
      </w:r>
      <w:r w:rsidRPr="002648A9">
        <w:rPr>
          <w:vertAlign w:val="subscript"/>
          <w:lang w:eastAsia="ko-KR"/>
        </w:rPr>
        <w:t>2</w:t>
      </w:r>
      <w:r w:rsidRPr="00022BA7">
        <w:rPr>
          <w:lang w:eastAsia="ko-KR"/>
        </w:rPr>
        <w:t xml:space="preserve"> equivalent</w:t>
      </w:r>
      <w:r w:rsidRPr="00022BA7">
        <w:t>, and air pollution (NO</w:t>
      </w:r>
      <w:r w:rsidRPr="00022BA7">
        <w:rPr>
          <w:vertAlign w:val="subscript"/>
        </w:rPr>
        <w:t>x</w:t>
      </w:r>
      <w:r w:rsidRPr="00022BA7">
        <w:t xml:space="preserve"> and </w:t>
      </w:r>
      <w:proofErr w:type="spellStart"/>
      <w:r w:rsidRPr="00022BA7">
        <w:t>SO</w:t>
      </w:r>
      <w:r w:rsidRPr="00022BA7">
        <w:rPr>
          <w:vertAlign w:val="subscript"/>
        </w:rPr>
        <w:t>x</w:t>
      </w:r>
      <w:proofErr w:type="spellEnd"/>
      <w:r w:rsidRPr="00022BA7">
        <w:t xml:space="preserve">). For BESs, the total cost comprises </w:t>
      </w:r>
      <w:r>
        <w:t xml:space="preserve">costs for </w:t>
      </w:r>
      <w:r w:rsidRPr="00022BA7">
        <w:t>the battery, operations and maintenance (O&amp;M), charging infrastructure, GHG</w:t>
      </w:r>
      <w:r>
        <w:t>s</w:t>
      </w:r>
      <w:r w:rsidR="00CB7C9E">
        <w:fldChar w:fldCharType="begin"/>
      </w:r>
      <w:r w:rsidR="00F33969">
        <w:instrText xml:space="preserve"> ADDIN ZOTERO_ITEM CSL_CITATION {"citationID":"zR9Ab3Ce","properties":{"formattedCitation":"\\super 25\\nosupersub{}","plainCitation":"25","noteIndex":0},"citationItems":[{"id":279,"uris":["http://zotero.org/users/12468222/items/RZT44IB4"],"itemData":{"id":279,"type":"webpage","abstract":"EPA is committed to making evidence-based decisions pertaining to the methodologies used in EPA analyses, guided by the best available science and input from the public and peer reviewers. Thus, as noted in previous EPA regulatory impact analyses, EPA is continuously reviewing developments in the scientific literature on the social cost of greenhouse gases (SC-GHG), including more robust methodologies for estimating damages from emissions, and looking for opportunities to further improve SC-GHG estimation going forward. In the regulatory impact analysis of EPA’s November 2022 supplemental proposal for oil and gas standards, the Agency included a sensitivity analysis of the climate benefits of the proposed rule using a new set of SC-GHG estimates that incorporates recent research addressing recommendations of the National Academies of Science, Engineering, and Medicine (2017), in addition to using the current Interagency Working Group on the SC-GHG recommended interim estimates. This draft technical report, “Report on the Social Cost of Greenhouse Gases: Estimates Incorporating Recent Scientific Advances,” explains the methodology underlying the new set of estimates. Estimates of the social cost of carbon (SC-CO2), social cost of methane (SC-CH4), and social cost of nitrous oxide (SC-N2O), collectively called the Social Cost of Greenhouse Gases (SC-GHG), are used to monetize the climate benefits of policies that reduce greenhouse gas emissions, or conversely, the climate damages of increasing such emissions.","container-title":"U.S. Environmental Protection Agency","language":"en","title":"Report on the Social Cost of  Greenhouse Gases: Estimates Incorporating Recent Scientific Advances","title-short":"Report on the Social Cost of Greenhouse Gases","URL":"https://cfpub.epa.gov/si/si_public_record_report.cfm?Lab=NCEE&amp;dirEntryId=356357","author":[{"literal":"U.S. Environmental Protection Agency"}],"accessed":{"date-parts":[["2023",9,26]]},"issued":{"date-parts":[["2022"]]}}}],"schema":"https://github.com/citation-style-language/schema/raw/master/csl-citation.json"} </w:instrText>
      </w:r>
      <w:r w:rsidR="00CB7C9E">
        <w:fldChar w:fldCharType="separate"/>
      </w:r>
      <w:r w:rsidR="00F33969" w:rsidRPr="00F33969">
        <w:rPr>
          <w:rFonts w:cs="Times New Roman"/>
          <w:szCs w:val="24"/>
          <w:vertAlign w:val="superscript"/>
        </w:rPr>
        <w:t>25</w:t>
      </w:r>
      <w:r w:rsidR="00CB7C9E">
        <w:fldChar w:fldCharType="end"/>
      </w:r>
      <w:r w:rsidRPr="00022BA7">
        <w:t>, and air pollution (NO</w:t>
      </w:r>
      <w:r w:rsidRPr="002648A9">
        <w:rPr>
          <w:vertAlign w:val="subscript"/>
        </w:rPr>
        <w:t>x</w:t>
      </w:r>
      <w:r w:rsidRPr="00022BA7">
        <w:t xml:space="preserve"> and </w:t>
      </w:r>
      <w:proofErr w:type="spellStart"/>
      <w:r w:rsidRPr="00022BA7">
        <w:t>SO</w:t>
      </w:r>
      <w:r w:rsidRPr="002648A9">
        <w:rPr>
          <w:vertAlign w:val="subscript"/>
        </w:rPr>
        <w:t>x</w:t>
      </w:r>
      <w:proofErr w:type="spellEnd"/>
      <w:r w:rsidRPr="00022BA7">
        <w:t>)</w:t>
      </w:r>
      <w:r w:rsidR="00E145FD">
        <w:fldChar w:fldCharType="begin"/>
      </w:r>
      <w:r w:rsidR="00F33969">
        <w:instrText xml:space="preserve"> ADDIN ZOTERO_ITEM CSL_CITATION {"citationID":"8gw95Ytp","properties":{"formattedCitation":"\\super 26\\nosupersub{}","plainCitation":"26","noteIndex":0},"citationItems":[{"id":207,"uris":["http://zotero.org/users/12468222/items/D4LEXWSZ"],"itemData":{"id":207,"type":"article-journal","abstract":"Fine particulate matter (PM2.5) air pollution has been recognized as a major source of mortality in the United States for at least 25 years, yet much remains unknown about which sources are the most harmful, let alone how best to target policies to mitigate them. Such efforts can be improved by employing high-resolution geographically explicit methods for quantifying human health impacts of emissions of PM2.5 and its precursors. Here, we provide a detailed examination of the health and economic impacts of PM2.5 pollution in the United States by linking emission sources with resulting pollution concentrations. We estimate that anthropogenic PM2.5 was responsible for 107,000 premature deaths in 2011, at a cost to society of $886 billion. Of these deaths, 57% were associated with pollution caused by energy consumption [e.g., transportation (28%) and electricity generation (14%)]; another 15% with pollution caused by agricultural activities. A small fraction of emissions, concentrated in or near densely populated areas, plays an outsized role in damaging human health with the most damaging 10% of total emissions accounting for 40% of total damages. We find that 33% of damages occur within 8 km of emission sources, but 25% occur more than 256 km away, emphasizing the importance of tracking both local and long-range impacts. Our paper highlights the importance of a fine-scale approach as marginal damages can vary by over an order of magnitude within a single county. Information presented here can assist mitigation efforts by identifying those sources with the greatest health effects.","container-title":"Proceedings of the National Academy of Sciences","DOI":"10.1073/pnas.1816102116","issue":"18","note":"publisher: Proceedings of the National Academy of Sciences","page":"8775-8780","source":"pnas.org (Atypon)","title":"Fine-scale damage estimates of particulate matter air pollution reveal opportunities for location-specific mitigation of emissions","volume":"116","author":[{"family":"Goodkind","given":"Andrew L."},{"family":"Tessum","given":"Christopher W."},{"family":"Coggins","given":"Jay S."},{"family":"Hill","given":"Jason D."},{"family":"Marshall","given":"Julian D."}],"issued":{"date-parts":[["2019",4,30]]}}}],"schema":"https://github.com/citation-style-language/schema/raw/master/csl-citation.json"} </w:instrText>
      </w:r>
      <w:r w:rsidR="00E145FD">
        <w:fldChar w:fldCharType="separate"/>
      </w:r>
      <w:r w:rsidR="00F33969" w:rsidRPr="00F33969">
        <w:rPr>
          <w:rFonts w:cs="Times New Roman"/>
          <w:szCs w:val="24"/>
          <w:vertAlign w:val="superscript"/>
        </w:rPr>
        <w:t>26</w:t>
      </w:r>
      <w:r w:rsidR="00E145FD">
        <w:fldChar w:fldCharType="end"/>
      </w:r>
      <w:r w:rsidRPr="00022BA7">
        <w:t xml:space="preserve">. </w:t>
      </w:r>
      <w:r>
        <w:t>E</w:t>
      </w:r>
      <w:r w:rsidRPr="00022BA7">
        <w:t>missions for both ICE</w:t>
      </w:r>
      <w:r>
        <w:t>s</w:t>
      </w:r>
      <w:r w:rsidRPr="00022BA7">
        <w:t xml:space="preserve"> and BESs are derived from </w:t>
      </w:r>
      <w:r>
        <w:t xml:space="preserve">the </w:t>
      </w:r>
      <w:r w:rsidRPr="00022BA7">
        <w:t>calculation in</w:t>
      </w:r>
      <w:r w:rsidR="007739E3">
        <w:t xml:space="preserve"> section</w:t>
      </w:r>
      <w:r w:rsidRPr="00022BA7">
        <w:t xml:space="preserve"> </w:t>
      </w:r>
      <w:r w:rsidR="00A70661">
        <w:t>“</w:t>
      </w:r>
      <w:r w:rsidR="008D7D8B" w:rsidRPr="0031199F">
        <w:rPr>
          <w:b/>
        </w:rPr>
        <w:fldChar w:fldCharType="begin"/>
      </w:r>
      <w:r w:rsidR="008D7D8B" w:rsidRPr="0031199F">
        <w:rPr>
          <w:b/>
        </w:rPr>
        <w:instrText xml:space="preserve"> REF _Ref144853739 \h </w:instrText>
      </w:r>
      <w:r w:rsidR="0031199F">
        <w:rPr>
          <w:b/>
        </w:rPr>
        <w:instrText xml:space="preserve"> \* MERGEFORMAT </w:instrText>
      </w:r>
      <w:r w:rsidR="008D7D8B" w:rsidRPr="0031199F">
        <w:rPr>
          <w:b/>
        </w:rPr>
      </w:r>
      <w:r w:rsidR="008D7D8B" w:rsidRPr="0031199F">
        <w:rPr>
          <w:b/>
        </w:rPr>
        <w:fldChar w:fldCharType="separate"/>
      </w:r>
      <w:r w:rsidR="00C661AC" w:rsidRPr="00C661AC">
        <w:rPr>
          <w:b/>
          <w:color w:val="1F497D" w:themeColor="text2"/>
        </w:rPr>
        <w:t>Supplementary Note 5: Emission Calculation</w:t>
      </w:r>
      <w:r w:rsidR="008D7D8B" w:rsidRPr="0031199F">
        <w:rPr>
          <w:b/>
        </w:rPr>
        <w:fldChar w:fldCharType="end"/>
      </w:r>
      <w:r w:rsidRPr="00022BA7">
        <w:rPr>
          <w:lang w:eastAsia="ko-KR"/>
        </w:rPr>
        <w:t>.</w:t>
      </w:r>
      <w:r w:rsidR="00A70661">
        <w:rPr>
          <w:lang w:eastAsia="ko-KR"/>
        </w:rPr>
        <w:t>”</w:t>
      </w:r>
    </w:p>
    <w:p w14:paraId="7362B2A8" w14:textId="77777777" w:rsidR="004F075A" w:rsidRPr="00022BA7" w:rsidRDefault="004F075A" w:rsidP="004F075A">
      <w:pPr>
        <w:rPr>
          <w:lang w:eastAsia="ko-KR"/>
        </w:rPr>
      </w:pPr>
    </w:p>
    <w:p w14:paraId="2C6CD968" w14:textId="12AC5629" w:rsidR="004F075A" w:rsidRPr="00022BA7" w:rsidRDefault="004F075A" w:rsidP="004F075A">
      <w:r>
        <w:t>The c</w:t>
      </w:r>
      <w:r w:rsidRPr="00022BA7">
        <w:t>ost</w:t>
      </w:r>
      <w:r>
        <w:t>s</w:t>
      </w:r>
      <w:r w:rsidRPr="00022BA7">
        <w:t xml:space="preserve"> of both ICE</w:t>
      </w:r>
      <w:r>
        <w:t>s</w:t>
      </w:r>
      <w:r w:rsidRPr="00022BA7">
        <w:t xml:space="preserve"> and BES</w:t>
      </w:r>
      <w:r>
        <w:t>s</w:t>
      </w:r>
      <w:r w:rsidRPr="00022BA7">
        <w:t xml:space="preserve"> include </w:t>
      </w:r>
      <w:r>
        <w:t xml:space="preserve">a </w:t>
      </w:r>
      <w:r w:rsidRPr="00022BA7">
        <w:t>significant share of operational costs, and vessels cover</w:t>
      </w:r>
      <w:r>
        <w:t>ing</w:t>
      </w:r>
      <w:r w:rsidRPr="00022BA7">
        <w:t xml:space="preserve"> greater distances </w:t>
      </w:r>
      <w:r>
        <w:t xml:space="preserve">therefore </w:t>
      </w:r>
      <w:r w:rsidRPr="00022BA7">
        <w:t>result in higher annual costs. However, the influence of historical travel distance on costs presents a challenge when interpreting the impact of cost parameters. To address this challenge, we calculate the levelized cost of transportation (LCOT) in USD/km. This calculation involves dividing the total costs for both ICE and BES technologies by the travel distance. Lower LCOT values indicate that less expense is incurred to cover the same distance</w:t>
      </w:r>
      <w:r w:rsidR="00FA61A9">
        <w:fldChar w:fldCharType="begin"/>
      </w:r>
      <w:r w:rsidR="00F33969">
        <w:instrText xml:space="preserve"> ADDIN ZOTERO_ITEM CSL_CITATION {"citationID":"5dgyalym","properties":{"formattedCitation":"\\super 27\\nosupersub{}","plainCitation":"27","noteIndex":0},"citationItems":[{"id":235,"uris":["http://zotero.org/users/12468222/items/L52VEIIP"],"itemData":{"id":235,"type":"article-journal","abstract":"International maritime shipping—powered by heavy fuel oil—is a major contributor to global CO2, SO2, and NOx emissions. The direct electrification of maritime vessels has been underexplored as a low-emission option despite its considerable efficiency advantage over electrofuels. Past studies on ship electrification have relied on outdated assumptions on battery cost, energy density values and available on-board space. We show that at battery prices of US$100 kWh−1 the electrification of intraregional trade routes of less than 1,500 km is economical, with minimal impact to ship carrying capacity. Including the environmental costs increases the economical range to 5,000 km. If batteries achieve a US$50 kWh−1 price point, the economical range nearly doubles. We describe a pathway for the battery electrification of containerships within this decade that electrifies over 40% of global containership traffic, reduces CO2 emissions by 14% for US-based vessels, and mitigates the health impacts of air pollution on coastal communities.","container-title":"Nature Energy","DOI":"10.1038/s41560-022-01065-y","ISSN":"2058-7546","issue":"7","journalAbbreviation":"Nat Energy","language":"en","license":"2022 The Author(s)","note":"number: 7\npublisher: Nature Publishing Group","page":"664-674","source":"www.nature.com","title":"Rapid battery cost declines accelerate the prospects of all-electric interregional container shipping","volume":"7","author":[{"family":"Kersey","given":"Jessica"},{"family":"Popovich","given":"Natalie D."},{"family":"Phadke","given":"Amol A."}],"issued":{"date-parts":[["2022",7]]}}}],"schema":"https://github.com/citation-style-language/schema/raw/master/csl-citation.json"} </w:instrText>
      </w:r>
      <w:r w:rsidR="00FA61A9">
        <w:fldChar w:fldCharType="separate"/>
      </w:r>
      <w:r w:rsidR="00F33969" w:rsidRPr="00F33969">
        <w:rPr>
          <w:rFonts w:cs="Times New Roman"/>
          <w:szCs w:val="24"/>
          <w:vertAlign w:val="superscript"/>
        </w:rPr>
        <w:t>27</w:t>
      </w:r>
      <w:r w:rsidR="00FA61A9">
        <w:fldChar w:fldCharType="end"/>
      </w:r>
      <w:r w:rsidRPr="00022BA7">
        <w:t>.</w:t>
      </w:r>
    </w:p>
    <w:p w14:paraId="66DD46B7" w14:textId="77777777" w:rsidR="004F075A" w:rsidRPr="00022BA7" w:rsidRDefault="004F075A" w:rsidP="004F075A"/>
    <w:p w14:paraId="51EED5D0" w14:textId="77777777" w:rsidR="004F075A" w:rsidRPr="00022BA7" w:rsidRDefault="004F075A" w:rsidP="004F075A">
      <w:r w:rsidRPr="00022BA7">
        <w:t>LCOT does not account for factors such as the quantity of shipments delivered or the relative efficiency in transporting passengers, vehicles, cargo, or other vessels</w:t>
      </w:r>
      <w:r>
        <w:t>.</w:t>
      </w:r>
      <w:r w:rsidRPr="00022BA7">
        <w:t xml:space="preserve"> </w:t>
      </w:r>
      <w:r>
        <w:t xml:space="preserve">But because </w:t>
      </w:r>
      <w:r w:rsidRPr="00022BA7">
        <w:t xml:space="preserve">the purpose of </w:t>
      </w:r>
      <w:r>
        <w:t>estimating costs</w:t>
      </w:r>
      <w:r w:rsidRPr="00022BA7">
        <w:t xml:space="preserve"> is to compare maintaining </w:t>
      </w:r>
      <w:r>
        <w:t xml:space="preserve">vessels </w:t>
      </w:r>
      <w:r w:rsidRPr="00022BA7">
        <w:t>as ICE</w:t>
      </w:r>
      <w:r>
        <w:t>s</w:t>
      </w:r>
      <w:r w:rsidRPr="00022BA7">
        <w:t xml:space="preserve"> </w:t>
      </w:r>
      <w:r>
        <w:t xml:space="preserve">vs. </w:t>
      </w:r>
      <w:r w:rsidRPr="00022BA7">
        <w:t>retrofitting to BES and recommend the more favorable option, the presented LC</w:t>
      </w:r>
      <w:r>
        <w:t>O</w:t>
      </w:r>
      <w:r w:rsidRPr="00022BA7">
        <w:t xml:space="preserve">T is considered sufficient. </w:t>
      </w:r>
    </w:p>
    <w:p w14:paraId="528D65A7" w14:textId="77777777" w:rsidR="004F075A" w:rsidRPr="00022BA7" w:rsidRDefault="004F075A" w:rsidP="004F075A"/>
    <w:p w14:paraId="15819063" w14:textId="2857AB02" w:rsidR="004F075A" w:rsidRPr="00022BA7" w:rsidRDefault="004F075A" w:rsidP="004F075A">
      <w:r w:rsidRPr="00022BA7">
        <w:t>In this study, emission costs are estimated based on the emission results obtained from two emission scenarios as detailed in</w:t>
      </w:r>
      <w:r w:rsidR="00CE4476">
        <w:t xml:space="preserve"> section</w:t>
      </w:r>
      <w:r w:rsidRPr="00022BA7">
        <w:t xml:space="preserve"> </w:t>
      </w:r>
      <w:r w:rsidR="00A70661">
        <w:t>“</w:t>
      </w:r>
      <w:r w:rsidR="00197EDD">
        <w:fldChar w:fldCharType="begin"/>
      </w:r>
      <w:r w:rsidR="00197EDD">
        <w:instrText xml:space="preserve"> REF _Ref144853739 \h </w:instrText>
      </w:r>
      <w:r w:rsidR="00197EDD">
        <w:fldChar w:fldCharType="separate"/>
      </w:r>
      <w:r w:rsidR="00C661AC">
        <w:rPr>
          <w:color w:val="1F497D" w:themeColor="text2"/>
        </w:rPr>
        <w:t>Supplementary Note 5: Emission Calculation</w:t>
      </w:r>
      <w:r w:rsidR="00197EDD">
        <w:fldChar w:fldCharType="end"/>
      </w:r>
      <w:r w:rsidRPr="00022BA7">
        <w:t>.</w:t>
      </w:r>
      <w:r w:rsidR="00A70661">
        <w:t>”</w:t>
      </w:r>
      <w:r w:rsidRPr="00022BA7">
        <w:t xml:space="preserve"> The cost estimation is carried out for three specific years: 2022, 2035, and 2050. </w:t>
      </w:r>
      <w:r>
        <w:t>F</w:t>
      </w:r>
      <w:r w:rsidRPr="00022BA7">
        <w:t xml:space="preserve">or BESs, three price scenarios are </w:t>
      </w:r>
      <w:r w:rsidRPr="001F1709">
        <w:t xml:space="preserve">considered: Optimistic (OPT), Intermediate (INT), and Challenging (CHA). Each scenario is identified by a combination of year, emission scenario, and price scenario. For instance, </w:t>
      </w:r>
      <w:r w:rsidR="00190F27">
        <w:t>“</w:t>
      </w:r>
      <w:r w:rsidRPr="001F1709">
        <w:t>2035 BAU INT</w:t>
      </w:r>
      <w:r w:rsidR="00190F27">
        <w:t>”</w:t>
      </w:r>
      <w:r w:rsidRPr="001F1709">
        <w:t xml:space="preserve"> refers to the results obtained for the</w:t>
      </w:r>
      <w:r w:rsidRPr="00022BA7">
        <w:t xml:space="preserve"> year 2035, using the BAU emission scenario and the Intermediate price scenario.</w:t>
      </w:r>
    </w:p>
    <w:p w14:paraId="268CDBD7" w14:textId="77777777" w:rsidR="004F075A" w:rsidRDefault="004F075A" w:rsidP="004F075A"/>
    <w:p w14:paraId="500FF019" w14:textId="77777777" w:rsidR="004F075A" w:rsidRPr="00022BA7" w:rsidRDefault="004F075A">
      <w:pPr>
        <w:pStyle w:val="Heading3"/>
      </w:pPr>
      <w:r w:rsidRPr="00022BA7">
        <w:t>Costs of ICE Ships</w:t>
      </w:r>
    </w:p>
    <w:p w14:paraId="0E7AC94D" w14:textId="77777777" w:rsidR="004F075A" w:rsidRPr="00022BA7" w:rsidRDefault="004F075A" w:rsidP="004F075A">
      <w:r>
        <w:t xml:space="preserve">The </w:t>
      </w:r>
      <w:r w:rsidRPr="00022BA7">
        <w:t>LCOT</w:t>
      </w:r>
      <w:r w:rsidRPr="00022BA7" w:rsidDel="00FF3DCA">
        <w:t xml:space="preserve"> </w:t>
      </w:r>
      <w:r w:rsidRPr="00022BA7">
        <w:t xml:space="preserve">of ICE ships, </w:t>
      </w:r>
      <m:oMath>
        <m:sSubSup>
          <m:sSubSupPr>
            <m:ctrlPr>
              <w:rPr>
                <w:rFonts w:ascii="Cambria Math" w:hAnsi="Cambria Math"/>
              </w:rPr>
            </m:ctrlPr>
          </m:sSubSupPr>
          <m:e>
            <m:r>
              <w:rPr>
                <w:rFonts w:ascii="Cambria Math" w:hAnsi="Cambria Math"/>
              </w:rPr>
              <m:t>LCOT</m:t>
            </m:r>
          </m:e>
          <m:sub>
            <m:r>
              <w:rPr>
                <w:rFonts w:ascii="Cambria Math" w:hAnsi="Cambria Math"/>
              </w:rPr>
              <m:t>v,sc</m:t>
            </m:r>
          </m:sub>
          <m:sup>
            <m:r>
              <w:rPr>
                <w:rFonts w:ascii="Cambria Math" w:hAnsi="Cambria Math"/>
              </w:rPr>
              <m:t>ICE</m:t>
            </m:r>
          </m:sup>
        </m:sSubSup>
      </m:oMath>
      <w:r w:rsidRPr="00022BA7">
        <w:t>, in USD/km, is total cost over travel distance</w:t>
      </w:r>
      <m:oMath>
        <m:r>
          <w:rPr>
            <w:rFonts w:ascii="Cambria Math" w:hAnsi="Cambria Math"/>
          </w:rPr>
          <m:t>, T</m:t>
        </m:r>
        <m:sSub>
          <m:sSubPr>
            <m:ctrlPr>
              <w:rPr>
                <w:rFonts w:ascii="Cambria Math" w:hAnsi="Cambria Math"/>
              </w:rPr>
            </m:ctrlPr>
          </m:sSubPr>
          <m:e>
            <m:r>
              <w:rPr>
                <w:rFonts w:ascii="Cambria Math" w:hAnsi="Cambria Math"/>
              </w:rPr>
              <m:t>D</m:t>
            </m:r>
          </m:e>
          <m:sub>
            <m:r>
              <w:rPr>
                <w:rFonts w:ascii="Cambria Math" w:hAnsi="Cambria Math"/>
              </w:rPr>
              <m:t>v,sc</m:t>
            </m:r>
          </m:sub>
        </m:sSub>
      </m:oMath>
      <w:r w:rsidRPr="00022BA7">
        <w:t>, in scenario</w:t>
      </w:r>
      <w:r>
        <w:t xml:space="preserve"> </w:t>
      </w:r>
      <m:oMath>
        <m:r>
          <w:rPr>
            <w:rFonts w:ascii="Cambria Math" w:hAnsi="Cambria Math"/>
          </w:rPr>
          <m:t xml:space="preserve"> sc</m:t>
        </m:r>
      </m:oMath>
      <w:r w:rsidRPr="00022BA7">
        <w:t>, as shown in equation (</w:t>
      </w:r>
      <w:r>
        <w:t>45</w:t>
      </w:r>
      <w:r w:rsidRPr="00022BA7">
        <w:t>)</w:t>
      </w:r>
      <w:r>
        <w:t>:</w:t>
      </w:r>
      <w:r w:rsidRPr="00022BA7">
        <w:t xml:space="preserve"> </w:t>
      </w:r>
    </w:p>
    <w:p w14:paraId="178936C3"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56FC9605" w14:textId="77777777" w:rsidTr="00F95C74">
        <w:trPr>
          <w:trHeight w:val="300"/>
        </w:trPr>
        <w:tc>
          <w:tcPr>
            <w:tcW w:w="720" w:type="dxa"/>
          </w:tcPr>
          <w:p w14:paraId="06069BA1" w14:textId="77777777" w:rsidR="004F075A" w:rsidRPr="00022BA7" w:rsidRDefault="004F075A" w:rsidP="00F95C74">
            <w:pPr>
              <w:rPr>
                <w:i/>
              </w:rPr>
            </w:pPr>
          </w:p>
        </w:tc>
        <w:tc>
          <w:tcPr>
            <w:tcW w:w="7920" w:type="dxa"/>
          </w:tcPr>
          <w:p w14:paraId="468D1939"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rPr>
                    </m:ctrlPr>
                  </m:sSubSupPr>
                  <m:e>
                    <m:r>
                      <w:rPr>
                        <w:rFonts w:ascii="Cambria Math" w:hAnsi="Cambria Math"/>
                      </w:rPr>
                      <m:t>LCOT</m:t>
                    </m:r>
                  </m:e>
                  <m:sub>
                    <m:r>
                      <w:rPr>
                        <w:rFonts w:ascii="Cambria Math" w:hAnsi="Cambria Math"/>
                      </w:rPr>
                      <m:t>v,sc</m:t>
                    </m:r>
                  </m:sub>
                  <m:sup>
                    <m:r>
                      <w:rPr>
                        <w:rFonts w:ascii="Cambria Math" w:hAnsi="Cambria Math"/>
                      </w:rPr>
                      <m:t>ICE</m:t>
                    </m:r>
                  </m:sup>
                </m:sSubSup>
                <m:r>
                  <m:rPr>
                    <m:sty m:val="p"/>
                  </m:rPr>
                  <w:rPr>
                    <w:rFonts w:ascii="Cambria Math" w:hAnsi="Cambria Math"/>
                  </w:rPr>
                  <m:t>=</m:t>
                </m:r>
                <m:d>
                  <m:dPr>
                    <m:ctrlPr>
                      <w:rPr>
                        <w:rFonts w:ascii="Cambria Math" w:hAnsi="Cambria Math"/>
                      </w:rPr>
                    </m:ctrlPr>
                  </m:dPr>
                  <m:e>
                    <m:sSubSup>
                      <m:sSubSupPr>
                        <m:ctrlPr>
                          <w:rPr>
                            <w:rFonts w:ascii="Cambria Math" w:hAnsi="Cambria Math"/>
                          </w:rPr>
                        </m:ctrlPr>
                      </m:sSubSupPr>
                      <m:e>
                        <m:r>
                          <w:rPr>
                            <w:rFonts w:ascii="Cambria Math" w:hAnsi="Cambria Math"/>
                          </w:rPr>
                          <m:t>C</m:t>
                        </m:r>
                      </m:e>
                      <m:sub>
                        <m:r>
                          <w:rPr>
                            <w:rFonts w:ascii="Cambria Math" w:hAnsi="Cambria Math"/>
                          </w:rPr>
                          <m:t>v,sc</m:t>
                        </m:r>
                      </m:sub>
                      <m:sup>
                        <m:r>
                          <w:rPr>
                            <w:rFonts w:ascii="Cambria Math" w:hAnsi="Cambria Math"/>
                          </w:rPr>
                          <m:t>Fuel</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OM,ICE</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EM</m:t>
                        </m:r>
                        <m:r>
                          <m:rPr>
                            <m:sty m:val="p"/>
                          </m:rPr>
                          <w:rPr>
                            <w:rFonts w:ascii="Cambria Math" w:hAnsi="Cambria Math"/>
                          </w:rPr>
                          <m:t>,</m:t>
                        </m:r>
                        <m:r>
                          <w:rPr>
                            <w:rFonts w:ascii="Cambria Math" w:hAnsi="Cambria Math"/>
                          </w:rPr>
                          <m:t>ICE</m:t>
                        </m:r>
                      </m:sup>
                    </m:sSubSup>
                  </m:e>
                </m:d>
                <m:r>
                  <m:rPr>
                    <m:sty m:val="p"/>
                  </m:rPr>
                  <w:rPr>
                    <w:rFonts w:ascii="Cambria Math" w:hAnsi="Cambria Math"/>
                  </w:rPr>
                  <m:t>⋅</m:t>
                </m:r>
                <m:r>
                  <w:rPr>
                    <w:rFonts w:ascii="Cambria Math" w:hAnsi="Cambria Math"/>
                  </w:rPr>
                  <m:t>T</m:t>
                </m:r>
                <m:sSubSup>
                  <m:sSubSupPr>
                    <m:ctrlPr>
                      <w:rPr>
                        <w:rFonts w:ascii="Cambria Math" w:hAnsi="Cambria Math"/>
                      </w:rPr>
                    </m:ctrlPr>
                  </m:sSubSupPr>
                  <m:e>
                    <m:r>
                      <w:rPr>
                        <w:rFonts w:ascii="Cambria Math" w:hAnsi="Cambria Math"/>
                      </w:rPr>
                      <m:t>D</m:t>
                    </m:r>
                  </m:e>
                  <m:sub>
                    <m:r>
                      <w:rPr>
                        <w:rFonts w:ascii="Cambria Math" w:hAnsi="Cambria Math"/>
                      </w:rPr>
                      <m:t>v,sc</m:t>
                    </m:r>
                  </m:sub>
                  <m:sup>
                    <m:r>
                      <m:rPr>
                        <m:sty m:val="p"/>
                      </m:rPr>
                      <w:rPr>
                        <w:rFonts w:ascii="Cambria Math" w:hAnsi="Cambria Math"/>
                      </w:rPr>
                      <m:t>-1</m:t>
                    </m:r>
                  </m:sup>
                </m:sSubSup>
              </m:oMath>
            </m:oMathPara>
          </w:p>
        </w:tc>
        <w:tc>
          <w:tcPr>
            <w:tcW w:w="720" w:type="dxa"/>
          </w:tcPr>
          <w:p w14:paraId="2E0D8037" w14:textId="77777777" w:rsidR="004F075A" w:rsidRPr="00022BA7" w:rsidRDefault="004F075A" w:rsidP="00F95C74">
            <w:pPr>
              <w:jc w:val="right"/>
            </w:pPr>
            <w:r w:rsidRPr="00022BA7">
              <w:t>(</w:t>
            </w:r>
            <w:r>
              <w:t>45</w:t>
            </w:r>
            <w:r w:rsidRPr="00022BA7">
              <w:t>)</w:t>
            </w:r>
          </w:p>
        </w:tc>
      </w:tr>
    </w:tbl>
    <w:p w14:paraId="33142811" w14:textId="77777777" w:rsidR="004F075A" w:rsidRPr="00022BA7" w:rsidRDefault="004F075A" w:rsidP="004F075A"/>
    <w:p w14:paraId="2751DD62" w14:textId="3D628A88" w:rsidR="004F075A" w:rsidRPr="00022BA7" w:rsidRDefault="004F075A" w:rsidP="004F075A">
      <w:r w:rsidRPr="00022BA7">
        <w:t>where the total cost is the sum of fuel cost</w:t>
      </w:r>
      <m:oMath>
        <m:r>
          <w:rPr>
            <w:rFonts w:ascii="Cambria Math" w:hAnsi="Cambria Math"/>
          </w:rPr>
          <m:t xml:space="preserve">, </m:t>
        </m:r>
        <m:sSubSup>
          <m:sSubSupPr>
            <m:ctrlPr>
              <w:rPr>
                <w:rFonts w:ascii="Cambria Math" w:hAnsi="Cambria Math"/>
                <w:i/>
              </w:rPr>
            </m:ctrlPr>
          </m:sSubSupPr>
          <m:e>
            <m:r>
              <w:rPr>
                <w:rFonts w:ascii="Cambria Math" w:hAnsi="Cambria Math"/>
              </w:rPr>
              <m:t>C</m:t>
            </m:r>
          </m:e>
          <m:sub>
            <m:r>
              <w:rPr>
                <w:rFonts w:ascii="Cambria Math" w:hAnsi="Cambria Math"/>
              </w:rPr>
              <m:t>v</m:t>
            </m:r>
          </m:sub>
          <m:sup>
            <m:r>
              <w:rPr>
                <w:rFonts w:ascii="Cambria Math" w:hAnsi="Cambria Math"/>
              </w:rPr>
              <m:t>Fuel</m:t>
            </m:r>
          </m:sup>
        </m:sSubSup>
      </m:oMath>
      <w:r w:rsidRPr="00022BA7">
        <w:t>, for the ICE ship</w:t>
      </w:r>
      <w:r w:rsidR="00190F27">
        <w:t>’</w:t>
      </w:r>
      <w:r w:rsidRPr="00022BA7">
        <w:t>s activity, operation and maintenance (O&amp;M) cost,</w:t>
      </w:r>
      <m:oMath>
        <m:r>
          <m:rPr>
            <m:sty m:val="p"/>
          </m:rPr>
          <w:rPr>
            <w:rFonts w:ascii="Cambria Math" w:hAnsi="Cambria Math"/>
          </w:rPr>
          <m:t xml:space="preserve"> </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OM,ICE</m:t>
            </m:r>
          </m:sup>
        </m:sSubSup>
      </m:oMath>
      <w:r w:rsidRPr="00022BA7">
        <w:t xml:space="preserve"> , and the cost of its emissions, </w:t>
      </w:r>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EM</m:t>
            </m:r>
            <m:r>
              <m:rPr>
                <m:sty m:val="p"/>
              </m:rPr>
              <w:rPr>
                <w:rFonts w:ascii="Cambria Math" w:hAnsi="Cambria Math"/>
              </w:rPr>
              <m:t>,</m:t>
            </m:r>
            <m:r>
              <w:rPr>
                <w:rFonts w:ascii="Cambria Math" w:hAnsi="Cambria Math"/>
              </w:rPr>
              <m:t>ICE</m:t>
            </m:r>
          </m:sup>
        </m:sSubSup>
      </m:oMath>
      <w:r w:rsidRPr="00022BA7">
        <w:t>,</w:t>
      </w:r>
      <w:r w:rsidRPr="00022BA7">
        <w:rPr>
          <w:rFonts w:eastAsiaTheme="minorHAnsi"/>
        </w:rPr>
        <w:t xml:space="preserve"> </w:t>
      </w:r>
      <w:r w:rsidRPr="00022BA7">
        <w:t>including the social cost of CO</w:t>
      </w:r>
      <w:r w:rsidRPr="00022BA7">
        <w:rPr>
          <w:vertAlign w:val="subscript"/>
        </w:rPr>
        <w:t>2</w:t>
      </w:r>
      <w:r w:rsidRPr="00022BA7">
        <w:t>e and damages from NO</w:t>
      </w:r>
      <w:r w:rsidRPr="00022BA7">
        <w:rPr>
          <w:vertAlign w:val="subscript"/>
        </w:rPr>
        <w:t>x</w:t>
      </w:r>
      <w:r w:rsidRPr="00022BA7">
        <w:t xml:space="preserve"> and </w:t>
      </w:r>
      <w:proofErr w:type="spellStart"/>
      <w:r w:rsidRPr="00022BA7">
        <w:t>SO</w:t>
      </w:r>
      <w:r w:rsidRPr="00022BA7">
        <w:rPr>
          <w:vertAlign w:val="subscript"/>
        </w:rPr>
        <w:t>x</w:t>
      </w:r>
      <w:proofErr w:type="spellEnd"/>
      <w:r w:rsidRPr="00022BA7">
        <w:t xml:space="preserve"> air pollution</w:t>
      </w:r>
      <w:r w:rsidR="00B02E04">
        <w:fldChar w:fldCharType="begin"/>
      </w:r>
      <w:r w:rsidR="00F33969">
        <w:instrText xml:space="preserve"> ADDIN ZOTERO_ITEM CSL_CITATION {"citationID":"CwEune7r","properties":{"formattedCitation":"\\super 26\\nosupersub{}","plainCitation":"26","noteIndex":0},"citationItems":[{"id":207,"uris":["http://zotero.org/users/12468222/items/D4LEXWSZ"],"itemData":{"id":207,"type":"article-journal","abstract":"Fine particulate matter (PM2.5) air pollution has been recognized as a major source of mortality in the United States for at least 25 years, yet much remains unknown about which sources are the most harmful, let alone how best to target policies to mitigate them. Such efforts can be improved by employing high-resolution geographically explicit methods for quantifying human health impacts of emissions of PM2.5 and its precursors. Here, we provide a detailed examination of the health and economic impacts of PM2.5 pollution in the United States by linking emission sources with resulting pollution concentrations. We estimate that anthropogenic PM2.5 was responsible for 107,000 premature deaths in 2011, at a cost to society of $886 billion. Of these deaths, 57% were associated with pollution caused by energy consumption [e.g., transportation (28%) and electricity generation (14%)]; another 15% with pollution caused by agricultural activities. A small fraction of emissions, concentrated in or near densely populated areas, plays an outsized role in damaging human health with the most damaging 10% of total emissions accounting for 40% of total damages. We find that 33% of damages occur within 8 km of emission sources, but 25% occur more than 256 km away, emphasizing the importance of tracking both local and long-range impacts. Our paper highlights the importance of a fine-scale approach as marginal damages can vary by over an order of magnitude within a single county. Information presented here can assist mitigation efforts by identifying those sources with the greatest health effects.","container-title":"Proceedings of the National Academy of Sciences","DOI":"10.1073/pnas.1816102116","issue":"18","note":"publisher: Proceedings of the National Academy of Sciences","page":"8775-8780","source":"pnas.org (Atypon)","title":"Fine-scale damage estimates of particulate matter air pollution reveal opportunities for location-specific mitigation of emissions","volume":"116","author":[{"family":"Goodkind","given":"Andrew L."},{"family":"Tessum","given":"Christopher W."},{"family":"Coggins","given":"Jay S."},{"family":"Hill","given":"Jason D."},{"family":"Marshall","given":"Julian D."}],"issued":{"date-parts":[["2019",4,30]]}}}],"schema":"https://github.com/citation-style-language/schema/raw/master/csl-citation.json"} </w:instrText>
      </w:r>
      <w:r w:rsidR="00B02E04">
        <w:fldChar w:fldCharType="separate"/>
      </w:r>
      <w:r w:rsidR="00F33969" w:rsidRPr="00F33969">
        <w:rPr>
          <w:rFonts w:cs="Times New Roman"/>
          <w:szCs w:val="24"/>
          <w:vertAlign w:val="superscript"/>
        </w:rPr>
        <w:t>26</w:t>
      </w:r>
      <w:r w:rsidR="00B02E04">
        <w:fldChar w:fldCharType="end"/>
      </w:r>
      <w:r w:rsidRPr="00022BA7">
        <w:t>. These components are calculated in equations (</w:t>
      </w:r>
      <w:r>
        <w:t>46</w:t>
      </w:r>
      <w:r w:rsidRPr="00022BA7">
        <w:t xml:space="preserve">) </w:t>
      </w:r>
      <w:r>
        <w:t>through</w:t>
      </w:r>
      <w:r w:rsidRPr="00022BA7">
        <w:t xml:space="preserve"> (</w:t>
      </w:r>
      <w:r>
        <w:t>48</w:t>
      </w:r>
      <w:r w:rsidRPr="00022BA7">
        <w:t>)</w:t>
      </w:r>
      <w:r>
        <w:t>:</w:t>
      </w:r>
    </w:p>
    <w:p w14:paraId="0AA6BDD7"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710A397A" w14:textId="77777777" w:rsidTr="00F95C74">
        <w:trPr>
          <w:trHeight w:val="300"/>
        </w:trPr>
        <w:tc>
          <w:tcPr>
            <w:tcW w:w="720" w:type="dxa"/>
          </w:tcPr>
          <w:p w14:paraId="39CD8E4A" w14:textId="77777777" w:rsidR="004F075A" w:rsidRPr="00022BA7" w:rsidRDefault="004F075A" w:rsidP="00F95C74">
            <w:pPr>
              <w:rPr>
                <w:i/>
              </w:rPr>
            </w:pPr>
          </w:p>
        </w:tc>
        <w:tc>
          <w:tcPr>
            <w:tcW w:w="7920" w:type="dxa"/>
          </w:tcPr>
          <w:p w14:paraId="1DD874AB"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rPr>
                    </m:ctrlPr>
                  </m:sSubSupPr>
                  <m:e>
                    <m:r>
                      <w:rPr>
                        <w:rFonts w:ascii="Cambria Math" w:hAnsi="Cambria Math"/>
                      </w:rPr>
                      <m:t>C</m:t>
                    </m:r>
                  </m:e>
                  <m:sub>
                    <m:r>
                      <w:rPr>
                        <w:rFonts w:ascii="Cambria Math" w:hAnsi="Cambria Math"/>
                      </w:rPr>
                      <m:t>v,sc</m:t>
                    </m:r>
                  </m:sub>
                  <m:sup>
                    <m:r>
                      <w:rPr>
                        <w:rFonts w:ascii="Cambria Math" w:hAnsi="Cambria Math"/>
                      </w:rPr>
                      <m:t>Fuel</m:t>
                    </m:r>
                  </m:sup>
                </m:sSubSup>
                <m:r>
                  <m:rPr>
                    <m:sty m:val="p"/>
                  </m:rPr>
                  <w:rPr>
                    <w:rFonts w:ascii="Cambria Math" w:hAnsi="Cambria Math"/>
                  </w:rPr>
                  <m:t>=</m:t>
                </m:r>
                <m:nary>
                  <m:naryPr>
                    <m:chr m:val="∑"/>
                    <m:limLoc m:val="undOvr"/>
                    <m:supHide m:val="1"/>
                    <m:ctrlPr>
                      <w:rPr>
                        <w:rFonts w:ascii="Cambria Math" w:hAnsi="Cambria Math"/>
                      </w:rPr>
                    </m:ctrlPr>
                  </m:naryPr>
                  <m:sub>
                    <m:r>
                      <w:rPr>
                        <w:rFonts w:ascii="Cambria Math" w:hAnsi="Cambria Math"/>
                      </w:rPr>
                      <m:t>t</m:t>
                    </m:r>
                  </m:sub>
                  <m:sup/>
                  <m:e>
                    <m: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r>
                      <w:rPr>
                        <w:rFonts w:ascii="Cambria Math" w:hAnsi="Cambria Math"/>
                      </w:rPr>
                      <m:t>)/12</m:t>
                    </m:r>
                  </m:e>
                </m:nary>
                <m:r>
                  <m:rPr>
                    <m:sty m:val="p"/>
                  </m:rPr>
                  <w:rPr>
                    <w:rFonts w:ascii="Cambria Math" w:hAnsi="Cambria Math"/>
                  </w:rPr>
                  <m:t>⋅</m:t>
                </m:r>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ULSD</m:t>
                    </m:r>
                  </m:sup>
                </m:sSubSup>
                <m:r>
                  <w:rPr>
                    <w:rFonts w:ascii="Cambria Math" w:hAnsi="Cambria Math"/>
                  </w:rPr>
                  <m:t>⋅</m:t>
                </m:r>
                <m:r>
                  <m:rPr>
                    <m:sty m:val="p"/>
                  </m:rPr>
                  <w:rPr>
                    <w:rFonts w:ascii="Cambria Math" w:hAnsi="Cambria Math"/>
                  </w:rPr>
                  <m:t xml:space="preserve"> </m:t>
                </m:r>
                <m:sSup>
                  <m:sSupPr>
                    <m:ctrlPr>
                      <w:rPr>
                        <w:rFonts w:ascii="Cambria Math" w:hAnsi="Cambria Math"/>
                        <w:i/>
                      </w:rPr>
                    </m:ctrlPr>
                  </m:sSupPr>
                  <m:e>
                    <m:sSup>
                      <m:sSupPr>
                        <m:ctrlPr>
                          <w:rPr>
                            <w:rFonts w:ascii="Cambria Math" w:hAnsi="Cambria Math"/>
                            <w:i/>
                          </w:rPr>
                        </m:ctrlPr>
                      </m:sSupPr>
                      <m:e>
                        <m:r>
                          <w:rPr>
                            <w:rFonts w:ascii="Cambria Math" w:hAnsi="Cambria Math"/>
                          </w:rPr>
                          <m:t>η</m:t>
                        </m:r>
                      </m:e>
                      <m:sup>
                        <m:r>
                          <w:rPr>
                            <w:rFonts w:ascii="Cambria Math" w:hAnsi="Cambria Math"/>
                          </w:rPr>
                          <m:t>E</m:t>
                        </m:r>
                      </m:sup>
                    </m:sSup>
                    <m:ctrlPr>
                      <w:rPr>
                        <w:rFonts w:ascii="Cambria Math" w:hAnsi="Cambria Math"/>
                      </w:rPr>
                    </m:ctrlPr>
                  </m:e>
                  <m:sup>
                    <m:r>
                      <w:rPr>
                        <w:rFonts w:ascii="Cambria Math" w:hAnsi="Cambria Math"/>
                      </w:rPr>
                      <m:t>-1</m:t>
                    </m:r>
                  </m:sup>
                </m:sSup>
              </m:oMath>
            </m:oMathPara>
          </w:p>
        </w:tc>
        <w:tc>
          <w:tcPr>
            <w:tcW w:w="720" w:type="dxa"/>
          </w:tcPr>
          <w:p w14:paraId="1400780D" w14:textId="77777777" w:rsidR="004F075A" w:rsidRPr="00022BA7" w:rsidRDefault="004F075A" w:rsidP="00F95C74">
            <w:pPr>
              <w:jc w:val="right"/>
            </w:pPr>
            <w:r w:rsidRPr="00022BA7">
              <w:t>(</w:t>
            </w:r>
            <w:r>
              <w:t>46</w:t>
            </w:r>
            <w:r w:rsidRPr="00022BA7">
              <w:t>)</w:t>
            </w:r>
          </w:p>
        </w:tc>
      </w:tr>
      <w:tr w:rsidR="004F075A" w:rsidRPr="00022BA7" w14:paraId="7D4904FA" w14:textId="77777777" w:rsidTr="00F95C74">
        <w:trPr>
          <w:trHeight w:val="300"/>
        </w:trPr>
        <w:tc>
          <w:tcPr>
            <w:tcW w:w="720" w:type="dxa"/>
          </w:tcPr>
          <w:p w14:paraId="304BE459" w14:textId="77777777" w:rsidR="004F075A" w:rsidRPr="00022BA7" w:rsidRDefault="004F075A" w:rsidP="00F95C74">
            <w:pPr>
              <w:rPr>
                <w:i/>
              </w:rPr>
            </w:pPr>
          </w:p>
        </w:tc>
        <w:tc>
          <w:tcPr>
            <w:tcW w:w="7920" w:type="dxa"/>
          </w:tcPr>
          <w:p w14:paraId="6A83FAE1" w14:textId="77777777" w:rsidR="004F075A" w:rsidRPr="00022BA7" w:rsidRDefault="00590C69" w:rsidP="00F95C74">
            <w:pPr>
              <w:rPr>
                <w:i/>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OM,ICE</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v,sc</m:t>
                    </m:r>
                  </m:sub>
                  <m:sup>
                    <m:r>
                      <w:rPr>
                        <w:rFonts w:ascii="Cambria Math" w:hAnsi="Cambria Math"/>
                      </w:rPr>
                      <m:t>Fuel</m:t>
                    </m:r>
                  </m:sup>
                </m:sSubSup>
                <m:r>
                  <w:rPr>
                    <w:rFonts w:ascii="Cambria Math" w:hAnsi="Cambria Math"/>
                  </w:rPr>
                  <m:t>⋅</m:t>
                </m:r>
                <m:r>
                  <m:rPr>
                    <m:sty m:val="p"/>
                  </m:rPr>
                  <w:rPr>
                    <w:rFonts w:ascii="Cambria Math" w:hAnsi="Cambria Math"/>
                  </w:rPr>
                  <m:t xml:space="preserve"> </m:t>
                </m:r>
                <m:sSubSup>
                  <m:sSubSupPr>
                    <m:ctrlPr>
                      <w:rPr>
                        <w:rFonts w:ascii="Cambria Math" w:hAnsi="Cambria Math"/>
                        <w:i/>
                      </w:rPr>
                    </m:ctrlPr>
                  </m:sSubSupPr>
                  <m:e>
                    <m:r>
                      <w:rPr>
                        <w:rFonts w:ascii="Cambria Math" w:hAnsi="Cambria Math"/>
                      </w:rPr>
                      <m:t>F</m:t>
                    </m:r>
                    <m:ctrlPr>
                      <w:rPr>
                        <w:rFonts w:ascii="Cambria Math" w:hAnsi="Cambria Math"/>
                      </w:rPr>
                    </m:ctrlPr>
                  </m:e>
                  <m:sub>
                    <m:r>
                      <w:rPr>
                        <w:rFonts w:ascii="Cambria Math" w:hAnsi="Cambria Math"/>
                      </w:rPr>
                      <m:t>ICE</m:t>
                    </m:r>
                  </m:sub>
                  <m:sup>
                    <m:r>
                      <w:rPr>
                        <w:rFonts w:ascii="Cambria Math" w:hAnsi="Cambria Math"/>
                      </w:rPr>
                      <m:t>OM</m:t>
                    </m:r>
                  </m:sup>
                </m:sSubSup>
              </m:oMath>
            </m:oMathPara>
          </w:p>
        </w:tc>
        <w:tc>
          <w:tcPr>
            <w:tcW w:w="720" w:type="dxa"/>
          </w:tcPr>
          <w:p w14:paraId="643C6DB1" w14:textId="77777777" w:rsidR="004F075A" w:rsidRPr="00022BA7" w:rsidRDefault="004F075A" w:rsidP="00F95C74">
            <w:pPr>
              <w:jc w:val="right"/>
            </w:pPr>
            <w:r w:rsidRPr="00022BA7">
              <w:t>(</w:t>
            </w:r>
            <w:r>
              <w:t>47</w:t>
            </w:r>
            <w:r w:rsidRPr="00022BA7">
              <w:t>)</w:t>
            </w:r>
          </w:p>
        </w:tc>
      </w:tr>
      <w:tr w:rsidR="004F075A" w:rsidRPr="00022BA7" w14:paraId="72ECFD42" w14:textId="77777777" w:rsidTr="00F95C74">
        <w:trPr>
          <w:trHeight w:val="300"/>
        </w:trPr>
        <w:tc>
          <w:tcPr>
            <w:tcW w:w="720" w:type="dxa"/>
          </w:tcPr>
          <w:p w14:paraId="7550D750" w14:textId="77777777" w:rsidR="004F075A" w:rsidRPr="00022BA7" w:rsidRDefault="004F075A" w:rsidP="00F95C74">
            <w:pPr>
              <w:rPr>
                <w:i/>
              </w:rPr>
            </w:pPr>
          </w:p>
        </w:tc>
        <w:tc>
          <w:tcPr>
            <w:tcW w:w="7920" w:type="dxa"/>
          </w:tcPr>
          <w:p w14:paraId="396118DD"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EM</m:t>
                    </m:r>
                    <m:r>
                      <m:rPr>
                        <m:sty m:val="p"/>
                      </m:rPr>
                      <w:rPr>
                        <w:rFonts w:ascii="Cambria Math" w:hAnsi="Cambria Math"/>
                      </w:rPr>
                      <m:t>,</m:t>
                    </m:r>
                    <m:r>
                      <w:rPr>
                        <w:rFonts w:ascii="Cambria Math" w:hAnsi="Cambria Math"/>
                      </w:rPr>
                      <m:t>ICE</m:t>
                    </m:r>
                  </m:sup>
                </m:sSubSup>
                <m:r>
                  <m:rPr>
                    <m:sty m:val="p"/>
                  </m:rPr>
                  <w:rPr>
                    <w:rFonts w:ascii="Cambria Math" w:hAnsi="Cambria Math"/>
                  </w:rPr>
                  <m:t>=</m:t>
                </m:r>
                <m:nary>
                  <m:naryPr>
                    <m:chr m:val="∑"/>
                    <m:limLoc m:val="undOvr"/>
                    <m:supHide m:val="1"/>
                    <m:ctrlPr>
                      <w:rPr>
                        <w:rFonts w:ascii="Cambria Math" w:hAnsi="Cambria Math"/>
                      </w:rPr>
                    </m:ctrlPr>
                  </m:naryPr>
                  <m:sub>
                    <m:r>
                      <w:rPr>
                        <w:rFonts w:ascii="Cambria Math" w:hAnsi="Cambria Math"/>
                      </w:rPr>
                      <m:t>e</m:t>
                    </m:r>
                    <m:r>
                      <m:rPr>
                        <m:sty m:val="p"/>
                      </m:rPr>
                      <w:rPr>
                        <w:rFonts w:ascii="Cambria Math" w:hAnsi="Cambria Math" w:hint="eastAsia"/>
                      </w:rPr>
                      <m:t>∈</m:t>
                    </m:r>
                    <m:d>
                      <m:dPr>
                        <m:begChr m:val="{"/>
                        <m:endChr m:val="}"/>
                        <m:ctrlPr>
                          <w:rPr>
                            <w:rFonts w:ascii="Cambria Math" w:hAnsi="Cambria Math"/>
                          </w:rPr>
                        </m:ctrlPr>
                      </m:dPr>
                      <m:e>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m:t>
                        </m:r>
                        <m:r>
                          <m:rPr>
                            <m:sty m:val="p"/>
                          </m:rPr>
                          <w:rPr>
                            <w:rFonts w:ascii="Cambria Math" w:hAnsi="Cambria Math"/>
                          </w:rPr>
                          <m:t xml:space="preserve">, </m:t>
                        </m:r>
                        <m:r>
                          <w:rPr>
                            <w:rFonts w:ascii="Cambria Math" w:hAnsi="Cambria Math"/>
                          </w:rPr>
                          <m:t>NOx</m:t>
                        </m:r>
                        <m:r>
                          <m:rPr>
                            <m:sty m:val="p"/>
                          </m:rPr>
                          <w:rPr>
                            <w:rFonts w:ascii="Cambria Math" w:hAnsi="Cambria Math"/>
                          </w:rPr>
                          <m:t>,</m:t>
                        </m:r>
                        <m:r>
                          <w:rPr>
                            <w:rFonts w:ascii="Cambria Math" w:hAnsi="Cambria Math"/>
                          </w:rPr>
                          <m:t>SOx</m:t>
                        </m:r>
                      </m:e>
                    </m:d>
                  </m:sub>
                  <m:sup/>
                  <m:e>
                    <m:sSubSup>
                      <m:sSubSupPr>
                        <m:ctrlPr>
                          <w:rPr>
                            <w:rFonts w:ascii="Cambria Math" w:hAnsi="Cambria Math"/>
                          </w:rPr>
                        </m:ctrlPr>
                      </m:sSubSupPr>
                      <m:e>
                        <m:r>
                          <w:rPr>
                            <w:rFonts w:ascii="Cambria Math" w:hAnsi="Cambria Math"/>
                          </w:rPr>
                          <m:t>EM</m:t>
                        </m:r>
                      </m:e>
                      <m:sub>
                        <m:r>
                          <w:rPr>
                            <w:rFonts w:ascii="Cambria Math" w:hAnsi="Cambria Math"/>
                          </w:rPr>
                          <m:t>e</m:t>
                        </m:r>
                        <m:r>
                          <m:rPr>
                            <m:sty m:val="p"/>
                          </m:rPr>
                          <w:rPr>
                            <w:rFonts w:ascii="Cambria Math" w:hAnsi="Cambria Math"/>
                          </w:rPr>
                          <m:t xml:space="preserve">, </m:t>
                        </m:r>
                        <m:r>
                          <w:rPr>
                            <w:rFonts w:ascii="Cambria Math" w:hAnsi="Cambria Math"/>
                          </w:rPr>
                          <m:t>v</m:t>
                        </m:r>
                      </m:sub>
                      <m:sup>
                        <m:r>
                          <w:rPr>
                            <w:rFonts w:ascii="Cambria Math" w:hAnsi="Cambria Math"/>
                          </w:rPr>
                          <m:t>ICE</m:t>
                        </m:r>
                      </m:sup>
                    </m:sSubSup>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e</m:t>
                        </m:r>
                        <m:r>
                          <m:rPr>
                            <m:sty m:val="p"/>
                          </m:rPr>
                          <w:rPr>
                            <w:rFonts w:ascii="Cambria Math" w:hAnsi="Cambria Math"/>
                          </w:rPr>
                          <m:t>,</m:t>
                        </m:r>
                        <m:r>
                          <w:rPr>
                            <w:rFonts w:ascii="Cambria Math" w:hAnsi="Cambria Math"/>
                          </w:rPr>
                          <m:t>sc</m:t>
                        </m:r>
                      </m:sub>
                    </m:sSub>
                  </m:e>
                </m:nary>
              </m:oMath>
            </m:oMathPara>
          </w:p>
        </w:tc>
        <w:tc>
          <w:tcPr>
            <w:tcW w:w="720" w:type="dxa"/>
          </w:tcPr>
          <w:p w14:paraId="5D03B96A" w14:textId="77777777" w:rsidR="004F075A" w:rsidRPr="00022BA7" w:rsidRDefault="004F075A" w:rsidP="00F95C74">
            <w:pPr>
              <w:jc w:val="right"/>
            </w:pPr>
            <w:r w:rsidRPr="00022BA7">
              <w:t>(</w:t>
            </w:r>
            <w:r>
              <w:t>48</w:t>
            </w:r>
            <w:r w:rsidRPr="00022BA7">
              <w:t>)</w:t>
            </w:r>
          </w:p>
        </w:tc>
      </w:tr>
    </w:tbl>
    <w:p w14:paraId="08BCC072" w14:textId="77777777" w:rsidR="004F075A" w:rsidRPr="00022BA7" w:rsidRDefault="004F075A" w:rsidP="004F075A"/>
    <w:p w14:paraId="4C2F8571" w14:textId="37FD19B2" w:rsidR="004F075A" w:rsidRPr="00022BA7" w:rsidRDefault="004F075A" w:rsidP="004F075A">
      <w:r w:rsidRPr="00022BA7">
        <w:t xml:space="preserve">where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ME</m:t>
            </m:r>
          </m:sup>
        </m:sSubSup>
      </m:oMath>
      <w:r w:rsidRPr="00022BA7">
        <w:t xml:space="preserve"> and </w:t>
      </w:r>
      <m:oMath>
        <m:sSubSup>
          <m:sSubSupPr>
            <m:ctrlPr>
              <w:rPr>
                <w:rFonts w:ascii="Cambria Math" w:hAnsi="Cambria Math"/>
              </w:rPr>
            </m:ctrlPr>
          </m:sSubSupPr>
          <m:e>
            <m:r>
              <w:rPr>
                <w:rFonts w:ascii="Cambria Math" w:hAnsi="Cambria Math"/>
              </w:rPr>
              <m:t>P</m:t>
            </m:r>
          </m:e>
          <m:sub>
            <m:r>
              <w:rPr>
                <w:rFonts w:ascii="Cambria Math" w:hAnsi="Cambria Math"/>
              </w:rPr>
              <m:t>v</m:t>
            </m:r>
            <m:r>
              <m:rPr>
                <m:sty m:val="p"/>
              </m:rPr>
              <w:rPr>
                <w:rFonts w:ascii="Cambria Math" w:hAnsi="Cambria Math"/>
              </w:rPr>
              <m:t>,</m:t>
            </m:r>
            <m:r>
              <w:rPr>
                <w:rFonts w:ascii="Cambria Math" w:hAnsi="Cambria Math"/>
              </w:rPr>
              <m:t>t</m:t>
            </m:r>
          </m:sub>
          <m:sup>
            <m:r>
              <w:rPr>
                <w:rFonts w:ascii="Cambria Math" w:hAnsi="Cambria Math"/>
              </w:rPr>
              <m:t>AE</m:t>
            </m:r>
          </m:sup>
        </m:sSubSup>
      </m:oMath>
      <w:r w:rsidRPr="00022BA7">
        <w:t xml:space="preserve"> are </w:t>
      </w:r>
      <w:r>
        <w:t xml:space="preserve">the </w:t>
      </w:r>
      <w:r w:rsidRPr="00022BA7">
        <w:t xml:space="preserve">power demand of </w:t>
      </w:r>
      <w:r>
        <w:t xml:space="preserve">the </w:t>
      </w:r>
      <w:r w:rsidRPr="00022BA7">
        <w:t xml:space="preserve">main engine and </w:t>
      </w:r>
      <w:r>
        <w:t>auxiliary engine</w:t>
      </w:r>
      <w:r w:rsidRPr="00022BA7">
        <w:t xml:space="preserve"> that are calculated in equation</w:t>
      </w:r>
      <w:r>
        <w:t>s</w:t>
      </w:r>
      <w:r w:rsidRPr="00022BA7">
        <w:t xml:space="preserve"> (</w:t>
      </w:r>
      <w:r>
        <w:t>6</w:t>
      </w:r>
      <w:r w:rsidRPr="00022BA7">
        <w:t>)</w:t>
      </w:r>
      <w:r>
        <w:t>-(7)</w:t>
      </w:r>
      <w:r w:rsidRPr="00022BA7">
        <w:t xml:space="preserve"> and (</w:t>
      </w:r>
      <w:r>
        <w:t>8</w:t>
      </w:r>
      <w:r w:rsidRPr="00022BA7">
        <w:t>)</w:t>
      </w:r>
      <w:r>
        <w:t>-(9)</w:t>
      </w:r>
      <w:r w:rsidRPr="00022BA7">
        <w:t xml:space="preserve">, respectively, where </w:t>
      </w:r>
      <m:oMath>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ULSD</m:t>
            </m:r>
          </m:sup>
        </m:sSubSup>
      </m:oMath>
      <w:r w:rsidRPr="00022BA7">
        <w:t>is the unit price of ULSD in USD/kWh</w:t>
      </w:r>
      <w:r>
        <w:t>,</w:t>
      </w:r>
      <w:r w:rsidRPr="00022BA7">
        <w:t xml:space="preserve"> which is </w:t>
      </w:r>
      <w:r>
        <w:t xml:space="preserve">the </w:t>
      </w:r>
      <w:r w:rsidRPr="00022BA7">
        <w:t xml:space="preserve">diesel cost for transportation in </w:t>
      </w:r>
      <w:r>
        <w:t xml:space="preserve">the </w:t>
      </w:r>
      <w:r w:rsidRPr="00022BA7">
        <w:t>Reference case in Annual Energy Outlook 2023</w:t>
      </w:r>
      <w:r w:rsidR="00203DB7">
        <w:fldChar w:fldCharType="begin"/>
      </w:r>
      <w:r w:rsidR="00F33969">
        <w:instrText xml:space="preserve"> ADDIN ZOTERO_ITEM CSL_CITATION {"citationID":"pEoFm6vZ","properties":{"formattedCitation":"\\super 28\\nosupersub{}","plainCitation":"28","noteIndex":0},"citationItems":[{"id":61,"uris":["http://zotero.org/users/12468222/items/ZZTTRNHM"],"itemData":{"id":61,"type":"dataset","language":"en","source":"Zotero","title":"Annual Energy Outlook 2022","URL":"https://www.eia.gov/outlooks/archive/aeo22/","author":[{"family":"U.S. Energy Information Administration","given":""}]}}],"schema":"https://github.com/citation-style-language/schema/raw/master/csl-citation.json"} </w:instrText>
      </w:r>
      <w:r w:rsidR="00203DB7">
        <w:fldChar w:fldCharType="separate"/>
      </w:r>
      <w:r w:rsidR="00F33969" w:rsidRPr="00F33969">
        <w:rPr>
          <w:rFonts w:cs="Times New Roman"/>
          <w:szCs w:val="24"/>
          <w:vertAlign w:val="superscript"/>
        </w:rPr>
        <w:t>28</w:t>
      </w:r>
      <w:r w:rsidR="00203DB7">
        <w:fldChar w:fldCharType="end"/>
      </w:r>
      <w:r w:rsidRPr="00022BA7">
        <w:t xml:space="preserve">, and </w:t>
      </w:r>
      <m:oMath>
        <m:sSup>
          <m:sSupPr>
            <m:ctrlPr>
              <w:rPr>
                <w:rFonts w:ascii="Cambria Math" w:hAnsi="Cambria Math"/>
                <w:i/>
              </w:rPr>
            </m:ctrlPr>
          </m:sSupPr>
          <m:e>
            <m:r>
              <w:rPr>
                <w:rFonts w:ascii="Cambria Math" w:hAnsi="Cambria Math"/>
              </w:rPr>
              <m:t>η</m:t>
            </m:r>
          </m:e>
          <m:sup>
            <m:r>
              <w:rPr>
                <w:rFonts w:ascii="Cambria Math" w:hAnsi="Cambria Math"/>
              </w:rPr>
              <m:t>E</m:t>
            </m:r>
          </m:sup>
        </m:sSup>
      </m:oMath>
      <w:r w:rsidRPr="00022BA7">
        <w:t xml:space="preserve"> is engine efficiency</w:t>
      </w:r>
      <w:r>
        <w:t>,</w:t>
      </w:r>
      <w:r w:rsidRPr="00022BA7">
        <w:t xml:space="preserve"> which is engine power output over consumed energy and assumed as 0.468</w:t>
      </w:r>
      <w:r w:rsidR="00A35882">
        <w:fldChar w:fldCharType="begin"/>
      </w:r>
      <w:r w:rsidR="00F33969">
        <w:instrText xml:space="preserve"> ADDIN ZOTERO_ITEM CSL_CITATION {"citationID":"VpdPjMb0","properties":{"formattedCitation":"\\super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A35882">
        <w:fldChar w:fldCharType="separate"/>
      </w:r>
      <w:r w:rsidR="00F33969" w:rsidRPr="00F33969">
        <w:rPr>
          <w:rFonts w:cs="Times New Roman"/>
          <w:szCs w:val="24"/>
          <w:vertAlign w:val="superscript"/>
        </w:rPr>
        <w:t>20</w:t>
      </w:r>
      <w:r w:rsidR="00A35882">
        <w:fldChar w:fldCharType="end"/>
      </w:r>
      <w:r w:rsidRPr="00022BA7">
        <w:t xml:space="preserve">. </w:t>
      </w:r>
      <m:oMath>
        <m:sSubSup>
          <m:sSubSupPr>
            <m:ctrlPr>
              <w:rPr>
                <w:rFonts w:ascii="Cambria Math" w:hAnsi="Cambria Math"/>
                <w:i/>
              </w:rPr>
            </m:ctrlPr>
          </m:sSubSupPr>
          <m:e>
            <m:r>
              <w:rPr>
                <w:rFonts w:ascii="Cambria Math" w:hAnsi="Cambria Math"/>
              </w:rPr>
              <m:t>F</m:t>
            </m:r>
            <m:ctrlPr>
              <w:rPr>
                <w:rFonts w:ascii="Cambria Math" w:hAnsi="Cambria Math"/>
              </w:rPr>
            </m:ctrlPr>
          </m:e>
          <m:sub>
            <m:r>
              <w:rPr>
                <w:rFonts w:ascii="Cambria Math" w:hAnsi="Cambria Math"/>
              </w:rPr>
              <m:t>ICE</m:t>
            </m:r>
          </m:sub>
          <m:sup>
            <m:r>
              <w:rPr>
                <w:rFonts w:ascii="Cambria Math" w:hAnsi="Cambria Math"/>
              </w:rPr>
              <m:t>OM</m:t>
            </m:r>
          </m:sup>
        </m:sSubSup>
      </m:oMath>
      <w:r w:rsidRPr="00022BA7">
        <w:t xml:space="preserve"> is </w:t>
      </w:r>
      <w:r>
        <w:t xml:space="preserve">the </w:t>
      </w:r>
      <w:r w:rsidRPr="00022BA7">
        <w:t>O&amp;M cost factor</w:t>
      </w:r>
      <w:r>
        <w:t>,</w:t>
      </w:r>
      <w:r w:rsidRPr="00022BA7">
        <w:t xml:space="preserve"> </w:t>
      </w:r>
      <w:r>
        <w:t>which</w:t>
      </w:r>
      <w:r w:rsidRPr="00022BA7">
        <w:t xml:space="preserve"> is assumed as 10% of the fuel cost</w:t>
      </w:r>
      <w:r w:rsidR="00A35882">
        <w:fldChar w:fldCharType="begin"/>
      </w:r>
      <w:r w:rsidR="00F33969">
        <w:instrText xml:space="preserve"> ADDIN ZOTERO_ITEM CSL_CITATION {"citationID":"G8INDBhn","properties":{"formattedCitation":"\\super 27\\nosupersub{}","plainCitation":"27","noteIndex":0},"citationItems":[{"id":235,"uris":["http://zotero.org/users/12468222/items/L52VEIIP"],"itemData":{"id":235,"type":"article-journal","abstract":"International maritime shipping—powered by heavy fuel oil—is a major contributor to global CO2, SO2, and NOx emissions. The direct electrification of maritime vessels has been underexplored as a low-emission option despite its considerable efficiency advantage over electrofuels. Past studies on ship electrification have relied on outdated assumptions on battery cost, energy density values and available on-board space. We show that at battery prices of US$100 kWh−1 the electrification of intraregional trade routes of less than 1,500 km is economical, with minimal impact to ship carrying capacity. Including the environmental costs increases the economical range to 5,000 km. If batteries achieve a US$50 kWh−1 price point, the economical range nearly doubles. We describe a pathway for the battery electrification of containerships within this decade that electrifies over 40% of global containership traffic, reduces CO2 emissions by 14% for US-based vessels, and mitigates the health impacts of air pollution on coastal communities.","container-title":"Nature Energy","DOI":"10.1038/s41560-022-01065-y","ISSN":"2058-7546","issue":"7","journalAbbreviation":"Nat Energy","language":"en","license":"2022 The Author(s)","note":"number: 7\npublisher: Nature Publishing Group","page":"664-674","source":"www.nature.com","title":"Rapid battery cost declines accelerate the prospects of all-electric interregional container shipping","volume":"7","author":[{"family":"Kersey","given":"Jessica"},{"family":"Popovich","given":"Natalie D."},{"family":"Phadke","given":"Amol A."}],"issued":{"date-parts":[["2022",7]]}}}],"schema":"https://github.com/citation-style-language/schema/raw/master/csl-citation.json"} </w:instrText>
      </w:r>
      <w:r w:rsidR="00A35882">
        <w:fldChar w:fldCharType="separate"/>
      </w:r>
      <w:r w:rsidR="00F33969" w:rsidRPr="00F33969">
        <w:rPr>
          <w:rFonts w:cs="Times New Roman"/>
          <w:szCs w:val="24"/>
          <w:vertAlign w:val="superscript"/>
        </w:rPr>
        <w:t>27</w:t>
      </w:r>
      <w:r w:rsidR="00A35882">
        <w:fldChar w:fldCharType="end"/>
      </w:r>
      <w:r w:rsidRPr="00022BA7">
        <w:t xml:space="preserve">. </w:t>
      </w:r>
      <m:oMath>
        <m:sSub>
          <m:sSubPr>
            <m:ctrlPr>
              <w:rPr>
                <w:rFonts w:ascii="Cambria Math" w:hAnsi="Cambria Math"/>
              </w:rPr>
            </m:ctrlPr>
          </m:sSubPr>
          <m:e>
            <m:r>
              <w:rPr>
                <w:rFonts w:ascii="Cambria Math" w:hAnsi="Cambria Math"/>
              </w:rPr>
              <m:t>λ</m:t>
            </m:r>
          </m:e>
          <m:sub>
            <m:r>
              <w:rPr>
                <w:rFonts w:ascii="Cambria Math" w:hAnsi="Cambria Math"/>
              </w:rPr>
              <m:t>e</m:t>
            </m:r>
            <m:r>
              <m:rPr>
                <m:sty m:val="p"/>
              </m:rPr>
              <w:rPr>
                <w:rFonts w:ascii="Cambria Math" w:hAnsi="Cambria Math"/>
              </w:rPr>
              <m:t>,</m:t>
            </m:r>
            <m:r>
              <w:rPr>
                <w:rFonts w:ascii="Cambria Math" w:hAnsi="Cambria Math"/>
              </w:rPr>
              <m:t>sc</m:t>
            </m:r>
          </m:sub>
        </m:sSub>
      </m:oMath>
      <w:r w:rsidRPr="00022BA7">
        <w:t xml:space="preserve"> is the unit cost of emissions of emission </w:t>
      </w:r>
      <m:oMath>
        <m:r>
          <w:rPr>
            <w:rFonts w:ascii="Cambria Math" w:hAnsi="Cambria Math"/>
          </w:rPr>
          <m:t>e</m:t>
        </m:r>
      </m:oMath>
      <w:r w:rsidRPr="00022BA7">
        <w:t xml:space="preserve">  under scenario </w:t>
      </w:r>
      <m:oMath>
        <m:r>
          <w:rPr>
            <w:rFonts w:ascii="Cambria Math" w:hAnsi="Cambria Math"/>
          </w:rPr>
          <m:t>sc</m:t>
        </m:r>
      </m:oMath>
      <w:r w:rsidRPr="00022BA7">
        <w:t xml:space="preserve"> in USD/</w:t>
      </w:r>
      <w:proofErr w:type="gramStart"/>
      <w:r w:rsidRPr="00022BA7">
        <w:t>tonne.</w:t>
      </w:r>
      <w:proofErr w:type="gramEnd"/>
    </w:p>
    <w:p w14:paraId="561F2A73" w14:textId="77777777" w:rsidR="004F075A" w:rsidRPr="00022BA7" w:rsidRDefault="004F075A" w:rsidP="004F075A"/>
    <w:p w14:paraId="04AC54EC" w14:textId="260FEB3F" w:rsidR="004F075A" w:rsidRPr="00022BA7" w:rsidRDefault="004F075A">
      <w:pPr>
        <w:pStyle w:val="Heading3"/>
      </w:pPr>
      <w:r w:rsidRPr="00022BA7">
        <w:t>Costs of Battery</w:t>
      </w:r>
      <w:r w:rsidR="001646A3">
        <w:t>-</w:t>
      </w:r>
      <w:r w:rsidRPr="00022BA7">
        <w:t>Electric Ships</w:t>
      </w:r>
    </w:p>
    <w:p w14:paraId="62429EB9" w14:textId="77777777" w:rsidR="004F075A" w:rsidRPr="00022BA7" w:rsidRDefault="004F075A" w:rsidP="004F075A">
      <w:r>
        <w:t xml:space="preserve">The </w:t>
      </w:r>
      <w:r w:rsidRPr="00022BA7">
        <w:t xml:space="preserve">LCOT for the BES, </w:t>
      </w:r>
      <m:oMath>
        <m:sSubSup>
          <m:sSubSupPr>
            <m:ctrlPr>
              <w:rPr>
                <w:rFonts w:ascii="Cambria Math" w:hAnsi="Cambria Math"/>
              </w:rPr>
            </m:ctrlPr>
          </m:sSubSupPr>
          <m:e>
            <m:r>
              <w:rPr>
                <w:rFonts w:ascii="Cambria Math" w:hAnsi="Cambria Math"/>
              </w:rPr>
              <m:t>LCOT</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BES</m:t>
            </m:r>
          </m:sup>
        </m:sSubSup>
      </m:oMath>
      <w:r w:rsidRPr="00022BA7">
        <w:t xml:space="preserve">, is </w:t>
      </w:r>
      <w:r>
        <w:t xml:space="preserve">the </w:t>
      </w:r>
      <w:r w:rsidRPr="00022BA7">
        <w:t>total cost of</w:t>
      </w:r>
      <w:r>
        <w:t xml:space="preserve"> the</w:t>
      </w:r>
      <w:r w:rsidRPr="00022BA7">
        <w:t xml:space="preserve"> BES over </w:t>
      </w:r>
      <w:r>
        <w:t xml:space="preserve">its total </w:t>
      </w:r>
      <w:r w:rsidRPr="00022BA7">
        <w:t>travel distance</w:t>
      </w:r>
      <w:r>
        <w:t>, and</w:t>
      </w:r>
      <w:r w:rsidRPr="00022BA7">
        <w:t xml:space="preserve"> is calculated by capacity tiers </w:t>
      </w:r>
      <m:oMath>
        <m:r>
          <w:rPr>
            <w:rFonts w:ascii="Cambria Math" w:hAnsi="Cambria Math"/>
          </w:rPr>
          <m:t>pX</m:t>
        </m:r>
      </m:oMath>
      <w:r w:rsidRPr="00022BA7">
        <w:t xml:space="preserve"> using equation (</w:t>
      </w:r>
      <w:r>
        <w:t>49</w:t>
      </w:r>
      <w:r w:rsidRPr="00022BA7">
        <w:t>)</w:t>
      </w:r>
      <w:r>
        <w:t>:</w:t>
      </w:r>
      <w:r w:rsidRPr="00022BA7">
        <w:t xml:space="preserve"> </w:t>
      </w:r>
    </w:p>
    <w:p w14:paraId="30D019DE"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4602F144" w14:textId="77777777" w:rsidTr="00F95C74">
        <w:trPr>
          <w:trHeight w:val="300"/>
        </w:trPr>
        <w:tc>
          <w:tcPr>
            <w:tcW w:w="720" w:type="dxa"/>
          </w:tcPr>
          <w:p w14:paraId="3A7D1A63" w14:textId="77777777" w:rsidR="004F075A" w:rsidRPr="00022BA7" w:rsidRDefault="004F075A" w:rsidP="00F95C74">
            <w:pPr>
              <w:rPr>
                <w:i/>
              </w:rPr>
            </w:pPr>
          </w:p>
        </w:tc>
        <w:tc>
          <w:tcPr>
            <w:tcW w:w="7920" w:type="dxa"/>
          </w:tcPr>
          <w:p w14:paraId="6C6A1F67" w14:textId="77777777" w:rsidR="004F075A" w:rsidRPr="00022BA7" w:rsidRDefault="00590C69" w:rsidP="00F95C74">
            <w:pPr>
              <w:jc w:val="center"/>
              <w:rPr>
                <w:rFonts w:eastAsia="Malgun Gothic" w:cs="Times New Roman"/>
                <w:i/>
              </w:rPr>
            </w:pPr>
            <m:oMathPara>
              <m:oMath>
                <m:sSubSup>
                  <m:sSubSupPr>
                    <m:ctrlPr>
                      <w:rPr>
                        <w:rFonts w:ascii="Cambria Math" w:hAnsi="Cambria Math"/>
                      </w:rPr>
                    </m:ctrlPr>
                  </m:sSubSupPr>
                  <m:e>
                    <m:r>
                      <w:rPr>
                        <w:rFonts w:ascii="Cambria Math" w:hAnsi="Cambria Math"/>
                      </w:rPr>
                      <m:t>LCOT</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BES</m:t>
                    </m:r>
                  </m:sup>
                </m:sSubSup>
                <m:r>
                  <m:rPr>
                    <m:sty m:val="p"/>
                  </m:rPr>
                  <w:rPr>
                    <w:rFonts w:ascii="Cambria Math" w:hAnsi="Cambria Math"/>
                  </w:rPr>
                  <m:t>=</m:t>
                </m:r>
                <m:d>
                  <m:dPr>
                    <m:ctrlPr>
                      <w:rPr>
                        <w:rFonts w:ascii="Cambria Math" w:hAnsi="Cambria Math"/>
                      </w:rPr>
                    </m:ctrlPr>
                  </m:dPr>
                  <m:e>
                    <m:eqArr>
                      <m:eqArrPr>
                        <m:ctrlPr>
                          <w:rPr>
                            <w:rFonts w:ascii="Cambria Math" w:hAnsi="Cambria Math"/>
                            <w:i/>
                          </w:rPr>
                        </m:ctrlPr>
                      </m:eqArrPr>
                      <m:e>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Ch</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CI</m:t>
                            </m:r>
                          </m:sup>
                        </m:sSubSup>
                        <m:r>
                          <w:rPr>
                            <w:rFonts w:ascii="Cambria Math" w:hAnsi="Cambria Math"/>
                          </w:rPr>
                          <m:t>+</m:t>
                        </m:r>
                        <m:ctrlPr>
                          <w:rPr>
                            <w:rFonts w:ascii="Cambria Math" w:hAnsi="Cambria Math"/>
                          </w:rPr>
                        </m:ctrlPr>
                      </m:e>
                      <m:e>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OM,BES</m:t>
                            </m:r>
                          </m:sup>
                        </m:sSubSup>
                        <m: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 xml:space="preserve">, </m:t>
                            </m:r>
                            <m:r>
                              <w:rPr>
                                <w:rFonts w:ascii="Cambria Math" w:hAnsi="Cambria Math"/>
                              </w:rPr>
                              <m:t>pX</m:t>
                            </m:r>
                            <m:r>
                              <m:rPr>
                                <m:sty m:val="p"/>
                              </m:rPr>
                              <w:rPr>
                                <w:rFonts w:ascii="Cambria Math" w:hAnsi="Cambria Math"/>
                              </w:rPr>
                              <m:t xml:space="preserve">, </m:t>
                            </m:r>
                            <m:r>
                              <w:rPr>
                                <w:rFonts w:ascii="Cambria Math" w:hAnsi="Cambria Math"/>
                              </w:rPr>
                              <m:t>sc</m:t>
                            </m:r>
                          </m:sub>
                          <m:sup>
                            <m:r>
                              <w:rPr>
                                <w:rFonts w:ascii="Cambria Math" w:hAnsi="Cambria Math"/>
                              </w:rPr>
                              <m:t>Em</m:t>
                            </m:r>
                            <m:r>
                              <m:rPr>
                                <m:sty m:val="p"/>
                              </m:rPr>
                              <w:rPr>
                                <w:rFonts w:ascii="Cambria Math" w:hAnsi="Cambria Math"/>
                              </w:rPr>
                              <m:t xml:space="preserve">, </m:t>
                            </m:r>
                            <m:r>
                              <w:rPr>
                                <w:rFonts w:ascii="Cambria Math" w:hAnsi="Cambria Math"/>
                              </w:rPr>
                              <m:t>BES</m:t>
                            </m:r>
                          </m:sup>
                        </m:sSubSup>
                        <m:r>
                          <w:rPr>
                            <w:rFonts w:ascii="Cambria Math" w:hAnsi="Cambria Math"/>
                          </w:rPr>
                          <m:t>-</m:t>
                        </m:r>
                        <m:sSubSup>
                          <m:sSubSupPr>
                            <m:ctrlPr>
                              <w:rPr>
                                <w:rFonts w:ascii="Cambria Math" w:hAnsi="Cambria Math"/>
                              </w:rPr>
                            </m:ctrlPr>
                          </m:sSubSupPr>
                          <m:e>
                            <m:r>
                              <w:rPr>
                                <w:rFonts w:ascii="Cambria Math" w:hAnsi="Cambria Math"/>
                              </w:rPr>
                              <m:t>V</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SLB</m:t>
                            </m:r>
                          </m:sup>
                        </m:sSubSup>
                      </m:e>
                    </m:eqArr>
                  </m:e>
                </m:d>
                <m:r>
                  <m:rPr>
                    <m:sty m:val="p"/>
                  </m:rPr>
                  <w:rPr>
                    <w:rFonts w:ascii="Cambria Math" w:hAnsi="Cambria Math"/>
                  </w:rPr>
                  <m:t>⋅</m:t>
                </m:r>
                <m:r>
                  <w:rPr>
                    <w:rFonts w:ascii="Cambria Math" w:hAnsi="Cambria Math"/>
                  </w:rPr>
                  <m:t>T</m:t>
                </m:r>
                <m:sSubSup>
                  <m:sSubSupPr>
                    <m:ctrlPr>
                      <w:rPr>
                        <w:rFonts w:ascii="Cambria Math" w:hAnsi="Cambria Math"/>
                      </w:rPr>
                    </m:ctrlPr>
                  </m:sSubSupPr>
                  <m:e>
                    <m:r>
                      <w:rPr>
                        <w:rFonts w:ascii="Cambria Math" w:hAnsi="Cambria Math"/>
                      </w:rPr>
                      <m:t>D</m:t>
                    </m:r>
                  </m:e>
                  <m:sub>
                    <m:r>
                      <w:rPr>
                        <w:rFonts w:ascii="Cambria Math" w:hAnsi="Cambria Math"/>
                      </w:rPr>
                      <m:t>v</m:t>
                    </m:r>
                    <m:r>
                      <m:rPr>
                        <m:sty m:val="p"/>
                      </m:rPr>
                      <w:rPr>
                        <w:rFonts w:ascii="Cambria Math" w:hAnsi="Cambria Math"/>
                      </w:rPr>
                      <m:t>,</m:t>
                    </m:r>
                    <m:r>
                      <w:rPr>
                        <w:rFonts w:ascii="Cambria Math" w:hAnsi="Cambria Math"/>
                      </w:rPr>
                      <m:t>pX</m:t>
                    </m:r>
                  </m:sub>
                  <m:sup>
                    <m:r>
                      <m:rPr>
                        <m:sty m:val="p"/>
                      </m:rPr>
                      <w:rPr>
                        <w:rFonts w:ascii="Cambria Math" w:hAnsi="Cambria Math"/>
                      </w:rPr>
                      <m:t>-1</m:t>
                    </m:r>
                  </m:sup>
                </m:sSubSup>
              </m:oMath>
            </m:oMathPara>
          </w:p>
        </w:tc>
        <w:tc>
          <w:tcPr>
            <w:tcW w:w="720" w:type="dxa"/>
          </w:tcPr>
          <w:p w14:paraId="3E43B1A6" w14:textId="77777777" w:rsidR="004F075A" w:rsidRPr="00022BA7" w:rsidRDefault="004F075A" w:rsidP="00F95C74">
            <w:pPr>
              <w:jc w:val="right"/>
            </w:pPr>
            <w:r w:rsidRPr="00022BA7">
              <w:t>(</w:t>
            </w:r>
            <w:r>
              <w:t>49</w:t>
            </w:r>
            <w:r w:rsidRPr="00022BA7">
              <w:t>)</w:t>
            </w:r>
          </w:p>
        </w:tc>
      </w:tr>
    </w:tbl>
    <w:p w14:paraId="79EE8DE0" w14:textId="77777777" w:rsidR="004F075A" w:rsidRPr="00022BA7" w:rsidRDefault="004F075A" w:rsidP="004F075A"/>
    <w:p w14:paraId="4FC5B1DA" w14:textId="77777777" w:rsidR="004F075A" w:rsidRPr="00022BA7" w:rsidRDefault="004F075A" w:rsidP="004F075A">
      <w:r w:rsidRPr="00022BA7">
        <w:t>where the total cost includes battery system cost</w:t>
      </w:r>
      <m:oMath>
        <m:r>
          <w:rPr>
            <w:rFonts w:ascii="Cambria Math" w:hAnsi="Cambria Math"/>
          </w:rPr>
          <m:t xml:space="preserve">, </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m:t>
            </m:r>
          </m:sup>
        </m:sSubSup>
      </m:oMath>
      <w:r w:rsidRPr="00022BA7">
        <w:t xml:space="preserve">, charging cost, </w:t>
      </w:r>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Ch</m:t>
            </m:r>
          </m:sup>
        </m:sSubSup>
      </m:oMath>
      <w:r w:rsidRPr="00022BA7">
        <w:t xml:space="preserve">, charging infrastructure </w:t>
      </w:r>
      <w:r>
        <w:t xml:space="preserve"> </w:t>
      </w:r>
      <w:r w:rsidRPr="00022BA7">
        <w:t>cost</w:t>
      </w:r>
      <m:oMath>
        <m:r>
          <w:rPr>
            <w:rFonts w:ascii="Cambria Math" w:hAnsi="Cambria Math"/>
          </w:rPr>
          <m:t xml:space="preserve">, </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CI</m:t>
            </m:r>
          </m:sup>
        </m:sSubSup>
      </m:oMath>
      <w:r w:rsidRPr="00022BA7">
        <w:t xml:space="preserve">, operation and maintenance cost, </w:t>
      </w:r>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OM,BES</m:t>
            </m:r>
          </m:sup>
        </m:sSubSup>
      </m:oMath>
      <w:r w:rsidRPr="00022BA7">
        <w:t>, and emission cost</w:t>
      </w:r>
      <m:oMath>
        <m:r>
          <w:rPr>
            <w:rFonts w:ascii="Cambria Math" w:hAnsi="Cambria Math"/>
          </w:rPr>
          <m:t xml:space="preserve">, </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 xml:space="preserve">, </m:t>
            </m:r>
            <m:r>
              <w:rPr>
                <w:rFonts w:ascii="Cambria Math" w:hAnsi="Cambria Math"/>
              </w:rPr>
              <m:t>pX</m:t>
            </m:r>
            <m:r>
              <m:rPr>
                <m:sty m:val="p"/>
              </m:rPr>
              <w:rPr>
                <w:rFonts w:ascii="Cambria Math" w:hAnsi="Cambria Math"/>
              </w:rPr>
              <m:t xml:space="preserve">, </m:t>
            </m:r>
            <m:r>
              <w:rPr>
                <w:rFonts w:ascii="Cambria Math" w:hAnsi="Cambria Math"/>
              </w:rPr>
              <m:t>sc</m:t>
            </m:r>
          </m:sub>
          <m:sup>
            <m:r>
              <w:rPr>
                <w:rFonts w:ascii="Cambria Math" w:hAnsi="Cambria Math"/>
              </w:rPr>
              <m:t>Em</m:t>
            </m:r>
            <m:r>
              <m:rPr>
                <m:sty m:val="p"/>
              </m:rPr>
              <w:rPr>
                <w:rFonts w:ascii="Cambria Math" w:hAnsi="Cambria Math"/>
              </w:rPr>
              <m:t xml:space="preserve">, </m:t>
            </m:r>
            <m:r>
              <w:rPr>
                <w:rFonts w:ascii="Cambria Math" w:hAnsi="Cambria Math"/>
              </w:rPr>
              <m:t>BES</m:t>
            </m:r>
          </m:sup>
        </m:sSubSup>
      </m:oMath>
      <w:r>
        <w:t>,</w:t>
      </w:r>
      <w:r w:rsidRPr="00022BA7">
        <w:t xml:space="preserve"> while </w:t>
      </w:r>
      <w:r w:rsidRPr="00022BA7">
        <w:rPr>
          <w:lang w:eastAsia="ko-KR"/>
        </w:rPr>
        <w:t xml:space="preserve">reimbursing </w:t>
      </w:r>
      <w:r>
        <w:rPr>
          <w:lang w:eastAsia="ko-KR"/>
        </w:rPr>
        <w:t>for SLB</w:t>
      </w:r>
      <w:r w:rsidRPr="00022BA7">
        <w:rPr>
          <w:lang w:eastAsia="ko-KR"/>
        </w:rPr>
        <w:t xml:space="preserve"> value, </w:t>
      </w:r>
      <m:oMath>
        <m:sSubSup>
          <m:sSubSupPr>
            <m:ctrlPr>
              <w:rPr>
                <w:rFonts w:ascii="Cambria Math" w:hAnsi="Cambria Math"/>
              </w:rPr>
            </m:ctrlPr>
          </m:sSubSupPr>
          <m:e>
            <m:r>
              <w:rPr>
                <w:rFonts w:ascii="Cambria Math" w:hAnsi="Cambria Math"/>
              </w:rPr>
              <m:t>V</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SLB</m:t>
            </m:r>
          </m:sup>
        </m:sSubSup>
      </m:oMath>
      <w:r w:rsidRPr="00022BA7">
        <w:t>. Each cost is calculated according to equations (</w:t>
      </w:r>
      <w:r>
        <w:t>50</w:t>
      </w:r>
      <w:r w:rsidRPr="00022BA7">
        <w:t>) through (</w:t>
      </w:r>
      <w:r>
        <w:t>56</w:t>
      </w:r>
      <w:r w:rsidRPr="00022BA7">
        <w:t>)</w:t>
      </w:r>
      <w:r>
        <w:t>:</w:t>
      </w:r>
      <w:r w:rsidRPr="00022BA7">
        <w:t xml:space="preserve"> </w:t>
      </w:r>
    </w:p>
    <w:p w14:paraId="6E44CC30"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8"/>
        <w:gridCol w:w="7891"/>
        <w:gridCol w:w="751"/>
      </w:tblGrid>
      <w:tr w:rsidR="004F075A" w:rsidRPr="00022BA7" w14:paraId="6FA3C843" w14:textId="77777777" w:rsidTr="00F95C74">
        <w:trPr>
          <w:trHeight w:val="300"/>
        </w:trPr>
        <w:tc>
          <w:tcPr>
            <w:tcW w:w="718" w:type="dxa"/>
          </w:tcPr>
          <w:p w14:paraId="605A3F07" w14:textId="77777777" w:rsidR="004F075A" w:rsidRPr="00022BA7" w:rsidRDefault="004F075A" w:rsidP="00F95C74">
            <w:pPr>
              <w:rPr>
                <w:i/>
              </w:rPr>
            </w:pPr>
          </w:p>
        </w:tc>
        <w:tc>
          <w:tcPr>
            <w:tcW w:w="7891" w:type="dxa"/>
          </w:tcPr>
          <w:p w14:paraId="0130D779"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m:t>
                    </m:r>
                  </m:sup>
                </m:sSubSup>
                <m:r>
                  <m:rPr>
                    <m:sty m:val="p"/>
                  </m:rPr>
                  <w:rPr>
                    <w:rFonts w:ascii="Cambria Math" w:hAnsi="Cambria Math"/>
                  </w:rPr>
                  <m:t>=</m:t>
                </m:r>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r>
                  <m:rPr>
                    <m:sty m:val="p"/>
                  </m:rPr>
                  <w:rPr>
                    <w:rFonts w:ascii="Cambria Math" w:hAnsi="Cambria Math"/>
                  </w:rPr>
                  <m:t>⋅</m:t>
                </m:r>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B</m:t>
                    </m:r>
                  </m:sup>
                </m:sSubSup>
                <m:r>
                  <m:rPr>
                    <m:sty m:val="p"/>
                  </m:rPr>
                  <w:rPr>
                    <w:rFonts w:ascii="Cambria Math" w:hAnsi="Cambria Math"/>
                  </w:rPr>
                  <m:t>⋅</m:t>
                </m:r>
                <m:sSubSup>
                  <m:sSubSupPr>
                    <m:ctrlPr>
                      <w:rPr>
                        <w:rFonts w:ascii="Cambria Math" w:hAnsi="Cambria Math"/>
                        <w:i/>
                      </w:rPr>
                    </m:ctrlPr>
                  </m:sSubSupPr>
                  <m:e>
                    <m:r>
                      <w:rPr>
                        <w:rFonts w:ascii="Cambria Math" w:hAnsi="Cambria Math"/>
                      </w:rPr>
                      <m:t>F</m:t>
                    </m:r>
                  </m:e>
                  <m:sub>
                    <m:r>
                      <w:rPr>
                        <w:rFonts w:ascii="Cambria Math" w:hAnsi="Cambria Math"/>
                      </w:rPr>
                      <m:t>v,pX</m:t>
                    </m:r>
                  </m:sub>
                  <m:sup>
                    <m:r>
                      <w:rPr>
                        <w:rFonts w:ascii="Cambria Math" w:hAnsi="Cambria Math"/>
                      </w:rPr>
                      <m:t>Ann</m:t>
                    </m:r>
                  </m:sup>
                </m:sSubSup>
              </m:oMath>
            </m:oMathPara>
          </w:p>
        </w:tc>
        <w:tc>
          <w:tcPr>
            <w:tcW w:w="751" w:type="dxa"/>
          </w:tcPr>
          <w:p w14:paraId="49C6EDF6" w14:textId="77777777" w:rsidR="004F075A" w:rsidRPr="00022BA7" w:rsidRDefault="004F075A" w:rsidP="00F95C74">
            <w:pPr>
              <w:jc w:val="right"/>
            </w:pPr>
            <w:r w:rsidRPr="00022BA7">
              <w:t>(</w:t>
            </w:r>
            <w:r>
              <w:t>50</w:t>
            </w:r>
            <w:r w:rsidRPr="00022BA7">
              <w:t>)</w:t>
            </w:r>
          </w:p>
        </w:tc>
      </w:tr>
      <w:tr w:rsidR="004F075A" w:rsidRPr="00022BA7" w14:paraId="6F42A8A3" w14:textId="77777777" w:rsidTr="00F95C74">
        <w:trPr>
          <w:trHeight w:val="300"/>
        </w:trPr>
        <w:tc>
          <w:tcPr>
            <w:tcW w:w="718" w:type="dxa"/>
          </w:tcPr>
          <w:p w14:paraId="7946AC18" w14:textId="77777777" w:rsidR="004F075A" w:rsidRPr="00022BA7" w:rsidRDefault="004F075A" w:rsidP="00F95C74">
            <w:pPr>
              <w:rPr>
                <w:i/>
              </w:rPr>
            </w:pPr>
          </w:p>
        </w:tc>
        <w:tc>
          <w:tcPr>
            <w:tcW w:w="7891" w:type="dxa"/>
          </w:tcPr>
          <w:p w14:paraId="27451B5E" w14:textId="77777777" w:rsidR="004F075A" w:rsidRDefault="00590C69" w:rsidP="00F95C74">
            <w:pPr>
              <w:rPr>
                <w:rFonts w:eastAsia="Malgun Gothic" w:cs="Times New Roman"/>
                <w:i/>
              </w:rPr>
            </w:pPr>
            <m:oMathPara>
              <m:oMath>
                <m:sSubSup>
                  <m:sSubSupPr>
                    <m:ctrlPr>
                      <w:rPr>
                        <w:rFonts w:ascii="Cambria Math" w:hAnsi="Cambria Math"/>
                        <w:i/>
                      </w:rPr>
                    </m:ctrlPr>
                  </m:sSubSupPr>
                  <m:e>
                    <m:r>
                      <w:rPr>
                        <w:rFonts w:ascii="Cambria Math" w:hAnsi="Cambria Math"/>
                      </w:rPr>
                      <m:t>F</m:t>
                    </m:r>
                  </m:e>
                  <m:sub>
                    <m:r>
                      <w:rPr>
                        <w:rFonts w:ascii="Cambria Math" w:hAnsi="Cambria Math"/>
                      </w:rPr>
                      <m:t>v,pX</m:t>
                    </m:r>
                  </m:sub>
                  <m:sup>
                    <m:r>
                      <w:rPr>
                        <w:rFonts w:ascii="Cambria Math" w:hAnsi="Cambria Math"/>
                      </w:rPr>
                      <m:t>Ann</m:t>
                    </m:r>
                  </m:sup>
                </m:sSub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D</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D</m:t>
                            </m:r>
                          </m:sup>
                        </m:sSup>
                      </m:e>
                    </m:d>
                  </m:e>
                  <m:sup>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m:t>
                        </m:r>
                        <m:ctrlPr>
                          <w:rPr>
                            <w:rFonts w:ascii="Cambria Math" w:eastAsia="Cambria Math" w:hAnsi="Cambria Math" w:cs="Cambria Math"/>
                            <w:i/>
                          </w:rPr>
                        </m:ctrlPr>
                      </m:sub>
                      <m:sup>
                        <m:r>
                          <w:rPr>
                            <w:rFonts w:ascii="Cambria Math" w:eastAsia="Cambria Math" w:hAnsi="Cambria Math" w:cs="Cambria Math"/>
                          </w:rPr>
                          <m:t>B</m:t>
                        </m:r>
                      </m:sup>
                    </m:sSubSup>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D</m:t>
                            </m:r>
                          </m:sup>
                        </m:sSup>
                      </m:e>
                    </m:d>
                  </m:e>
                  <m:sup>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m:t>
                        </m:r>
                        <m:ctrlPr>
                          <w:rPr>
                            <w:rFonts w:ascii="Cambria Math" w:eastAsia="Cambria Math" w:hAnsi="Cambria Math" w:cs="Cambria Math"/>
                            <w:i/>
                          </w:rPr>
                        </m:ctrlPr>
                      </m:sub>
                      <m:sup>
                        <m:r>
                          <w:rPr>
                            <w:rFonts w:ascii="Cambria Math" w:eastAsia="Cambria Math" w:hAnsi="Cambria Math" w:cs="Cambria Math"/>
                          </w:rPr>
                          <m:t>B</m:t>
                        </m:r>
                      </m:sup>
                    </m:sSubSup>
                  </m:sup>
                </m:sSup>
                <m:r>
                  <w:rPr>
                    <w:rFonts w:ascii="Cambria Math" w:hAnsi="Cambria Math"/>
                  </w:rPr>
                  <m:t>-1)</m:t>
                </m:r>
              </m:oMath>
            </m:oMathPara>
          </w:p>
        </w:tc>
        <w:tc>
          <w:tcPr>
            <w:tcW w:w="751" w:type="dxa"/>
          </w:tcPr>
          <w:p w14:paraId="2137A85C" w14:textId="77777777" w:rsidR="004F075A" w:rsidRPr="00022BA7" w:rsidRDefault="004F075A" w:rsidP="00F95C74">
            <w:pPr>
              <w:jc w:val="right"/>
            </w:pPr>
            <w:r w:rsidRPr="00022BA7">
              <w:t>(</w:t>
            </w:r>
            <w:r>
              <w:t>51</w:t>
            </w:r>
            <w:r w:rsidRPr="00022BA7">
              <w:t>)</w:t>
            </w:r>
          </w:p>
        </w:tc>
      </w:tr>
      <w:tr w:rsidR="004F075A" w:rsidRPr="00022BA7" w14:paraId="20D5ED52" w14:textId="77777777" w:rsidTr="00F95C74">
        <w:trPr>
          <w:trHeight w:val="300"/>
        </w:trPr>
        <w:tc>
          <w:tcPr>
            <w:tcW w:w="718" w:type="dxa"/>
          </w:tcPr>
          <w:p w14:paraId="6B4C5F89" w14:textId="77777777" w:rsidR="004F075A" w:rsidRPr="00022BA7" w:rsidRDefault="004F075A" w:rsidP="00F95C74">
            <w:pPr>
              <w:rPr>
                <w:i/>
              </w:rPr>
            </w:pPr>
          </w:p>
        </w:tc>
        <w:tc>
          <w:tcPr>
            <w:tcW w:w="7891" w:type="dxa"/>
          </w:tcPr>
          <w:p w14:paraId="6BFA0161"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Ch</m:t>
                    </m:r>
                  </m:sup>
                </m:sSubSup>
                <m:r>
                  <m:rPr>
                    <m:sty m:val="p"/>
                  </m:rPr>
                  <w:rPr>
                    <w:rFonts w:ascii="Cambria Math" w:hAnsi="Cambria Math"/>
                  </w:rPr>
                  <m:t>=</m:t>
                </m:r>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r>
                  <m:rPr>
                    <m:sty m:val="p"/>
                  </m:rPr>
                  <w:rPr>
                    <w:rFonts w:ascii="Cambria Math" w:hAnsi="Cambria Math"/>
                  </w:rPr>
                  <m:t>⋅</m:t>
                </m:r>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Ch</m:t>
                    </m:r>
                  </m:sup>
                </m:sSubSup>
                <m:r>
                  <m:rPr>
                    <m:sty m:val="p"/>
                  </m:rPr>
                  <w:rPr>
                    <w:rFonts w:ascii="Cambria Math" w:hAnsi="Cambria Math"/>
                  </w:rPr>
                  <m:t>⋅</m:t>
                </m:r>
                <m:sSubSup>
                  <m:sSubSupPr>
                    <m:ctrlPr>
                      <w:rPr>
                        <w:rFonts w:ascii="Cambria Math" w:hAnsi="Cambria Math"/>
                      </w:rPr>
                    </m:ctrlPr>
                  </m:sSubSupPr>
                  <m:e>
                    <m:r>
                      <w:rPr>
                        <w:rFonts w:ascii="Cambria Math" w:hAnsi="Cambria Math"/>
                      </w:rPr>
                      <m:t>η</m:t>
                    </m:r>
                  </m:e>
                  <m:sub>
                    <m:r>
                      <w:rPr>
                        <w:rFonts w:ascii="Cambria Math" w:hAnsi="Cambria Math"/>
                      </w:rPr>
                      <m:t>SB</m:t>
                    </m:r>
                  </m:sub>
                  <m:sup>
                    <m:r>
                      <m:rPr>
                        <m:sty m:val="p"/>
                      </m:rPr>
                      <w:rPr>
                        <w:rFonts w:ascii="Cambria Math" w:hAnsi="Cambria Math"/>
                      </w:rPr>
                      <m:t>-1</m:t>
                    </m:r>
                  </m:sup>
                </m:sSubSup>
              </m:oMath>
            </m:oMathPara>
          </w:p>
        </w:tc>
        <w:tc>
          <w:tcPr>
            <w:tcW w:w="751" w:type="dxa"/>
          </w:tcPr>
          <w:p w14:paraId="7113D4C1" w14:textId="77777777" w:rsidR="004F075A" w:rsidRPr="00022BA7" w:rsidRDefault="004F075A" w:rsidP="00F95C74">
            <w:pPr>
              <w:jc w:val="right"/>
            </w:pPr>
            <w:r w:rsidRPr="00022BA7">
              <w:t>(</w:t>
            </w:r>
            <w:r>
              <w:t>52</w:t>
            </w:r>
            <w:r w:rsidRPr="00022BA7">
              <w:t>)</w:t>
            </w:r>
          </w:p>
        </w:tc>
      </w:tr>
      <w:tr w:rsidR="004F075A" w:rsidRPr="00022BA7" w14:paraId="4778C145" w14:textId="77777777" w:rsidTr="00F95C74">
        <w:trPr>
          <w:trHeight w:val="300"/>
        </w:trPr>
        <w:tc>
          <w:tcPr>
            <w:tcW w:w="718" w:type="dxa"/>
          </w:tcPr>
          <w:p w14:paraId="49FE2A58" w14:textId="77777777" w:rsidR="004F075A" w:rsidRPr="00022BA7" w:rsidRDefault="004F075A" w:rsidP="00F95C74">
            <w:pPr>
              <w:rPr>
                <w:i/>
              </w:rPr>
            </w:pPr>
          </w:p>
        </w:tc>
        <w:tc>
          <w:tcPr>
            <w:tcW w:w="7891" w:type="dxa"/>
          </w:tcPr>
          <w:p w14:paraId="36AB5DB7"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CI</m:t>
                    </m:r>
                  </m:sup>
                </m:sSubSup>
                <m:r>
                  <m:rPr>
                    <m:sty m:val="p"/>
                  </m:rPr>
                  <w:rPr>
                    <w:rFonts w:ascii="Cambria Math" w:hAnsi="Cambria Math"/>
                  </w:rPr>
                  <m:t>=</m:t>
                </m:r>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r>
                  <m:rPr>
                    <m:sty m:val="p"/>
                  </m:rPr>
                  <w:rPr>
                    <w:rFonts w:ascii="Cambria Math" w:hAnsi="Cambria Math"/>
                  </w:rPr>
                  <m:t>⋅</m:t>
                </m:r>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CI</m:t>
                    </m:r>
                  </m:sup>
                </m:sSubSup>
                <m:r>
                  <m:rPr>
                    <m:sty m:val="p"/>
                  </m:rPr>
                  <w:rPr>
                    <w:rFonts w:ascii="Cambria Math" w:hAnsi="Cambria Math"/>
                  </w:rPr>
                  <m:t>⋅</m:t>
                </m:r>
                <m:sSubSup>
                  <m:sSubSupPr>
                    <m:ctrlPr>
                      <w:rPr>
                        <w:rFonts w:ascii="Cambria Math" w:hAnsi="Cambria Math"/>
                      </w:rPr>
                    </m:ctrlPr>
                  </m:sSubSupPr>
                  <m:e>
                    <m:r>
                      <w:rPr>
                        <w:rFonts w:ascii="Cambria Math" w:hAnsi="Cambria Math"/>
                      </w:rPr>
                      <m:t>η</m:t>
                    </m:r>
                  </m:e>
                  <m:sub>
                    <m:r>
                      <w:rPr>
                        <w:rFonts w:ascii="Cambria Math" w:hAnsi="Cambria Math"/>
                      </w:rPr>
                      <m:t>SB</m:t>
                    </m:r>
                  </m:sub>
                  <m:sup>
                    <m:r>
                      <m:rPr>
                        <m:sty m:val="p"/>
                      </m:rPr>
                      <w:rPr>
                        <w:rFonts w:ascii="Cambria Math" w:hAnsi="Cambria Math"/>
                      </w:rPr>
                      <m:t>-1</m:t>
                    </m:r>
                  </m:sup>
                </m:sSubSup>
              </m:oMath>
            </m:oMathPara>
          </w:p>
        </w:tc>
        <w:tc>
          <w:tcPr>
            <w:tcW w:w="751" w:type="dxa"/>
          </w:tcPr>
          <w:p w14:paraId="673716F6" w14:textId="77777777" w:rsidR="004F075A" w:rsidRPr="00022BA7" w:rsidRDefault="004F075A" w:rsidP="00F95C74">
            <w:pPr>
              <w:jc w:val="right"/>
            </w:pPr>
            <w:r w:rsidRPr="00022BA7">
              <w:t>(</w:t>
            </w:r>
            <w:r>
              <w:t>53</w:t>
            </w:r>
            <w:r w:rsidRPr="00022BA7">
              <w:t>)</w:t>
            </w:r>
          </w:p>
        </w:tc>
      </w:tr>
      <w:tr w:rsidR="004F075A" w:rsidRPr="00022BA7" w14:paraId="6F15C41D" w14:textId="77777777" w:rsidTr="00F95C74">
        <w:trPr>
          <w:trHeight w:val="300"/>
        </w:trPr>
        <w:tc>
          <w:tcPr>
            <w:tcW w:w="718" w:type="dxa"/>
          </w:tcPr>
          <w:p w14:paraId="7E9B4F1A" w14:textId="77777777" w:rsidR="004F075A" w:rsidRPr="00022BA7" w:rsidRDefault="004F075A" w:rsidP="00F95C74">
            <w:pPr>
              <w:rPr>
                <w:i/>
              </w:rPr>
            </w:pPr>
          </w:p>
        </w:tc>
        <w:tc>
          <w:tcPr>
            <w:tcW w:w="7891" w:type="dxa"/>
          </w:tcPr>
          <w:p w14:paraId="27368CE3"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OM,BES</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sc</m:t>
                    </m:r>
                  </m:sub>
                  <m:sup>
                    <m:r>
                      <w:rPr>
                        <w:rFonts w:ascii="Cambria Math" w:hAnsi="Cambria Math"/>
                      </w:rPr>
                      <m:t>OM,ICE</m:t>
                    </m:r>
                  </m:sup>
                </m:sSubSup>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v,pX</m:t>
                    </m:r>
                  </m:sub>
                  <m:sup>
                    <m:r>
                      <w:rPr>
                        <w:rFonts w:ascii="Cambria Math" w:hAnsi="Cambria Math"/>
                      </w:rPr>
                      <m:t>Cov</m:t>
                    </m:r>
                  </m:sup>
                </m:sSubSup>
                <m:r>
                  <w:rPr>
                    <w:rFonts w:ascii="Cambria Math" w:hAnsi="Cambria Math"/>
                  </w:rPr>
                  <m:t>⋅</m:t>
                </m:r>
                <m:r>
                  <m:rPr>
                    <m:sty m:val="p"/>
                  </m:rPr>
                  <w:rPr>
                    <w:rFonts w:ascii="Cambria Math" w:hAnsi="Cambria Math"/>
                  </w:rPr>
                  <m:t xml:space="preserve"> </m:t>
                </m:r>
                <m:sSubSup>
                  <m:sSubSupPr>
                    <m:ctrlPr>
                      <w:rPr>
                        <w:rFonts w:ascii="Cambria Math" w:hAnsi="Cambria Math"/>
                        <w:i/>
                      </w:rPr>
                    </m:ctrlPr>
                  </m:sSubSupPr>
                  <m:e>
                    <m:r>
                      <w:rPr>
                        <w:rFonts w:ascii="Cambria Math" w:hAnsi="Cambria Math"/>
                      </w:rPr>
                      <m:t>F</m:t>
                    </m:r>
                    <m:ctrlPr>
                      <w:rPr>
                        <w:rFonts w:ascii="Cambria Math" w:hAnsi="Cambria Math"/>
                      </w:rPr>
                    </m:ctrlPr>
                  </m:e>
                  <m:sub>
                    <m:r>
                      <w:rPr>
                        <w:rFonts w:ascii="Cambria Math" w:hAnsi="Cambria Math"/>
                      </w:rPr>
                      <m:t>BES</m:t>
                    </m:r>
                  </m:sub>
                  <m:sup>
                    <m:r>
                      <w:rPr>
                        <w:rFonts w:ascii="Cambria Math" w:hAnsi="Cambria Math"/>
                      </w:rPr>
                      <m:t>OM</m:t>
                    </m:r>
                  </m:sup>
                </m:sSubSup>
              </m:oMath>
            </m:oMathPara>
          </w:p>
        </w:tc>
        <w:tc>
          <w:tcPr>
            <w:tcW w:w="751" w:type="dxa"/>
          </w:tcPr>
          <w:p w14:paraId="72C79E6E" w14:textId="77777777" w:rsidR="004F075A" w:rsidRPr="00022BA7" w:rsidRDefault="004F075A" w:rsidP="00F95C74">
            <w:pPr>
              <w:jc w:val="right"/>
            </w:pPr>
            <w:r w:rsidRPr="00022BA7">
              <w:t>(</w:t>
            </w:r>
            <w:r>
              <w:t>54</w:t>
            </w:r>
            <w:r w:rsidRPr="00022BA7">
              <w:t>)</w:t>
            </w:r>
          </w:p>
        </w:tc>
      </w:tr>
      <w:tr w:rsidR="004F075A" w:rsidRPr="00022BA7" w14:paraId="7C5E8850" w14:textId="77777777" w:rsidTr="00F95C74">
        <w:trPr>
          <w:trHeight w:val="300"/>
        </w:trPr>
        <w:tc>
          <w:tcPr>
            <w:tcW w:w="718" w:type="dxa"/>
          </w:tcPr>
          <w:p w14:paraId="31118AF1" w14:textId="77777777" w:rsidR="004F075A" w:rsidRPr="00022BA7" w:rsidRDefault="004F075A" w:rsidP="00F95C74">
            <w:pPr>
              <w:rPr>
                <w:i/>
              </w:rPr>
            </w:pPr>
          </w:p>
        </w:tc>
        <w:tc>
          <w:tcPr>
            <w:tcW w:w="7891" w:type="dxa"/>
          </w:tcPr>
          <w:p w14:paraId="090C0384"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 xml:space="preserve">, </m:t>
                    </m:r>
                    <m:r>
                      <w:rPr>
                        <w:rFonts w:ascii="Cambria Math" w:hAnsi="Cambria Math"/>
                      </w:rPr>
                      <m:t>pX</m:t>
                    </m:r>
                    <m:r>
                      <m:rPr>
                        <m:sty m:val="p"/>
                      </m:rPr>
                      <w:rPr>
                        <w:rFonts w:ascii="Cambria Math" w:hAnsi="Cambria Math"/>
                      </w:rPr>
                      <m:t xml:space="preserve">, </m:t>
                    </m:r>
                    <m:r>
                      <w:rPr>
                        <w:rFonts w:ascii="Cambria Math" w:hAnsi="Cambria Math"/>
                      </w:rPr>
                      <m:t>sc</m:t>
                    </m:r>
                  </m:sub>
                  <m:sup>
                    <m:r>
                      <w:rPr>
                        <w:rFonts w:ascii="Cambria Math" w:hAnsi="Cambria Math"/>
                      </w:rPr>
                      <m:t>Em</m:t>
                    </m:r>
                    <m:r>
                      <m:rPr>
                        <m:sty m:val="p"/>
                      </m:rPr>
                      <w:rPr>
                        <w:rFonts w:ascii="Cambria Math" w:hAnsi="Cambria Math"/>
                      </w:rPr>
                      <m:t xml:space="preserve">, </m:t>
                    </m:r>
                    <m:r>
                      <w:rPr>
                        <w:rFonts w:ascii="Cambria Math" w:hAnsi="Cambria Math"/>
                      </w:rPr>
                      <m:t>BES</m:t>
                    </m:r>
                  </m:sup>
                </m:sSubSup>
                <m:r>
                  <m:rPr>
                    <m:sty m:val="p"/>
                  </m:rPr>
                  <w:rPr>
                    <w:rFonts w:ascii="Cambria Math" w:hAnsi="Cambria Math"/>
                  </w:rPr>
                  <m:t>=</m:t>
                </m:r>
                <m:sSubSup>
                  <m:sSubSupPr>
                    <m:ctrlPr>
                      <w:rPr>
                        <w:rFonts w:ascii="Cambria Math" w:hAnsi="Cambria Math"/>
                      </w:rPr>
                    </m:ctrlPr>
                  </m:sSubSupPr>
                  <m:e>
                    <m:r>
                      <w:rPr>
                        <w:rFonts w:ascii="Cambria Math" w:hAnsi="Cambria Math"/>
                      </w:rPr>
                      <m:t>EM</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m:t>
                    </m:r>
                    <m:r>
                      <m:rPr>
                        <m:sty m:val="p"/>
                      </m:rPr>
                      <w:rPr>
                        <w:rFonts w:ascii="Cambria Math" w:hAnsi="Cambria Math"/>
                      </w:rPr>
                      <m:t xml:space="preserve">, </m:t>
                    </m:r>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BES</m:t>
                    </m:r>
                  </m:sup>
                </m:sSubSup>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e,sc</m:t>
                    </m:r>
                  </m:sub>
                </m:sSub>
              </m:oMath>
            </m:oMathPara>
          </w:p>
        </w:tc>
        <w:tc>
          <w:tcPr>
            <w:tcW w:w="751" w:type="dxa"/>
          </w:tcPr>
          <w:p w14:paraId="2CEF88C4" w14:textId="77777777" w:rsidR="004F075A" w:rsidRPr="00022BA7" w:rsidRDefault="004F075A" w:rsidP="00F95C74">
            <w:pPr>
              <w:jc w:val="right"/>
            </w:pPr>
            <w:r w:rsidRPr="00022BA7">
              <w:t>(</w:t>
            </w:r>
            <w:r>
              <w:t>55</w:t>
            </w:r>
            <w:r w:rsidRPr="00022BA7">
              <w:t>)</w:t>
            </w:r>
          </w:p>
        </w:tc>
      </w:tr>
      <w:tr w:rsidR="004F075A" w:rsidRPr="00022BA7" w14:paraId="5FEB95E8" w14:textId="77777777" w:rsidTr="00F95C74">
        <w:trPr>
          <w:trHeight w:val="300"/>
        </w:trPr>
        <w:tc>
          <w:tcPr>
            <w:tcW w:w="718" w:type="dxa"/>
          </w:tcPr>
          <w:p w14:paraId="51A05F58" w14:textId="77777777" w:rsidR="004F075A" w:rsidRPr="00022BA7" w:rsidRDefault="004F075A" w:rsidP="00F95C74">
            <w:pPr>
              <w:rPr>
                <w:i/>
              </w:rPr>
            </w:pPr>
          </w:p>
        </w:tc>
        <w:tc>
          <w:tcPr>
            <w:tcW w:w="7891" w:type="dxa"/>
          </w:tcPr>
          <w:p w14:paraId="10769D98" w14:textId="77777777" w:rsidR="004F075A" w:rsidRPr="00022BA7" w:rsidRDefault="00590C69" w:rsidP="00F95C74">
            <w:pPr>
              <w:rPr>
                <w:rFonts w:eastAsia="Malgun Gothic" w:cs="Times New Roman"/>
                <w:i/>
                <w:iCs/>
              </w:rPr>
            </w:pPr>
            <m:oMathPara>
              <m:oMath>
                <m:sSubSup>
                  <m:sSubSupPr>
                    <m:ctrlPr>
                      <w:rPr>
                        <w:rFonts w:ascii="Cambria Math" w:hAnsi="Cambria Math"/>
                      </w:rPr>
                    </m:ctrlPr>
                  </m:sSubSupPr>
                  <m:e>
                    <m:r>
                      <w:rPr>
                        <w:rFonts w:ascii="Cambria Math" w:hAnsi="Cambria Math"/>
                      </w:rPr>
                      <m:t>V</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SLB</m:t>
                    </m:r>
                  </m:sup>
                </m:sSubSup>
                <m:r>
                  <m:rPr>
                    <m:sty m:val="p"/>
                  </m:rPr>
                  <w:rPr>
                    <w:rFonts w:ascii="Cambria Math" w:hAnsi="Cambria Math"/>
                  </w:rPr>
                  <m:t>=</m:t>
                </m:r>
                <m:sSubSup>
                  <m:sSubSupPr>
                    <m:ctrlPr>
                      <w:rPr>
                        <w:rFonts w:ascii="Cambria Math" w:hAnsi="Cambria Math"/>
                      </w:rPr>
                    </m:ctrlPr>
                  </m:sSubSupPr>
                  <m:e>
                    <m:r>
                      <w:rPr>
                        <w:rFonts w:ascii="Cambria Math" w:hAnsi="Cambria Math"/>
                      </w:rPr>
                      <m:t>C</m:t>
                    </m:r>
                  </m:e>
                  <m:sub>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m:t>
                    </m:r>
                  </m:sup>
                </m:sSubSup>
                <m:r>
                  <w:rPr>
                    <w:rFonts w:ascii="Cambria Math" w:hAnsi="Cambria Math"/>
                  </w:rPr>
                  <m:t>⋅</m:t>
                </m:r>
                <m:sSup>
                  <m:sSupPr>
                    <m:ctrlPr>
                      <w:rPr>
                        <w:rFonts w:ascii="Cambria Math" w:hAnsi="Cambria Math"/>
                      </w:rPr>
                    </m:ctrlPr>
                  </m:sSupPr>
                  <m:e>
                    <m:d>
                      <m:dPr>
                        <m:ctrlPr>
                          <w:rPr>
                            <w:rFonts w:ascii="Cambria Math" w:hAnsi="Cambria Math"/>
                          </w:rPr>
                        </m:ctrlPr>
                      </m:dPr>
                      <m:e>
                        <m:r>
                          <m:rPr>
                            <m:sty m:val="p"/>
                          </m:rPr>
                          <w:rPr>
                            <w:rFonts w:ascii="Cambria Math" w:hAnsi="Cambria Math"/>
                          </w:rPr>
                          <m:t xml:space="preserve">1- </m:t>
                        </m:r>
                        <m:sSup>
                          <m:sSupPr>
                            <m:ctrlPr>
                              <w:rPr>
                                <w:rFonts w:ascii="Cambria Math" w:hAnsi="Cambria Math"/>
                                <w:i/>
                              </w:rPr>
                            </m:ctrlPr>
                          </m:sSupPr>
                          <m:e>
                            <m:r>
                              <w:rPr>
                                <w:rFonts w:ascii="Cambria Math" w:hAnsi="Cambria Math"/>
                              </w:rPr>
                              <m:t>r</m:t>
                            </m:r>
                            <m:ctrlPr>
                              <w:rPr>
                                <w:rFonts w:ascii="Cambria Math" w:hAnsi="Cambria Math"/>
                              </w:rPr>
                            </m:ctrlPr>
                          </m:e>
                          <m:sup>
                            <m:r>
                              <w:rPr>
                                <w:rFonts w:ascii="Cambria Math" w:hAnsi="Cambria Math"/>
                              </w:rPr>
                              <m:t>B</m:t>
                            </m:r>
                          </m:sup>
                        </m:sSup>
                      </m:e>
                    </m:d>
                  </m:e>
                  <m:sup>
                    <m:sSubSup>
                      <m:sSubSupPr>
                        <m:ctrlPr>
                          <w:rPr>
                            <w:rFonts w:ascii="Cambria Math" w:eastAsia="Cambria Math" w:hAnsi="Cambria Math" w:cs="Cambria Math"/>
                            <w:bCs/>
                            <w:i/>
                          </w:rPr>
                        </m:ctrlPr>
                      </m:sSubSupPr>
                      <m:e>
                        <m:r>
                          <w:rPr>
                            <w:rFonts w:ascii="Cambria Math" w:eastAsia="Cambria Math" w:hAnsi="Cambria Math" w:cs="Cambria Math"/>
                          </w:rPr>
                          <m:t>LT</m:t>
                        </m:r>
                        <m:ctrlPr>
                          <w:rPr>
                            <w:rFonts w:ascii="Cambria Math" w:eastAsia="Cambria Math" w:hAnsi="Cambria Math" w:cs="Cambria Math"/>
                            <w:i/>
                          </w:rPr>
                        </m:ctrlPr>
                      </m:e>
                      <m:sub>
                        <m:r>
                          <w:rPr>
                            <w:rFonts w:ascii="Cambria Math" w:eastAsia="Cambria Math" w:hAnsi="Cambria Math" w:cs="Cambria Math"/>
                          </w:rPr>
                          <m:t>v</m:t>
                        </m:r>
                        <m:ctrlPr>
                          <w:rPr>
                            <w:rFonts w:ascii="Cambria Math" w:eastAsia="Cambria Math" w:hAnsi="Cambria Math" w:cs="Cambria Math"/>
                            <w:i/>
                          </w:rPr>
                        </m:ctrlPr>
                      </m:sub>
                      <m:sup>
                        <m:r>
                          <w:rPr>
                            <w:rFonts w:ascii="Cambria Math" w:eastAsia="Cambria Math" w:hAnsi="Cambria Math" w:cs="Cambria Math"/>
                          </w:rPr>
                          <m:t>B</m:t>
                        </m:r>
                      </m:sup>
                    </m:sSubSup>
                  </m:sup>
                </m:sSup>
                <m:r>
                  <w:rPr>
                    <w:rFonts w:ascii="Cambria Math" w:hAnsi="Cambria Math"/>
                  </w:rPr>
                  <m:t>⋅</m:t>
                </m:r>
                <m:sSup>
                  <m:sSupPr>
                    <m:ctrlPr>
                      <w:rPr>
                        <w:rFonts w:ascii="Cambria Math" w:hAnsi="Cambria Math"/>
                        <w:i/>
                      </w:rPr>
                    </m:ctrlPr>
                  </m:sSupPr>
                  <m:e>
                    <m:r>
                      <w:rPr>
                        <w:rFonts w:ascii="Cambria Math" w:hAnsi="Cambria Math"/>
                      </w:rPr>
                      <m:t>F</m:t>
                    </m:r>
                  </m:e>
                  <m:sup>
                    <m:r>
                      <w:rPr>
                        <w:rFonts w:ascii="Cambria Math" w:hAnsi="Cambria Math"/>
                      </w:rPr>
                      <m:t>SLB</m:t>
                    </m:r>
                  </m:sup>
                </m:sSup>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F</m:t>
                        </m:r>
                      </m:e>
                      <m:sup>
                        <m:r>
                          <w:rPr>
                            <w:rFonts w:ascii="Cambria Math" w:hAnsi="Cambria Math"/>
                          </w:rPr>
                          <m:t>RP</m:t>
                        </m:r>
                      </m:sup>
                    </m:sSup>
                  </m:e>
                </m:d>
              </m:oMath>
            </m:oMathPara>
          </w:p>
        </w:tc>
        <w:tc>
          <w:tcPr>
            <w:tcW w:w="751" w:type="dxa"/>
          </w:tcPr>
          <w:p w14:paraId="318895E7" w14:textId="77777777" w:rsidR="004F075A" w:rsidRPr="00022BA7" w:rsidRDefault="004F075A" w:rsidP="00F95C74">
            <w:pPr>
              <w:jc w:val="right"/>
            </w:pPr>
            <w:r w:rsidRPr="00022BA7">
              <w:t>(</w:t>
            </w:r>
            <w:r>
              <w:t>56</w:t>
            </w:r>
            <w:r w:rsidRPr="00022BA7">
              <w:t>)</w:t>
            </w:r>
          </w:p>
        </w:tc>
      </w:tr>
    </w:tbl>
    <w:p w14:paraId="6BE2E10F" w14:textId="77777777" w:rsidR="004F075A" w:rsidRPr="00022BA7" w:rsidRDefault="004F075A" w:rsidP="004F075A"/>
    <w:p w14:paraId="79E0FF59" w14:textId="4BC09725" w:rsidR="004F075A" w:rsidRPr="00022BA7" w:rsidRDefault="004F075A" w:rsidP="004F075A">
      <w:r w:rsidRPr="00022BA7">
        <w:t xml:space="preserve">where </w:t>
      </w:r>
      <m:oMath>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oMath>
      <w:r w:rsidRPr="00022BA7">
        <w:t xml:space="preserve"> is battery </w:t>
      </w:r>
      <w:r>
        <w:t>size</w:t>
      </w:r>
      <w:r w:rsidRPr="00022BA7">
        <w:t xml:space="preserve"> of capacity tier </w:t>
      </w:r>
      <m:oMath>
        <m:r>
          <w:rPr>
            <w:rFonts w:ascii="Cambria Math" w:hAnsi="Cambria Math"/>
          </w:rPr>
          <m:t>pX</m:t>
        </m:r>
      </m:oMath>
      <w:r w:rsidRPr="00022BA7">
        <w:t xml:space="preserve">, </w:t>
      </w:r>
      <m:oMath>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B</m:t>
            </m:r>
          </m:sup>
        </m:sSubSup>
      </m:oMath>
      <w:r w:rsidRPr="00022BA7">
        <w:t xml:space="preserve"> is battery system cost, </w:t>
      </w:r>
      <m:oMath>
        <m:sSubSup>
          <m:sSubSupPr>
            <m:ctrlPr>
              <w:rPr>
                <w:rFonts w:ascii="Cambria Math" w:hAnsi="Cambria Math"/>
              </w:rPr>
            </m:ctrlPr>
          </m:sSubSupPr>
          <m:e>
            <m:r>
              <w:rPr>
                <w:rFonts w:ascii="Cambria Math" w:hAnsi="Cambria Math"/>
              </w:rPr>
              <m:t>F</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Ann</m:t>
            </m:r>
          </m:sup>
        </m:sSubSup>
      </m:oMath>
      <w:r w:rsidRPr="00022BA7">
        <w:t xml:space="preserve"> is </w:t>
      </w:r>
      <w:r>
        <w:t xml:space="preserve">an </w:t>
      </w:r>
      <w:r w:rsidRPr="00022BA7">
        <w:t>annualiz</w:t>
      </w:r>
      <w:r>
        <w:t>at</w:t>
      </w:r>
      <w:r w:rsidRPr="00022BA7">
        <w:t>i</w:t>
      </w:r>
      <w:r>
        <w:t>o</w:t>
      </w:r>
      <w:r w:rsidRPr="00022BA7">
        <w:t>n factor</w:t>
      </w:r>
      <w:r>
        <w:t>, which is also known as capital recovery factor, that transform a one-time capital cost into an equivalent annual cost spread out over the duration of the battery</w:t>
      </w:r>
      <w:r w:rsidR="00190F27">
        <w:t>’</w:t>
      </w:r>
      <w:r>
        <w:t>s lifetime</w:t>
      </w:r>
      <w:r w:rsidRPr="00022BA7">
        <w:t xml:space="preserve">, </w:t>
      </w:r>
      <m:oMath>
        <m:sSubSup>
          <m:sSubSupPr>
            <m:ctrlPr>
              <w:rPr>
                <w:rFonts w:ascii="Cambria Math" w:eastAsia="Cambria Math" w:hAnsi="Cambria Math" w:cs="Cambria Math"/>
              </w:rPr>
            </m:ctrlPr>
          </m:sSubSupPr>
          <m:e>
            <m:r>
              <w:rPr>
                <w:rFonts w:ascii="Cambria Math" w:eastAsia="Cambria Math" w:hAnsi="Cambria Math" w:cs="Cambria Math"/>
              </w:rPr>
              <m:t>LT</m:t>
            </m:r>
          </m:e>
          <m:sub>
            <m:r>
              <w:rPr>
                <w:rFonts w:ascii="Cambria Math" w:eastAsia="Cambria Math" w:hAnsi="Cambria Math" w:cs="Cambria Math"/>
              </w:rPr>
              <m:t>v</m:t>
            </m:r>
          </m:sub>
          <m:sup>
            <m:r>
              <w:rPr>
                <w:rFonts w:ascii="Cambria Math" w:eastAsia="Cambria Math" w:hAnsi="Cambria Math" w:cs="Cambria Math"/>
              </w:rPr>
              <m:t>B</m:t>
            </m:r>
          </m:sup>
        </m:sSubSup>
      </m:oMath>
      <w:r w:rsidRPr="00022BA7">
        <w:t xml:space="preserve">, </w:t>
      </w:r>
      <w:r>
        <w:t xml:space="preserve">considering </w:t>
      </w:r>
      <w:r w:rsidRPr="00022BA7">
        <w:t xml:space="preserve">discount rate, </w:t>
      </w:r>
      <m:oMath>
        <m:sSup>
          <m:sSupPr>
            <m:ctrlPr>
              <w:rPr>
                <w:rFonts w:ascii="Cambria Math" w:hAnsi="Cambria Math"/>
                <w:i/>
              </w:rPr>
            </m:ctrlPr>
          </m:sSupPr>
          <m:e>
            <m:r>
              <w:rPr>
                <w:rFonts w:ascii="Cambria Math" w:hAnsi="Cambria Math"/>
              </w:rPr>
              <m:t>r</m:t>
            </m:r>
          </m:e>
          <m:sup>
            <m:r>
              <w:rPr>
                <w:rFonts w:ascii="Cambria Math" w:hAnsi="Cambria Math"/>
              </w:rPr>
              <m:t>D</m:t>
            </m:r>
          </m:sup>
        </m:sSup>
      </m:oMath>
      <w:r>
        <w:t xml:space="preserve">. </w:t>
      </w:r>
    </w:p>
    <w:p w14:paraId="47B0DFC2" w14:textId="77777777" w:rsidR="004F075A" w:rsidRPr="00022BA7" w:rsidRDefault="004F075A" w:rsidP="004F075A"/>
    <w:p w14:paraId="6784FB01" w14:textId="36C86A2A" w:rsidR="004F075A" w:rsidRPr="00022BA7" w:rsidRDefault="00590C69" w:rsidP="004F075A">
      <m:oMath>
        <m:sSubSup>
          <m:sSubSupPr>
            <m:ctrlPr>
              <w:rPr>
                <w:rFonts w:ascii="Cambria Math" w:hAnsi="Cambria Math"/>
              </w:rPr>
            </m:ctrlPr>
          </m:sSubSupPr>
          <m:e>
            <m:r>
              <w:rPr>
                <w:rFonts w:ascii="Cambria Math" w:hAnsi="Cambria Math"/>
              </w:rPr>
              <m:t>E</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Cov</m:t>
            </m:r>
          </m:sup>
        </m:sSubSup>
      </m:oMath>
      <w:r w:rsidR="004F075A" w:rsidRPr="00022BA7">
        <w:t xml:space="preserve"> is covered energy by BES</w:t>
      </w:r>
      <w:r w:rsidR="004F075A">
        <w:t>s</w:t>
      </w:r>
      <w:r w:rsidR="004F075A" w:rsidRPr="00022BA7">
        <w:t xml:space="preserve"> with capacity tier </w:t>
      </w:r>
      <m:oMath>
        <m:r>
          <w:rPr>
            <w:rFonts w:ascii="Cambria Math" w:hAnsi="Cambria Math"/>
          </w:rPr>
          <m:t>pX</m:t>
        </m:r>
      </m:oMath>
      <w:r w:rsidR="004F075A" w:rsidRPr="00022BA7">
        <w:t xml:space="preserve">, </w:t>
      </w:r>
      <m:oMath>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Ch</m:t>
            </m:r>
          </m:sup>
        </m:sSubSup>
      </m:oMath>
      <w:r w:rsidR="004F075A" w:rsidRPr="00022BA7">
        <w:t xml:space="preserve"> and </w:t>
      </w:r>
      <m:oMath>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CI</m:t>
            </m:r>
          </m:sup>
        </m:sSubSup>
      </m:oMath>
      <w:r w:rsidR="004F075A" w:rsidRPr="00022BA7">
        <w:t xml:space="preserve"> are</w:t>
      </w:r>
      <w:r w:rsidR="004F075A">
        <w:t xml:space="preserve"> the</w:t>
      </w:r>
      <w:r w:rsidR="004F075A" w:rsidRPr="00022BA7">
        <w:t xml:space="preserve"> cost of charging and charging infrastructure, respectively, and </w:t>
      </w:r>
      <m:oMath>
        <m:sSub>
          <m:sSubPr>
            <m:ctrlPr>
              <w:rPr>
                <w:rFonts w:ascii="Cambria Math" w:eastAsia="Malgun Gothic" w:hAnsi="Cambria Math" w:cs="Times New Roman"/>
                <w:i/>
                <w:iCs/>
              </w:rPr>
            </m:ctrlPr>
          </m:sSubPr>
          <m:e>
            <m:r>
              <w:rPr>
                <w:rFonts w:ascii="Cambria Math" w:eastAsia="Malgun Gothic" w:hAnsi="Cambria Math" w:cs="Times New Roman"/>
              </w:rPr>
              <m:t>η</m:t>
            </m:r>
          </m:e>
          <m:sub>
            <m:r>
              <w:rPr>
                <w:rFonts w:ascii="Cambria Math" w:eastAsia="Malgun Gothic" w:hAnsi="Cambria Math" w:cs="Times New Roman"/>
              </w:rPr>
              <m:t>SB</m:t>
            </m:r>
          </m:sub>
        </m:sSub>
      </m:oMath>
      <w:r w:rsidR="004F075A" w:rsidRPr="00022BA7">
        <w:rPr>
          <w:iCs/>
        </w:rPr>
        <w:t xml:space="preserve"> is </w:t>
      </w:r>
      <w:r w:rsidR="004F075A">
        <w:rPr>
          <w:iCs/>
        </w:rPr>
        <w:t xml:space="preserve">the </w:t>
      </w:r>
      <w:r w:rsidR="004F075A" w:rsidRPr="00022BA7">
        <w:rPr>
          <w:iCs/>
        </w:rPr>
        <w:t xml:space="preserve">efficiency from </w:t>
      </w:r>
      <w:r w:rsidR="004F075A">
        <w:rPr>
          <w:iCs/>
        </w:rPr>
        <w:t>the SPC</w:t>
      </w:r>
      <w:r w:rsidR="004F075A" w:rsidRPr="00022BA7">
        <w:rPr>
          <w:iCs/>
        </w:rPr>
        <w:t xml:space="preserve"> to </w:t>
      </w:r>
      <w:r w:rsidR="004F075A">
        <w:rPr>
          <w:iCs/>
        </w:rPr>
        <w:t xml:space="preserve">the </w:t>
      </w:r>
      <w:r w:rsidR="004F075A" w:rsidRPr="00022BA7">
        <w:rPr>
          <w:iCs/>
        </w:rPr>
        <w:t xml:space="preserve">battery. </w:t>
      </w:r>
      <w:r w:rsidR="004F075A" w:rsidRPr="00022BA7">
        <w:t>The charging cost is calculated based on the U.S. average generation unit cost for the transportation sector. Costs under O</w:t>
      </w:r>
      <w:r w:rsidR="004F075A">
        <w:t>PT</w:t>
      </w:r>
      <w:r w:rsidR="004F075A" w:rsidRPr="00022BA7">
        <w:t>, I</w:t>
      </w:r>
      <w:r w:rsidR="004F075A">
        <w:t>NT</w:t>
      </w:r>
      <w:r w:rsidR="004F075A" w:rsidRPr="00022BA7">
        <w:t>, and C</w:t>
      </w:r>
      <w:r w:rsidR="004F075A">
        <w:t>HA</w:t>
      </w:r>
      <w:r w:rsidR="004F075A" w:rsidRPr="00022BA7">
        <w:t xml:space="preserve"> scenarios are </w:t>
      </w:r>
      <w:r w:rsidR="004F075A">
        <w:t xml:space="preserve">drawn </w:t>
      </w:r>
      <w:r w:rsidR="004F075A" w:rsidRPr="00022BA7">
        <w:t>from electricity costs under Low Zero-Carbon Technology, Reference, and High Zero-Carbon Technology scenarios for the transportation sector in Annual Energy Outlook</w:t>
      </w:r>
      <w:r w:rsidR="004F075A">
        <w:t xml:space="preserve"> </w:t>
      </w:r>
      <w:r w:rsidR="004F075A" w:rsidRPr="00022BA7">
        <w:t>2023, respectively</w:t>
      </w:r>
      <w:r w:rsidR="00465D51">
        <w:fldChar w:fldCharType="begin"/>
      </w:r>
      <w:r w:rsidR="00F33969">
        <w:instrText xml:space="preserve"> ADDIN ZOTERO_ITEM CSL_CITATION {"citationID":"o0B3jvQ7","properties":{"formattedCitation":"\\super 28\\nosupersub{}","plainCitation":"28","noteIndex":0},"citationItems":[{"id":61,"uris":["http://zotero.org/users/12468222/items/ZZTTRNHM"],"itemData":{"id":61,"type":"dataset","language":"en","source":"Zotero","title":"Annual Energy Outlook 2022","URL":"https://www.eia.gov/outlooks/archive/aeo22/","author":[{"family":"U.S. Energy Information Administration","given":""}]}}],"schema":"https://github.com/citation-style-language/schema/raw/master/csl-citation.json"} </w:instrText>
      </w:r>
      <w:r w:rsidR="00465D51">
        <w:fldChar w:fldCharType="separate"/>
      </w:r>
      <w:r w:rsidR="00F33969" w:rsidRPr="00F33969">
        <w:rPr>
          <w:rFonts w:cs="Times New Roman"/>
          <w:szCs w:val="24"/>
          <w:vertAlign w:val="superscript"/>
        </w:rPr>
        <w:t>28</w:t>
      </w:r>
      <w:r w:rsidR="00465D51">
        <w:fldChar w:fldCharType="end"/>
      </w:r>
      <w:r w:rsidR="004F075A" w:rsidRPr="00022BA7">
        <w:t xml:space="preserve">. The charging infrastructure cost, </w:t>
      </w:r>
      <m:oMath>
        <m:sSubSup>
          <m:sSubSupPr>
            <m:ctrlPr>
              <w:rPr>
                <w:rFonts w:ascii="Cambria Math" w:hAnsi="Cambria Math"/>
              </w:rPr>
            </m:ctrlPr>
          </m:sSubSupPr>
          <m:e>
            <m:r>
              <w:rPr>
                <w:rFonts w:ascii="Cambria Math" w:hAnsi="Cambria Math"/>
              </w:rPr>
              <m:t>λ</m:t>
            </m:r>
          </m:e>
          <m:sub>
            <m:r>
              <w:rPr>
                <w:rFonts w:ascii="Cambria Math" w:hAnsi="Cambria Math"/>
              </w:rPr>
              <m:t>sc</m:t>
            </m:r>
          </m:sub>
          <m:sup>
            <m:r>
              <w:rPr>
                <w:rFonts w:ascii="Cambria Math" w:hAnsi="Cambria Math"/>
              </w:rPr>
              <m:t>CI</m:t>
            </m:r>
          </m:sup>
        </m:sSubSup>
      </m:oMath>
      <w:r w:rsidR="004F075A" w:rsidRPr="00022BA7">
        <w:rPr>
          <w:rFonts w:ascii="Cambria Math" w:hAnsi="Cambria Math"/>
        </w:rPr>
        <w:t>,</w:t>
      </w:r>
      <w:r w:rsidR="004F075A" w:rsidRPr="00022BA7">
        <w:t xml:space="preserve"> includes costs of electric vehicle supply equipment, grid connection, and operations and maintenance costs (Popovich et al., 2021). </w:t>
      </w:r>
      <w:r w:rsidR="0046162D">
        <w:fldChar w:fldCharType="begin"/>
      </w:r>
      <w:r w:rsidR="0046162D">
        <w:instrText xml:space="preserve"> REF _Ref144853784 \h </w:instrText>
      </w:r>
      <w:r w:rsidR="0046162D">
        <w:fldChar w:fldCharType="separate"/>
      </w:r>
      <w:r w:rsidR="00C661AC">
        <w:t xml:space="preserve">Supplementary </w:t>
      </w:r>
      <w:r w:rsidR="00C661AC" w:rsidRPr="00022BA7">
        <w:t xml:space="preserve">Table </w:t>
      </w:r>
      <w:r w:rsidR="00C661AC">
        <w:rPr>
          <w:noProof/>
        </w:rPr>
        <w:t>17</w:t>
      </w:r>
      <w:r w:rsidR="0046162D">
        <w:fldChar w:fldCharType="end"/>
      </w:r>
      <w:r w:rsidR="0046162D">
        <w:t xml:space="preserve"> </w:t>
      </w:r>
      <w:r w:rsidR="004F075A" w:rsidRPr="00022BA7">
        <w:t xml:space="preserve">lists the parameters used for each scenario. </w:t>
      </w:r>
    </w:p>
    <w:p w14:paraId="739E33EC" w14:textId="77777777" w:rsidR="004F075A" w:rsidRPr="00022BA7" w:rsidRDefault="004F075A" w:rsidP="004F075A"/>
    <w:p w14:paraId="173AC76B" w14:textId="77777777" w:rsidR="004F075A" w:rsidRPr="00022BA7" w:rsidRDefault="00590C69" w:rsidP="004F075A">
      <m:oMath>
        <m:sSubSup>
          <m:sSubSupPr>
            <m:ctrlPr>
              <w:rPr>
                <w:rFonts w:ascii="Cambria Math" w:hAnsi="Cambria Math"/>
                <w:i/>
              </w:rPr>
            </m:ctrlPr>
          </m:sSubSupPr>
          <m:e>
            <m:r>
              <w:rPr>
                <w:rFonts w:ascii="Cambria Math" w:hAnsi="Cambria Math"/>
              </w:rPr>
              <m:t>R</m:t>
            </m:r>
          </m:e>
          <m:sub>
            <m:r>
              <w:rPr>
                <w:rFonts w:ascii="Cambria Math" w:hAnsi="Cambria Math"/>
              </w:rPr>
              <m:t>v,pX</m:t>
            </m:r>
          </m:sub>
          <m:sup>
            <m:r>
              <w:rPr>
                <w:rFonts w:ascii="Cambria Math" w:hAnsi="Cambria Math"/>
              </w:rPr>
              <m:t>Cov</m:t>
            </m:r>
          </m:sup>
        </m:sSubSup>
      </m:oMath>
      <w:r w:rsidR="004F075A" w:rsidRPr="00022BA7">
        <w:t xml:space="preserve"> is covered trip ratio calculated in equation (</w:t>
      </w:r>
      <w:r w:rsidR="004F075A">
        <w:t>20</w:t>
      </w:r>
      <w:r w:rsidR="004F075A" w:rsidRPr="00022BA7">
        <w:t>),</w:t>
      </w:r>
      <w:r w:rsidR="004F075A">
        <w:t xml:space="preserve"> while</w:t>
      </w:r>
      <w:r w:rsidR="004F075A" w:rsidRPr="00022BA7">
        <w:t xml:space="preserve"> </w:t>
      </w:r>
      <m:oMath>
        <m:sSubSup>
          <m:sSubSupPr>
            <m:ctrlPr>
              <w:rPr>
                <w:rFonts w:ascii="Cambria Math" w:hAnsi="Cambria Math"/>
                <w:i/>
              </w:rPr>
            </m:ctrlPr>
          </m:sSubSupPr>
          <m:e>
            <m:r>
              <w:rPr>
                <w:rFonts w:ascii="Cambria Math" w:hAnsi="Cambria Math"/>
              </w:rPr>
              <m:t>F</m:t>
            </m:r>
            <m:ctrlPr>
              <w:rPr>
                <w:rFonts w:ascii="Cambria Math" w:hAnsi="Cambria Math"/>
              </w:rPr>
            </m:ctrlPr>
          </m:e>
          <m:sub>
            <m:r>
              <w:rPr>
                <w:rFonts w:ascii="Cambria Math" w:hAnsi="Cambria Math"/>
              </w:rPr>
              <m:t>BES</m:t>
            </m:r>
          </m:sub>
          <m:sup>
            <m:r>
              <w:rPr>
                <w:rFonts w:ascii="Cambria Math" w:hAnsi="Cambria Math"/>
              </w:rPr>
              <m:t>OM</m:t>
            </m:r>
          </m:sup>
        </m:sSubSup>
      </m:oMath>
      <w:r w:rsidR="004F075A" w:rsidRPr="00022BA7">
        <w:t xml:space="preserve"> is a factor from ICE O&amp;M cost</w:t>
      </w:r>
      <w:r w:rsidR="004F075A">
        <w:t>s</w:t>
      </w:r>
      <w:r w:rsidR="004F075A" w:rsidRPr="00022BA7">
        <w:t xml:space="preserve"> to BES O&amp;M cost</w:t>
      </w:r>
      <w:r w:rsidR="004F075A">
        <w:t>s,</w:t>
      </w:r>
      <w:r w:rsidR="004F075A" w:rsidRPr="00022BA7">
        <w:t xml:space="preserve"> assumed as 50%. </w:t>
      </w:r>
      <m:oMath>
        <m:sSubSup>
          <m:sSubSupPr>
            <m:ctrlPr>
              <w:rPr>
                <w:rFonts w:ascii="Cambria Math" w:hAnsi="Cambria Math"/>
              </w:rPr>
            </m:ctrlPr>
          </m:sSubSupPr>
          <m:e>
            <m:r>
              <w:rPr>
                <w:rFonts w:ascii="Cambria Math" w:hAnsi="Cambria Math"/>
              </w:rPr>
              <m:t>EM</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m:t>
            </m:r>
            <m:r>
              <m:rPr>
                <m:sty m:val="p"/>
              </m:rPr>
              <w:rPr>
                <w:rFonts w:ascii="Cambria Math" w:hAnsi="Cambria Math"/>
              </w:rPr>
              <m:t xml:space="preserve">, </m:t>
            </m:r>
            <m:r>
              <w:rPr>
                <w:rFonts w:ascii="Cambria Math" w:hAnsi="Cambria Math"/>
              </w:rPr>
              <m:t>v</m:t>
            </m:r>
            <m:r>
              <m:rPr>
                <m:sty m:val="p"/>
              </m:rPr>
              <w:rPr>
                <w:rFonts w:ascii="Cambria Math" w:hAnsi="Cambria Math"/>
              </w:rPr>
              <m:t>,</m:t>
            </m:r>
            <m:r>
              <w:rPr>
                <w:rFonts w:ascii="Cambria Math" w:hAnsi="Cambria Math"/>
              </w:rPr>
              <m:t>pX</m:t>
            </m:r>
            <m:r>
              <m:rPr>
                <m:sty m:val="p"/>
              </m:rPr>
              <w:rPr>
                <w:rFonts w:ascii="Cambria Math" w:hAnsi="Cambria Math"/>
              </w:rPr>
              <m:t>,</m:t>
            </m:r>
            <m:r>
              <w:rPr>
                <w:rFonts w:ascii="Cambria Math" w:hAnsi="Cambria Math"/>
              </w:rPr>
              <m:t>sc</m:t>
            </m:r>
          </m:sub>
          <m:sup>
            <m:r>
              <w:rPr>
                <w:rFonts w:ascii="Cambria Math" w:hAnsi="Cambria Math"/>
              </w:rPr>
              <m:t>BES</m:t>
            </m:r>
          </m:sup>
        </m:sSubSup>
      </m:oMath>
      <w:r w:rsidR="004F075A" w:rsidRPr="00022BA7">
        <w:t xml:space="preserve"> is </w:t>
      </w:r>
      <w:r w:rsidR="004F075A">
        <w:t xml:space="preserve">the </w:t>
      </w:r>
      <w:r w:rsidR="004F075A" w:rsidRPr="00022BA7">
        <w:t>estimated CO</w:t>
      </w:r>
      <w:r w:rsidR="004F075A" w:rsidRPr="00B87EA7">
        <w:rPr>
          <w:vertAlign w:val="subscript"/>
        </w:rPr>
        <w:t>2</w:t>
      </w:r>
      <w:r w:rsidR="004F075A" w:rsidRPr="00022BA7">
        <w:t>e emission</w:t>
      </w:r>
      <w:r w:rsidR="004F075A">
        <w:t>s</w:t>
      </w:r>
      <w:r w:rsidR="004F075A" w:rsidRPr="00022BA7">
        <w:t xml:space="preserve"> for BES,</w:t>
      </w:r>
      <w:r w:rsidR="004F075A">
        <w:t xml:space="preserve"> and</w:t>
      </w:r>
      <w:r w:rsidR="004F075A" w:rsidRPr="00022BA7">
        <w:t xml:space="preserve"> </w:t>
      </w:r>
      <m:oMath>
        <m:sSub>
          <m:sSubPr>
            <m:ctrlPr>
              <w:rPr>
                <w:rFonts w:ascii="Cambria Math" w:hAnsi="Cambria Math"/>
              </w:rPr>
            </m:ctrlPr>
          </m:sSubPr>
          <m:e>
            <m:r>
              <w:rPr>
                <w:rFonts w:ascii="Cambria Math" w:hAnsi="Cambria Math"/>
              </w:rPr>
              <m:t>λ</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e,sc</m:t>
            </m:r>
          </m:sub>
        </m:sSub>
      </m:oMath>
      <w:r w:rsidR="004F075A" w:rsidRPr="00022BA7">
        <w:t xml:space="preserve"> is CO</w:t>
      </w:r>
      <w:r w:rsidR="004F075A" w:rsidRPr="00B87EA7">
        <w:rPr>
          <w:vertAlign w:val="subscript"/>
        </w:rPr>
        <w:t>2</w:t>
      </w:r>
      <w:r w:rsidR="004F075A" w:rsidRPr="00022BA7">
        <w:t>e social cost.</w:t>
      </w:r>
    </w:p>
    <w:p w14:paraId="45010FE4" w14:textId="77777777" w:rsidR="004F075A" w:rsidRPr="00022BA7" w:rsidRDefault="004F075A" w:rsidP="004F075A">
      <w:r w:rsidRPr="00022BA7">
        <w:t xml:space="preserve"> </w:t>
      </w:r>
    </w:p>
    <w:p w14:paraId="10A3DC58" w14:textId="3D0D90C5" w:rsidR="00452DF0" w:rsidRDefault="004F075A" w:rsidP="00AA4D10">
      <w:pPr>
        <w:rPr>
          <w:rFonts w:cs="Times New Roman"/>
          <w:b/>
          <w:sz w:val="26"/>
          <w:szCs w:val="24"/>
        </w:rPr>
      </w:pPr>
      <w:r w:rsidRPr="00022BA7">
        <w:t>The valu</w:t>
      </w:r>
      <w:r>
        <w:t>e</w:t>
      </w:r>
      <w:r w:rsidRPr="00022BA7">
        <w:t xml:space="preserve"> of SLBs has been discuss</w:t>
      </w:r>
      <w:r>
        <w:t>ed</w:t>
      </w:r>
      <w:r w:rsidRPr="00022BA7">
        <w:t xml:space="preserve"> in several studies</w:t>
      </w:r>
      <w:r w:rsidR="000C277C">
        <w:fldChar w:fldCharType="begin"/>
      </w:r>
      <w:r w:rsidR="00F33969">
        <w:instrText xml:space="preserve"> ADDIN ZOTERO_ITEM CSL_CITATION {"citationID":"zUhTGK39","properties":{"formattedCitation":"\\super 29,30\\nosupersub{}","plainCitation":"29,30","noteIndex":0},"citationItems":[{"id":254,"uris":["http://zotero.org/users/12468222/items/UF4MCA2B"],"itemData":{"id":254,"type":"article-journal","abstract":"High energy density has made Li-ion battery become a reliable energy storage technology for transport-grid applications. Safely disposing batteries that below 80% of their nominal capacity is a matter of great concern to reduce overall carbon footprint. As battery typically accounts for 40% of the total cost of an electrical vehicle, it becomes necessary to combine reutilization and recycling for extending the lifetime of retired automotive batteries and make the overall battery supply chain profitable rather than dumping them directly. From an economic, technical, and environmental standpoint, this paper provides a comprehensive overview of the present state of second-life Li-ion batteries through exploring relevant literature. Specifically, the fundamental of Li-ion battery degradation and experimental approaches are first surveyed. After examining the obstacles and methods of reusing and recycling Li-ion battery, related applications, cost issues, and business models of second-life Li-ion batteries are discussed. By offering a systematical survey of current status of recycled Li-ion battery, this review could inform commercial technology selections and academic research agendas alike, thus boosting progress in Li-ion battery second-life applications.","container-title":"Energy","DOI":"10.1016/j.energy.2021.122881","ISSN":"0360-5442","journalAbbreviation":"Energy","page":"122881","source":"ScienceDirect","title":"A review on second-life of Li-ion batteries: prospects, challenges, and issues","title-short":"A review on second-life of Li-ion batteries","volume":"241","author":[{"family":"Shahjalal","given":"Mohammad"},{"family":"Roy","given":"Probir Kumar"},{"family":"Shams","given":"Tamanna"},{"family":"Fly","given":"Ashley"},{"family":"Chowdhury","given":"Jahedul Islam"},{"family":"Ahmed","given":"Md. Rishad"},{"family":"Liu","given":"Kailong"}],"issued":{"date-parts":[["2022",2,15]]}}},{"id":223,"uris":["http://zotero.org/users/12468222/items/3P5T6XFR"],"itemData":{"id":223,"type":"article-journal","abstract":"Lithium-ion battery elevated upfront cost is considered one of the major barriers hampering the mass market adoption of electric vehicles. In this context, second life use of electric vehicle batteries is one of the solutions explored by the academia and the industry to reduce electric vehicle upfront costs. Per se, the concept of giving a second life to electric vehicle batteries simply consists of reusing the batteries that do not meet any longer the requirements of automotive applications, but which could still be used on less-demanding grid-connected energy storage applications. The present paper reviews the most relevant publications in the field of Lithium-ion battery second life, from economic, technical and environmental perspectives. The main industrial and R&amp;D projects are also described, and the most relevant commercial products available today are briefly reported. The conclusions from the consulted references are critically discussed at the end of each subsection, and, finally, overall conclusions and recommendations are presented.","container-title":"Renewable and Sustainable Energy Reviews","DOI":"10.1016/j.rser.2018.04.035","ISSN":"1364-0321","journalAbbreviation":"Renewable and Sustainable Energy Reviews","page":"701-718","source":"ScienceDirect","title":"Battery second life: Hype, hope or reality? A critical review of the state of the art","title-short":"Battery second life","volume":"93","author":[{"family":"Martinez-Laserna","given":"E."},{"family":"Gandiaga","given":"I."},{"family":"Sarasketa-Zabala","given":"E."},{"family":"Badeda","given":"J."},{"family":"Stroe","given":"D. -I."},{"family":"Swierczynski","given":"M."},{"family":"Goikoetxea","given":"A."}],"issued":{"date-parts":[["2018",10,1]]}}}],"schema":"https://github.com/citation-style-language/schema/raw/master/csl-citation.json"} </w:instrText>
      </w:r>
      <w:r w:rsidR="000C277C">
        <w:fldChar w:fldCharType="separate"/>
      </w:r>
      <w:r w:rsidR="00F33969" w:rsidRPr="00F33969">
        <w:rPr>
          <w:rFonts w:cs="Times New Roman"/>
          <w:szCs w:val="24"/>
          <w:vertAlign w:val="superscript"/>
        </w:rPr>
        <w:t>29,30</w:t>
      </w:r>
      <w:r w:rsidR="000C277C">
        <w:fldChar w:fldCharType="end"/>
      </w:r>
      <w:r w:rsidRPr="00022BA7">
        <w:t xml:space="preserve">. These studies suggest SLBs can be valued like new batteries </w:t>
      </w:r>
      <w:r>
        <w:t>and offer</w:t>
      </w:r>
      <w:r w:rsidRPr="00022BA7">
        <w:t xml:space="preserve"> equivalent performance. In this study, we considered a price discount factor, </w:t>
      </w:r>
      <m:oMath>
        <m:sSup>
          <m:sSupPr>
            <m:ctrlPr>
              <w:rPr>
                <w:rFonts w:ascii="Cambria Math" w:hAnsi="Cambria Math"/>
                <w:i/>
              </w:rPr>
            </m:ctrlPr>
          </m:sSupPr>
          <m:e>
            <m:r>
              <w:rPr>
                <w:rFonts w:ascii="Cambria Math" w:hAnsi="Cambria Math"/>
              </w:rPr>
              <m:t>r</m:t>
            </m:r>
            <m:ctrlPr>
              <w:rPr>
                <w:rFonts w:ascii="Cambria Math" w:hAnsi="Cambria Math"/>
              </w:rPr>
            </m:ctrlPr>
          </m:e>
          <m:sup>
            <m:r>
              <w:rPr>
                <w:rFonts w:ascii="Cambria Math" w:hAnsi="Cambria Math"/>
              </w:rPr>
              <m:t>B</m:t>
            </m:r>
          </m:sup>
        </m:sSup>
      </m:oMath>
      <w:r w:rsidRPr="00022BA7">
        <w:t>, of 2.2% per year throughout the battery</w:t>
      </w:r>
      <w:r w:rsidR="00190F27">
        <w:t>’</w:t>
      </w:r>
      <w:r w:rsidRPr="00022BA7">
        <w:t xml:space="preserve">s lifetime, </w:t>
      </w:r>
      <m:oMath>
        <m:sSubSup>
          <m:sSubSupPr>
            <m:ctrlPr>
              <w:rPr>
                <w:rFonts w:ascii="Cambria Math" w:eastAsia="Cambria Math" w:hAnsi="Cambria Math" w:cs="Cambria Math"/>
              </w:rPr>
            </m:ctrlPr>
          </m:sSubSupPr>
          <m:e>
            <m:r>
              <w:rPr>
                <w:rFonts w:ascii="Cambria Math" w:eastAsia="Cambria Math" w:hAnsi="Cambria Math" w:cs="Cambria Math"/>
              </w:rPr>
              <m:t>LT</m:t>
            </m:r>
          </m:e>
          <m:sub>
            <m:r>
              <w:rPr>
                <w:rFonts w:ascii="Cambria Math" w:eastAsia="Cambria Math" w:hAnsi="Cambria Math" w:cs="Cambria Math"/>
              </w:rPr>
              <m:t>v</m:t>
            </m:r>
          </m:sub>
          <m:sup>
            <m:r>
              <w:rPr>
                <w:rFonts w:ascii="Cambria Math" w:eastAsia="Cambria Math" w:hAnsi="Cambria Math" w:cs="Cambria Math"/>
              </w:rPr>
              <m:t>B</m:t>
            </m:r>
          </m:sup>
        </m:sSubSup>
      </m:oMath>
      <w:r w:rsidRPr="00022BA7">
        <w:t xml:space="preserve">, based on the observed average annual decrease </w:t>
      </w:r>
      <w:r>
        <w:t>i</w:t>
      </w:r>
      <w:r w:rsidRPr="00022BA7">
        <w:t>n</w:t>
      </w:r>
      <w:r>
        <w:t xml:space="preserve"> NREL</w:t>
      </w:r>
      <w:r w:rsidR="00190F27">
        <w:t>’</w:t>
      </w:r>
      <w:r>
        <w:t>s Annual Technology Baseline report</w:t>
      </w:r>
      <w:r w:rsidR="0071444C">
        <w:fldChar w:fldCharType="begin"/>
      </w:r>
      <w:r w:rsidR="00F33969">
        <w:instrText xml:space="preserve"> ADDIN ZOTERO_ITEM CSL_CITATION {"citationID":"VwqDGN2u","properties":{"formattedCitation":"\\super 31\\nosupersub{}","plainCitation":"31","noteIndex":0},"citationItems":[{"id":48,"uris":["http://zotero.org/users/12468222/items/BR5FLRFR"],"itemData":{"id":48,"type":"dataset","title":"2022 Annual Technology Baseline","URL":"https://atb.nrel.gov/electricity/2022/about","author":[{"family":"National Renewable Energy Laboratory","given":""}],"accessed":{"date-parts":[["2023",8,4]]}}}],"schema":"https://github.com/citation-style-language/schema/raw/master/csl-citation.json"} </w:instrText>
      </w:r>
      <w:r w:rsidR="0071444C">
        <w:fldChar w:fldCharType="separate"/>
      </w:r>
      <w:r w:rsidR="00F33969" w:rsidRPr="00F33969">
        <w:rPr>
          <w:rFonts w:cs="Times New Roman"/>
          <w:szCs w:val="24"/>
          <w:vertAlign w:val="superscript"/>
        </w:rPr>
        <w:t>31</w:t>
      </w:r>
      <w:r w:rsidR="0071444C">
        <w:fldChar w:fldCharType="end"/>
      </w:r>
      <w:r w:rsidRPr="00022BA7">
        <w:t xml:space="preserve">. Additionally, we used two factors: </w:t>
      </w:r>
      <m:oMath>
        <m:sSup>
          <m:sSupPr>
            <m:ctrlPr>
              <w:rPr>
                <w:rFonts w:ascii="Cambria Math" w:hAnsi="Cambria Math"/>
                <w:i/>
              </w:rPr>
            </m:ctrlPr>
          </m:sSupPr>
          <m:e>
            <m:r>
              <w:rPr>
                <w:rFonts w:ascii="Cambria Math" w:hAnsi="Cambria Math"/>
              </w:rPr>
              <m:t>F</m:t>
            </m:r>
          </m:e>
          <m:sup>
            <m:r>
              <w:rPr>
                <w:rFonts w:ascii="Cambria Math" w:hAnsi="Cambria Math"/>
              </w:rPr>
              <m:t>SLB</m:t>
            </m:r>
          </m:sup>
        </m:sSup>
      </m:oMath>
      <w:r w:rsidRPr="00022BA7">
        <w:t>, representing the share of deliverable energy for SLB</w:t>
      </w:r>
      <w:r>
        <w:t>s</w:t>
      </w:r>
      <w:r w:rsidRPr="00022BA7">
        <w:t xml:space="preserve"> from 80% to 40% SOH after the battery</w:t>
      </w:r>
      <w:r w:rsidR="00190F27">
        <w:t>’</w:t>
      </w:r>
      <w:r w:rsidRPr="00022BA7">
        <w:t>s first life</w:t>
      </w:r>
      <w:r w:rsidR="00FC08B0">
        <w:fldChar w:fldCharType="begin"/>
      </w:r>
      <w:r w:rsidR="00F33969">
        <w:instrText xml:space="preserve"> ADDIN ZOTERO_ITEM CSL_CITATION {"citationID":"y0nM1cRB","properties":{"formattedCitation":"\\super 24\\nosupersub{}","plainCitation":"24","noteIndex":0},"citationItems":[{"id":252,"uris":["http://zotero.org/users/12468222/items/2ANQ7NPN"],"itemData":{"id":252,"type":"article-journal","abstract":"As the use of plug-in electric vehicles (PEVs) further increases in the coming decades, a growing stream of batteries will reach the end of their service lives. Here we study the potential of those batteries to be used in second-life applications to enable the expansion of intermittent renewable electricity supply in California through the year 2050. We develop and apply a parametric life-cycle system model integrating battery supply, degradation, logistics, and second-life use. We calculate and compare several metrics of second-life system performance, including cumulative electricity delivered, energy balance, greenhouse gas (GHG) balance, and energy stored on invested. We find that second-life use of retired PEV batteries may play a modest, though not insignificant, role in California's future energy system. The electricity delivered by second-life batteries in 2050 under base-case modeling conditions is 15 TWh per year, about 5% of total current and projected electricity use in California. If used instead of natural gas-fired electricity generation, this electricity would reduce GHG emissions by about 7 million metric tons of CO2e per year in 2050.","container-title":"Journal of Power Sources","DOI":"10.1016/j.jpowsour.2015.04.097","ISSN":"0378-7753","journalAbbreviation":"Journal of Power Sources","page":"82-91","source":"ScienceDirect","title":"Energy and climate effects of second-life use of electric vehicle batteries in California through 2050","volume":"288","author":[{"family":"Sathre","given":"Roger"},{"family":"Scown","given":"Corinne D."},{"family":"Kavvada","given":"Olga"},{"family":"Hendrickson","given":"Thomas P."}],"issued":{"date-parts":[["2015",8,15]]}}}],"schema":"https://github.com/citation-style-language/schema/raw/master/csl-citation.json"} </w:instrText>
      </w:r>
      <w:r w:rsidR="00FC08B0">
        <w:fldChar w:fldCharType="separate"/>
      </w:r>
      <w:r w:rsidR="00F33969" w:rsidRPr="00F33969">
        <w:rPr>
          <w:rFonts w:cs="Times New Roman"/>
          <w:szCs w:val="24"/>
          <w:vertAlign w:val="superscript"/>
        </w:rPr>
        <w:t>24</w:t>
      </w:r>
      <w:r w:rsidR="00FC08B0">
        <w:fldChar w:fldCharType="end"/>
      </w:r>
      <w:r>
        <w:t>;</w:t>
      </w:r>
      <w:r w:rsidRPr="00022BA7">
        <w:t xml:space="preserve"> and </w:t>
      </w:r>
      <m:oMath>
        <m:sSup>
          <m:sSupPr>
            <m:ctrlPr>
              <w:rPr>
                <w:rFonts w:ascii="Cambria Math" w:hAnsi="Cambria Math"/>
                <w:i/>
              </w:rPr>
            </m:ctrlPr>
          </m:sSupPr>
          <m:e>
            <m:r>
              <w:rPr>
                <w:rFonts w:ascii="Cambria Math" w:hAnsi="Cambria Math"/>
              </w:rPr>
              <m:t>F</m:t>
            </m:r>
          </m:e>
          <m:sup>
            <m:r>
              <w:rPr>
                <w:rFonts w:ascii="Cambria Math" w:hAnsi="Cambria Math"/>
              </w:rPr>
              <m:t>RP</m:t>
            </m:r>
          </m:sup>
        </m:sSup>
      </m:oMath>
      <w:r w:rsidRPr="00022BA7">
        <w:t>, representing the cost factor of re-purposing SLB</w:t>
      </w:r>
      <w:r>
        <w:t>s</w:t>
      </w:r>
      <w:r w:rsidRPr="00022BA7">
        <w:t>, which has a value of 15%</w:t>
      </w:r>
      <w:r w:rsidR="00FC08B0">
        <w:fldChar w:fldCharType="begin"/>
      </w:r>
      <w:r w:rsidR="00F33969">
        <w:instrText xml:space="preserve"> ADDIN ZOTERO_ITEM CSL_CITATION {"citationID":"dUYWnAO4","properties":{"formattedCitation":"\\super 29\\nosupersub{}","plainCitation":"29","noteIndex":0},"citationItems":[{"id":254,"uris":["http://zotero.org/users/12468222/items/UF4MCA2B"],"itemData":{"id":254,"type":"article-journal","abstract":"High energy density has made Li-ion battery become a reliable energy storage technology for transport-grid applications. Safely disposing batteries that below 80% of their nominal capacity is a matter of great concern to reduce overall carbon footprint. As battery typically accounts for 40% of the total cost of an electrical vehicle, it becomes necessary to combine reutilization and recycling for extending the lifetime of retired automotive batteries and make the overall battery supply chain profitable rather than dumping them directly. From an economic, technical, and environmental standpoint, this paper provides a comprehensive overview of the present state of second-life Li-ion batteries through exploring relevant literature. Specifically, the fundamental of Li-ion battery degradation and experimental approaches are first surveyed. After examining the obstacles and methods of reusing and recycling Li-ion battery, related applications, cost issues, and business models of second-life Li-ion batteries are discussed. By offering a systematical survey of current status of recycled Li-ion battery, this review could inform commercial technology selections and academic research agendas alike, thus boosting progress in Li-ion battery second-life applications.","container-title":"Energy","DOI":"10.1016/j.energy.2021.122881","ISSN":"0360-5442","journalAbbreviation":"Energy","page":"122881","source":"ScienceDirect","title":"A review on second-life of Li-ion batteries: prospects, challenges, and issues","title-short":"A review on second-life of Li-ion batteries","volume":"241","author":[{"family":"Shahjalal","given":"Mohammad"},{"family":"Roy","given":"Probir Kumar"},{"family":"Shams","given":"Tamanna"},{"family":"Fly","given":"Ashley"},{"family":"Chowdhury","given":"Jahedul Islam"},{"family":"Ahmed","given":"Md. Rishad"},{"family":"Liu","given":"Kailong"}],"issued":{"date-parts":[["2022",2,15]]}}}],"schema":"https://github.com/citation-style-language/schema/raw/master/csl-citation.json"} </w:instrText>
      </w:r>
      <w:r w:rsidR="00FC08B0">
        <w:fldChar w:fldCharType="separate"/>
      </w:r>
      <w:r w:rsidR="00F33969" w:rsidRPr="00F33969">
        <w:rPr>
          <w:rFonts w:cs="Times New Roman"/>
          <w:szCs w:val="24"/>
          <w:vertAlign w:val="superscript"/>
        </w:rPr>
        <w:t>29</w:t>
      </w:r>
      <w:r w:rsidR="00FC08B0">
        <w:fldChar w:fldCharType="end"/>
      </w:r>
      <w:r w:rsidRPr="00022BA7">
        <w:t>.</w:t>
      </w:r>
      <w:bookmarkStart w:id="91" w:name="_Toc144384111"/>
      <w:r w:rsidR="00452DF0">
        <w:br w:type="page"/>
      </w:r>
    </w:p>
    <w:p w14:paraId="65E3DAB5" w14:textId="79F26E1B" w:rsidR="00452DF0" w:rsidRPr="002273D9" w:rsidRDefault="00E80507" w:rsidP="002273D9">
      <w:pPr>
        <w:pStyle w:val="Heading1"/>
        <w:numPr>
          <w:ilvl w:val="0"/>
          <w:numId w:val="0"/>
        </w:numPr>
        <w:rPr>
          <w:color w:val="1F497D" w:themeColor="text2"/>
        </w:rPr>
      </w:pPr>
      <w:bookmarkStart w:id="92" w:name="_Ref144852344"/>
      <w:bookmarkStart w:id="93" w:name="_Toc146723123"/>
      <w:r>
        <w:rPr>
          <w:color w:val="1F497D" w:themeColor="text2"/>
        </w:rPr>
        <w:t xml:space="preserve">Supplementary Note 7: </w:t>
      </w:r>
      <w:r w:rsidR="00907061" w:rsidRPr="00907061">
        <w:rPr>
          <w:color w:val="1F497D" w:themeColor="text2"/>
        </w:rPr>
        <w:t>Weight Estimation</w:t>
      </w:r>
      <w:bookmarkEnd w:id="92"/>
      <w:bookmarkEnd w:id="93"/>
    </w:p>
    <w:bookmarkEnd w:id="91"/>
    <w:p w14:paraId="0E2FCC27" w14:textId="15E62D31" w:rsidR="004F075A" w:rsidRPr="00022BA7" w:rsidRDefault="004F075A" w:rsidP="004F075A">
      <w:r w:rsidRPr="00022BA7">
        <w:t xml:space="preserve">In the context of </w:t>
      </w:r>
      <w:r>
        <w:t xml:space="preserve">a </w:t>
      </w:r>
      <w:r w:rsidRPr="00022BA7">
        <w:t>physical feasibility assessment, we compared the weight of BES</w:t>
      </w:r>
      <w:r>
        <w:t>s</w:t>
      </w:r>
      <w:r w:rsidRPr="00022BA7">
        <w:t xml:space="preserve"> and </w:t>
      </w:r>
      <w:r w:rsidRPr="00022BA7">
        <w:rPr>
          <w:lang w:eastAsia="ko-KR"/>
        </w:rPr>
        <w:t>ICE</w:t>
      </w:r>
      <w:r>
        <w:rPr>
          <w:lang w:eastAsia="ko-KR"/>
        </w:rPr>
        <w:t>s</w:t>
      </w:r>
      <w:r w:rsidRPr="00022BA7">
        <w:t xml:space="preserve">. To consider the entire weight of the vessels, we estimated their displacement based on GT as explained in </w:t>
      </w:r>
      <w:r w:rsidR="00471C4A">
        <w:t>subs</w:t>
      </w:r>
      <w:r w:rsidR="00DF11C8" w:rsidRPr="00022BA7">
        <w:t xml:space="preserve">ection </w:t>
      </w:r>
      <w:r w:rsidR="0047437E">
        <w:t>“</w:t>
      </w:r>
      <w:r w:rsidR="00046818" w:rsidRPr="004B61A9">
        <w:rPr>
          <w:color w:val="1F497D" w:themeColor="text2"/>
        </w:rPr>
        <w:fldChar w:fldCharType="begin"/>
      </w:r>
      <w:r w:rsidR="00046818" w:rsidRPr="004B61A9">
        <w:rPr>
          <w:color w:val="1F497D" w:themeColor="text2"/>
        </w:rPr>
        <w:instrText xml:space="preserve"> REF _Ref144853802 \h </w:instrText>
      </w:r>
      <w:r w:rsidR="00046818" w:rsidRPr="004B61A9">
        <w:rPr>
          <w:color w:val="1F497D" w:themeColor="text2"/>
        </w:rPr>
      </w:r>
      <w:r w:rsidR="00046818" w:rsidRPr="004B61A9">
        <w:rPr>
          <w:color w:val="1F497D" w:themeColor="text2"/>
        </w:rPr>
        <w:fldChar w:fldCharType="separate"/>
      </w:r>
      <w:r w:rsidR="00C661AC" w:rsidRPr="00022BA7">
        <w:t>Displacement</w:t>
      </w:r>
      <w:r w:rsidR="00046818" w:rsidRPr="004B61A9">
        <w:rPr>
          <w:color w:val="1F497D" w:themeColor="text2"/>
        </w:rPr>
        <w:fldChar w:fldCharType="end"/>
      </w:r>
      <w:r w:rsidRPr="00022BA7">
        <w:t>.</w:t>
      </w:r>
      <w:r w:rsidR="0047437E">
        <w:t>”</w:t>
      </w:r>
      <w:r w:rsidRPr="00022BA7">
        <w:t xml:space="preserve"> As the displacement includes the maximum fuel weight and engine weights, when estimating the weight of ICE ships corresponding to BESs with lower capacity tiers, we subtracted the maximum fuel weight for their longest trip and added the fuel weight required to serve the reference trip of capacity tier </w:t>
      </w:r>
      <m:oMath>
        <m:r>
          <w:rPr>
            <w:rFonts w:ascii="Cambria Math" w:hAnsi="Cambria Math"/>
          </w:rPr>
          <m:t>pX</m:t>
        </m:r>
      </m:oMath>
      <w:r w:rsidRPr="00022BA7">
        <w:t xml:space="preserve">. </w:t>
      </w:r>
      <w:r>
        <w:t>F</w:t>
      </w:r>
      <w:r w:rsidRPr="00022BA7">
        <w:t>or BES ships, we excluded the estimated weight of the main and auxiliary engines and the maximum fuel weight from the displacement, while including the estimated weight of the battery system and electric motor.</w:t>
      </w:r>
    </w:p>
    <w:p w14:paraId="5AB7B02F" w14:textId="77777777" w:rsidR="004F075A" w:rsidRPr="00022BA7" w:rsidRDefault="004F075A" w:rsidP="004F075A"/>
    <w:p w14:paraId="53EEE7DF" w14:textId="0F18B46A" w:rsidR="004F075A" w:rsidRPr="00022BA7" w:rsidRDefault="00A70661" w:rsidP="004F075A">
      <w:r>
        <w:t xml:space="preserve">We focus on </w:t>
      </w:r>
      <w:r w:rsidR="004F075A" w:rsidRPr="00022BA7">
        <w:t>emphasizing the ship</w:t>
      </w:r>
      <w:r w:rsidR="00190F27">
        <w:t>’</w:t>
      </w:r>
      <w:r w:rsidR="004F075A" w:rsidRPr="00022BA7">
        <w:t xml:space="preserve">s structural capacity to accommodate the weight of the battery system. We </w:t>
      </w:r>
      <w:r w:rsidR="004F075A">
        <w:t xml:space="preserve">also </w:t>
      </w:r>
      <w:r w:rsidR="004F075A" w:rsidRPr="00022BA7">
        <w:t xml:space="preserve">highlight the practicality of implementing a battery-electric propulsion system, particularly </w:t>
      </w:r>
      <w:r w:rsidR="004F075A">
        <w:t>in terms of</w:t>
      </w:r>
      <w:r w:rsidR="004F075A" w:rsidRPr="00022BA7">
        <w:t xml:space="preserve"> its impact on the overall weight of the ship.</w:t>
      </w:r>
    </w:p>
    <w:p w14:paraId="0F4225F7" w14:textId="77777777" w:rsidR="004F075A" w:rsidRPr="00022BA7" w:rsidRDefault="004F075A" w:rsidP="004F075A"/>
    <w:p w14:paraId="77B720EF" w14:textId="77777777" w:rsidR="004F075A" w:rsidRPr="00022BA7" w:rsidRDefault="004F075A" w:rsidP="004F075A">
      <w:pPr>
        <w:pStyle w:val="Heading4"/>
        <w:numPr>
          <w:ilvl w:val="0"/>
          <w:numId w:val="0"/>
        </w:numPr>
        <w:ind w:left="864" w:hanging="864"/>
        <w:rPr>
          <w:i w:val="0"/>
          <w:color w:val="000000" w:themeColor="text1"/>
        </w:rPr>
      </w:pPr>
      <w:r w:rsidRPr="00022BA7">
        <w:rPr>
          <w:i w:val="0"/>
          <w:color w:val="000000" w:themeColor="text1"/>
        </w:rPr>
        <w:t>Weight of ICE Ships</w:t>
      </w:r>
    </w:p>
    <w:p w14:paraId="47777778" w14:textId="77777777" w:rsidR="004F075A" w:rsidRPr="00022BA7" w:rsidRDefault="004F075A" w:rsidP="004F075A">
      <w:pPr>
        <w:spacing w:before="240"/>
        <w:rPr>
          <w:lang w:eastAsia="ko-KR"/>
        </w:rPr>
      </w:pPr>
      <w:r w:rsidRPr="00022BA7">
        <w:t xml:space="preserve">The </w:t>
      </w:r>
      <w:r w:rsidRPr="00022BA7">
        <w:rPr>
          <w:lang w:eastAsia="ko-KR"/>
        </w:rPr>
        <w:t xml:space="preserve">weight of ship </w:t>
      </w:r>
      <m:oMath>
        <m:r>
          <w:rPr>
            <w:rFonts w:ascii="Cambria Math" w:hAnsi="Cambria Math"/>
          </w:rPr>
          <m:t>v</m:t>
        </m:r>
      </m:oMath>
      <w:r>
        <w:rPr>
          <w:lang w:eastAsia="ko-KR"/>
        </w:rPr>
        <w:t>,</w:t>
      </w:r>
      <w:r w:rsidRPr="00022BA7">
        <w:rPr>
          <w:lang w:eastAsia="ko-KR"/>
        </w:rPr>
        <w:t xml:space="preserve"> the displacement of the ship</w:t>
      </w:r>
      <w:r>
        <w:rPr>
          <w:lang w:eastAsia="ko-KR"/>
        </w:rPr>
        <w:t>,</w:t>
      </w:r>
      <w:r w:rsidRPr="00022BA7">
        <w:rPr>
          <w:lang w:eastAsia="ko-KR"/>
        </w:rPr>
        <w:t xml:space="preserve"> and </w:t>
      </w:r>
      <w:r w:rsidRPr="00022BA7">
        <w:t xml:space="preserve">the fuel weight required to serve the reference trip of </w:t>
      </w:r>
      <w:proofErr w:type="spellStart"/>
      <w:r w:rsidRPr="00022BA7">
        <w:t>BESpX</w:t>
      </w:r>
      <w:proofErr w:type="spellEnd"/>
      <w:r>
        <w:t xml:space="preserve"> are </w:t>
      </w:r>
      <w:r w:rsidRPr="00022BA7">
        <w:t>e</w:t>
      </w:r>
      <w:r w:rsidRPr="00022BA7">
        <w:rPr>
          <w:lang w:eastAsia="ko-KR"/>
        </w:rPr>
        <w:t xml:space="preserve">stimated </w:t>
      </w:r>
      <w:r>
        <w:rPr>
          <w:lang w:eastAsia="ko-KR"/>
        </w:rPr>
        <w:t xml:space="preserve">as shown </w:t>
      </w:r>
      <w:r w:rsidRPr="00022BA7">
        <w:t>in equation</w:t>
      </w:r>
      <w:r>
        <w:t>s</w:t>
      </w:r>
      <w:r w:rsidRPr="00022BA7">
        <w:t xml:space="preserve"> (</w:t>
      </w:r>
      <w:r>
        <w:t>57</w:t>
      </w:r>
      <w:r w:rsidRPr="00022BA7">
        <w:t>)</w:t>
      </w:r>
      <w:r>
        <w:t xml:space="preserve"> through (59):</w:t>
      </w:r>
      <w:r w:rsidRPr="00022BA7">
        <w:t xml:space="preserve"> </w:t>
      </w:r>
    </w:p>
    <w:p w14:paraId="4D2F202B" w14:textId="77777777" w:rsidR="004F075A" w:rsidRPr="00022BA7" w:rsidRDefault="004F075A" w:rsidP="004F075A">
      <w:pPr>
        <w:rPr>
          <w:lang w:eastAsia="ko-KR"/>
        </w:rPr>
      </w:pP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7920"/>
        <w:gridCol w:w="720"/>
      </w:tblGrid>
      <w:tr w:rsidR="004F075A" w:rsidRPr="00022BA7" w14:paraId="30AE0DCF" w14:textId="77777777" w:rsidTr="00F95C74">
        <w:trPr>
          <w:trHeight w:val="300"/>
        </w:trPr>
        <w:tc>
          <w:tcPr>
            <w:tcW w:w="720" w:type="dxa"/>
          </w:tcPr>
          <w:p w14:paraId="23F1E8D7" w14:textId="77777777" w:rsidR="004F075A" w:rsidRPr="00022BA7" w:rsidRDefault="004F075A" w:rsidP="00F95C74">
            <w:pPr>
              <w:rPr>
                <w:i/>
                <w:lang w:eastAsia="ko-KR"/>
              </w:rPr>
            </w:pPr>
          </w:p>
        </w:tc>
        <w:tc>
          <w:tcPr>
            <w:tcW w:w="7920" w:type="dxa"/>
          </w:tcPr>
          <w:p w14:paraId="127E4412" w14:textId="77777777" w:rsidR="004F075A" w:rsidRPr="00022BA7" w:rsidRDefault="00590C69" w:rsidP="00F95C74">
            <w:pPr>
              <w:rPr>
                <w:rFonts w:eastAsia="Malgun Gothic" w:cs="Times New Roman"/>
                <w:i/>
              </w:rPr>
            </w:pPr>
            <m:oMathPara>
              <m:oMathParaPr>
                <m:jc m:val="center"/>
              </m:oMathParaP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ICE</m:t>
                    </m:r>
                  </m:sup>
                </m:sSubSup>
                <m:r>
                  <w:rPr>
                    <w:rFonts w:ascii="Cambria Math" w:hAnsi="Cambria Math"/>
                  </w:rPr>
                  <m:t>=D</m:t>
                </m:r>
                <m:sSub>
                  <m:sSubPr>
                    <m:ctrlPr>
                      <w:rPr>
                        <w:rFonts w:ascii="Cambria Math" w:hAnsi="Cambria Math"/>
                        <w:i/>
                      </w:rPr>
                    </m:ctrlPr>
                  </m:sSubPr>
                  <m:e>
                    <m:r>
                      <w:rPr>
                        <w:rFonts w:ascii="Cambria Math" w:hAnsi="Cambria Math"/>
                      </w:rPr>
                      <m:t>P</m:t>
                    </m:r>
                  </m:e>
                  <m:sub>
                    <m:r>
                      <w:rPr>
                        <w:rFonts w:ascii="Cambria Math" w:hAnsi="Cambria Math"/>
                      </w:rPr>
                      <m:t>v</m:t>
                    </m:r>
                  </m:sub>
                </m:sSub>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v,100</m:t>
                    </m:r>
                  </m:sub>
                  <m:sup>
                    <m:r>
                      <w:rPr>
                        <w:rFonts w:ascii="Cambria Math" w:hAnsi="Cambria Math"/>
                      </w:rPr>
                      <m:t>F</m:t>
                    </m:r>
                  </m:sup>
                </m:sSubSup>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F</m:t>
                    </m:r>
                  </m:sup>
                </m:sSubSup>
              </m:oMath>
            </m:oMathPara>
          </w:p>
        </w:tc>
        <w:tc>
          <w:tcPr>
            <w:tcW w:w="720" w:type="dxa"/>
          </w:tcPr>
          <w:p w14:paraId="1106105A" w14:textId="77777777" w:rsidR="004F075A" w:rsidRPr="00022BA7" w:rsidRDefault="004F075A" w:rsidP="00F95C74">
            <w:pPr>
              <w:jc w:val="right"/>
            </w:pPr>
            <w:r w:rsidRPr="00022BA7">
              <w:t>(</w:t>
            </w:r>
            <w:r>
              <w:t>57</w:t>
            </w:r>
            <w:r w:rsidRPr="00022BA7">
              <w:t>)</w:t>
            </w:r>
          </w:p>
        </w:tc>
      </w:tr>
      <w:tr w:rsidR="004F075A" w:rsidRPr="00022BA7" w14:paraId="524D43C7" w14:textId="77777777" w:rsidTr="00F95C74">
        <w:trPr>
          <w:trHeight w:val="300"/>
        </w:trPr>
        <w:tc>
          <w:tcPr>
            <w:tcW w:w="720" w:type="dxa"/>
          </w:tcPr>
          <w:p w14:paraId="2054921F" w14:textId="77777777" w:rsidR="004F075A" w:rsidRPr="00022BA7" w:rsidRDefault="004F075A" w:rsidP="00F95C74">
            <w:pPr>
              <w:rPr>
                <w:i/>
              </w:rPr>
            </w:pPr>
          </w:p>
        </w:tc>
        <w:tc>
          <w:tcPr>
            <w:tcW w:w="7920" w:type="dxa"/>
          </w:tcPr>
          <w:p w14:paraId="67767385" w14:textId="77777777" w:rsidR="004F075A" w:rsidRPr="00022BA7" w:rsidRDefault="004F075A" w:rsidP="00F95C74">
            <w:pPr>
              <w:rPr>
                <w:i/>
              </w:rPr>
            </w:pPr>
            <m:oMathPara>
              <m:oMath>
                <m:r>
                  <w:rPr>
                    <w:rFonts w:ascii="Cambria Math" w:hAnsi="Cambria Math"/>
                  </w:rPr>
                  <m:t>D</m:t>
                </m:r>
                <m:sSub>
                  <m:sSubPr>
                    <m:ctrlPr>
                      <w:rPr>
                        <w:rFonts w:ascii="Cambria Math" w:hAnsi="Cambria Math"/>
                        <w:i/>
                      </w:rPr>
                    </m:ctrlPr>
                  </m:sSubPr>
                  <m:e>
                    <m:r>
                      <w:rPr>
                        <w:rFonts w:ascii="Cambria Math" w:hAnsi="Cambria Math"/>
                      </w:rPr>
                      <m:t>P</m:t>
                    </m:r>
                  </m:e>
                  <m:sub>
                    <m:r>
                      <w:rPr>
                        <w:rFonts w:ascii="Cambria Math" w:hAnsi="Cambria Math"/>
                      </w:rPr>
                      <m:t>v</m:t>
                    </m:r>
                  </m:sub>
                </m:sSub>
                <m:r>
                  <m:rPr>
                    <m:sty m:val="p"/>
                  </m:rPr>
                  <w:rPr>
                    <w:rFonts w:ascii="Cambria Math" w:hAnsi="Cambria Math"/>
                  </w:rPr>
                  <m:t>=</m:t>
                </m:r>
                <m:sSup>
                  <m:sSupPr>
                    <m:ctrlPr>
                      <w:rPr>
                        <w:rFonts w:ascii="Cambria Math" w:hAnsi="Cambria Math"/>
                        <w:i/>
                      </w:rPr>
                    </m:ctrlPr>
                  </m:sSupPr>
                  <m:e>
                    <m:r>
                      <w:rPr>
                        <w:rFonts w:ascii="Cambria Math" w:hAnsi="Cambria Math"/>
                      </w:rPr>
                      <m:t>F</m:t>
                    </m:r>
                  </m:e>
                  <m:sup>
                    <m:r>
                      <w:rPr>
                        <w:rFonts w:ascii="Cambria Math" w:hAnsi="Cambria Math"/>
                      </w:rPr>
                      <m:t>DPGT</m:t>
                    </m:r>
                  </m:sup>
                </m:sSup>
                <m:r>
                  <w:rPr>
                    <w:rFonts w:ascii="Cambria Math" w:hAnsi="Cambria Math"/>
                  </w:rPr>
                  <m:t>⋅G</m:t>
                </m:r>
                <m:sSub>
                  <m:sSubPr>
                    <m:ctrlPr>
                      <w:rPr>
                        <w:rFonts w:ascii="Cambria Math" w:hAnsi="Cambria Math"/>
                        <w:i/>
                      </w:rPr>
                    </m:ctrlPr>
                  </m:sSubPr>
                  <m:e>
                    <m:r>
                      <w:rPr>
                        <w:rFonts w:ascii="Cambria Math" w:hAnsi="Cambria Math"/>
                      </w:rPr>
                      <m:t>T</m:t>
                    </m:r>
                  </m:e>
                  <m:sub>
                    <m:r>
                      <w:rPr>
                        <w:rFonts w:ascii="Cambria Math" w:hAnsi="Cambria Math"/>
                      </w:rPr>
                      <m:t>v</m:t>
                    </m:r>
                  </m:sub>
                </m:sSub>
              </m:oMath>
            </m:oMathPara>
          </w:p>
        </w:tc>
        <w:tc>
          <w:tcPr>
            <w:tcW w:w="720" w:type="dxa"/>
          </w:tcPr>
          <w:p w14:paraId="463AA15D" w14:textId="77777777" w:rsidR="004F075A" w:rsidRPr="00022BA7" w:rsidRDefault="004F075A" w:rsidP="00F95C74">
            <w:pPr>
              <w:jc w:val="right"/>
            </w:pPr>
            <w:r w:rsidRPr="00022BA7">
              <w:t>(</w:t>
            </w:r>
            <w:r>
              <w:t>58</w:t>
            </w:r>
            <w:r w:rsidRPr="00022BA7">
              <w:t>)</w:t>
            </w:r>
          </w:p>
        </w:tc>
      </w:tr>
      <w:tr w:rsidR="004F075A" w:rsidRPr="00022BA7" w14:paraId="10F83F40" w14:textId="77777777" w:rsidTr="00F95C74">
        <w:trPr>
          <w:trHeight w:val="300"/>
        </w:trPr>
        <w:tc>
          <w:tcPr>
            <w:tcW w:w="720" w:type="dxa"/>
          </w:tcPr>
          <w:p w14:paraId="792DFEB5" w14:textId="77777777" w:rsidR="004F075A" w:rsidRPr="00022BA7" w:rsidRDefault="004F075A" w:rsidP="00F95C74">
            <w:pPr>
              <w:rPr>
                <w:i/>
              </w:rPr>
            </w:pPr>
          </w:p>
        </w:tc>
        <w:tc>
          <w:tcPr>
            <w:tcW w:w="7920" w:type="dxa"/>
          </w:tcPr>
          <w:p w14:paraId="749168A7"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F</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r>
                  <w:rPr>
                    <w:rFonts w:ascii="Cambria Math" w:hAnsi="Cambria Math"/>
                  </w:rPr>
                  <m:t>⋅</m:t>
                </m:r>
                <m:sSup>
                  <m:sSupPr>
                    <m:ctrlPr>
                      <w:rPr>
                        <w:rFonts w:ascii="Cambria Math" w:hAnsi="Cambria Math"/>
                        <w:i/>
                      </w:rPr>
                    </m:ctrlPr>
                  </m:sSupPr>
                  <m:e>
                    <m:sSup>
                      <m:sSupPr>
                        <m:ctrlPr>
                          <w:rPr>
                            <w:rFonts w:ascii="Cambria Math" w:hAnsi="Cambria Math"/>
                            <w:i/>
                          </w:rPr>
                        </m:ctrlPr>
                      </m:sSupPr>
                      <m:e>
                        <m:r>
                          <w:rPr>
                            <w:rFonts w:ascii="Cambria Math" w:hAnsi="Cambria Math"/>
                          </w:rPr>
                          <m:t>η</m:t>
                        </m:r>
                      </m:e>
                      <m:sup>
                        <m:r>
                          <w:rPr>
                            <w:rFonts w:ascii="Cambria Math" w:hAnsi="Cambria Math"/>
                          </w:rPr>
                          <m:t>E</m:t>
                        </m:r>
                      </m:sup>
                    </m:sSup>
                  </m:e>
                  <m:sup>
                    <m:r>
                      <w:rPr>
                        <w:rFonts w:ascii="Cambria Math" w:hAnsi="Cambria Math"/>
                      </w:rPr>
                      <m:t>-1</m:t>
                    </m:r>
                  </m:sup>
                </m:sSup>
                <m:r>
                  <w:rPr>
                    <w:rFonts w:ascii="Cambria Math" w:hAnsi="Cambria Math"/>
                  </w:rPr>
                  <m:t>⋅</m:t>
                </m:r>
                <m:sSup>
                  <m:sSupPr>
                    <m:ctrlPr>
                      <w:rPr>
                        <w:rFonts w:ascii="Cambria Math" w:hAnsi="Cambria Math"/>
                        <w:i/>
                      </w:rPr>
                    </m:ctrlPr>
                  </m:sSupPr>
                  <m:e>
                    <m:sSubSup>
                      <m:sSubSupPr>
                        <m:ctrlPr>
                          <w:rPr>
                            <w:rFonts w:ascii="Cambria Math" w:hAnsi="Cambria Math"/>
                            <w:i/>
                          </w:rPr>
                        </m:ctrlPr>
                      </m:sSubSupPr>
                      <m:e>
                        <m:r>
                          <w:rPr>
                            <w:rFonts w:ascii="Cambria Math" w:hAnsi="Cambria Math"/>
                          </w:rPr>
                          <m:t>ρ</m:t>
                        </m:r>
                      </m:e>
                      <m:sub>
                        <m:r>
                          <w:rPr>
                            <w:rFonts w:ascii="Cambria Math" w:hAnsi="Cambria Math"/>
                          </w:rPr>
                          <m:t>e</m:t>
                        </m:r>
                      </m:sub>
                      <m:sup>
                        <m:r>
                          <w:rPr>
                            <w:rFonts w:ascii="Cambria Math" w:hAnsi="Cambria Math"/>
                          </w:rPr>
                          <m:t>HFO</m:t>
                        </m:r>
                      </m:sup>
                    </m:sSubSup>
                  </m:e>
                  <m:sup>
                    <m:r>
                      <w:rPr>
                        <w:rFonts w:ascii="Cambria Math" w:hAnsi="Cambria Math"/>
                      </w:rPr>
                      <m:t>-1</m:t>
                    </m:r>
                  </m:sup>
                </m:sSup>
              </m:oMath>
            </m:oMathPara>
          </w:p>
        </w:tc>
        <w:tc>
          <w:tcPr>
            <w:tcW w:w="720" w:type="dxa"/>
          </w:tcPr>
          <w:p w14:paraId="0968B519" w14:textId="77777777" w:rsidR="004F075A" w:rsidRPr="00022BA7" w:rsidRDefault="004F075A" w:rsidP="00F95C74">
            <w:pPr>
              <w:jc w:val="right"/>
            </w:pPr>
            <w:r>
              <w:t>(59)</w:t>
            </w:r>
          </w:p>
        </w:tc>
      </w:tr>
    </w:tbl>
    <w:p w14:paraId="1E9F3273" w14:textId="77777777" w:rsidR="004F075A" w:rsidRPr="00022BA7" w:rsidRDefault="004F075A" w:rsidP="004F075A"/>
    <w:p w14:paraId="5C5F2218" w14:textId="6B8A2363" w:rsidR="004F075A" w:rsidRPr="00022BA7" w:rsidRDefault="004F075A" w:rsidP="004F075A">
      <w:r w:rsidRPr="00022BA7">
        <w:t xml:space="preserve">where </w:t>
      </w: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ICE</m:t>
            </m:r>
          </m:sup>
        </m:sSubSup>
      </m:oMath>
      <w:r w:rsidRPr="00022BA7">
        <w:t xml:space="preserve"> is weight of the ICE ship, </w:t>
      </w:r>
      <m:oMath>
        <m:r>
          <w:rPr>
            <w:rFonts w:ascii="Cambria Math" w:hAnsi="Cambria Math"/>
          </w:rPr>
          <m:t>v</m:t>
        </m:r>
      </m:oMath>
      <w:r w:rsidRPr="00022BA7">
        <w:t xml:space="preserve">, to be compared with the BES with capacity tier of </w:t>
      </w:r>
      <m:oMath>
        <m:r>
          <w:rPr>
            <w:rFonts w:ascii="Cambria Math" w:hAnsi="Cambria Math"/>
          </w:rPr>
          <m:t>pX</m:t>
        </m:r>
      </m:oMath>
      <w:r w:rsidRPr="00022BA7">
        <w:t xml:space="preserve">, </w:t>
      </w:r>
      <m:oMath>
        <m:r>
          <w:rPr>
            <w:rFonts w:ascii="Cambria Math" w:hAnsi="Cambria Math"/>
          </w:rPr>
          <m:t>D</m:t>
        </m:r>
        <m:sSub>
          <m:sSubPr>
            <m:ctrlPr>
              <w:rPr>
                <w:rFonts w:ascii="Cambria Math" w:hAnsi="Cambria Math"/>
                <w:i/>
              </w:rPr>
            </m:ctrlPr>
          </m:sSubPr>
          <m:e>
            <m:r>
              <w:rPr>
                <w:rFonts w:ascii="Cambria Math" w:hAnsi="Cambria Math"/>
              </w:rPr>
              <m:t>P</m:t>
            </m:r>
          </m:e>
          <m:sub>
            <m:r>
              <w:rPr>
                <w:rFonts w:ascii="Cambria Math" w:hAnsi="Cambria Math"/>
              </w:rPr>
              <m:t>v</m:t>
            </m:r>
          </m:sub>
        </m:sSub>
      </m:oMath>
      <w:r w:rsidRPr="00022BA7">
        <w:t xml:space="preserve"> is the estimated displacement of the ship, </w:t>
      </w:r>
      <m:oMath>
        <m:r>
          <w:rPr>
            <w:rFonts w:ascii="Cambria Math" w:hAnsi="Cambria Math"/>
          </w:rPr>
          <m:t>G</m:t>
        </m:r>
        <m:sSub>
          <m:sSubPr>
            <m:ctrlPr>
              <w:rPr>
                <w:rFonts w:ascii="Cambria Math" w:hAnsi="Cambria Math"/>
                <w:i/>
              </w:rPr>
            </m:ctrlPr>
          </m:sSubPr>
          <m:e>
            <m:r>
              <w:rPr>
                <w:rFonts w:ascii="Cambria Math" w:hAnsi="Cambria Math"/>
              </w:rPr>
              <m:t>T</m:t>
            </m:r>
          </m:e>
          <m:sub>
            <m:r>
              <w:rPr>
                <w:rFonts w:ascii="Cambria Math" w:hAnsi="Cambria Math"/>
              </w:rPr>
              <m:t>v</m:t>
            </m:r>
          </m:sub>
        </m:sSub>
      </m:oMath>
      <w:r w:rsidRPr="00022BA7">
        <w:t xml:space="preserve"> is </w:t>
      </w:r>
      <w:r>
        <w:t>GT</w:t>
      </w:r>
      <w:r w:rsidRPr="00022BA7">
        <w:t xml:space="preserve"> of the ship, </w:t>
      </w:r>
      <m:oMath>
        <m:sSup>
          <m:sSupPr>
            <m:ctrlPr>
              <w:rPr>
                <w:rFonts w:ascii="Cambria Math" w:hAnsi="Cambria Math"/>
                <w:i/>
              </w:rPr>
            </m:ctrlPr>
          </m:sSupPr>
          <m:e>
            <m:r>
              <w:rPr>
                <w:rFonts w:ascii="Cambria Math" w:hAnsi="Cambria Math"/>
              </w:rPr>
              <m:t>F</m:t>
            </m:r>
          </m:e>
          <m:sup>
            <m:r>
              <w:rPr>
                <w:rFonts w:ascii="Cambria Math" w:hAnsi="Cambria Math"/>
              </w:rPr>
              <m:t>DPGT</m:t>
            </m:r>
          </m:sup>
        </m:sSup>
      </m:oMath>
      <w:r w:rsidRPr="00022BA7">
        <w:t xml:space="preserve"> is a factor to estimate the displacement from </w:t>
      </w:r>
      <w:r>
        <w:t>GT</w:t>
      </w:r>
      <w:r w:rsidRPr="00022BA7">
        <w:t xml:space="preserve"> </w:t>
      </w:r>
      <w:r>
        <w:t>whose</w:t>
      </w:r>
      <w:r w:rsidRPr="00022BA7">
        <w:t xml:space="preserve"> value is 1.84 (see </w:t>
      </w:r>
      <w:r w:rsidR="00471C4A">
        <w:t>subs</w:t>
      </w:r>
      <w:r w:rsidR="00471C4A" w:rsidRPr="00022BA7">
        <w:t xml:space="preserve">ection </w:t>
      </w:r>
      <w:r w:rsidR="0047437E">
        <w:t>“</w:t>
      </w:r>
      <w:r w:rsidR="0043090E" w:rsidRPr="004B61A9">
        <w:rPr>
          <w:color w:val="1F497D" w:themeColor="text2"/>
        </w:rPr>
        <w:fldChar w:fldCharType="begin"/>
      </w:r>
      <w:r w:rsidR="0043090E" w:rsidRPr="004B61A9">
        <w:rPr>
          <w:color w:val="1F497D" w:themeColor="text2"/>
        </w:rPr>
        <w:instrText xml:space="preserve"> REF _Ref144853802 \h </w:instrText>
      </w:r>
      <w:r w:rsidR="0043090E" w:rsidRPr="004B61A9">
        <w:rPr>
          <w:color w:val="1F497D" w:themeColor="text2"/>
        </w:rPr>
      </w:r>
      <w:r w:rsidR="0043090E" w:rsidRPr="004B61A9">
        <w:rPr>
          <w:color w:val="1F497D" w:themeColor="text2"/>
        </w:rPr>
        <w:fldChar w:fldCharType="separate"/>
      </w:r>
      <w:r w:rsidR="00C661AC" w:rsidRPr="00022BA7">
        <w:t>Displacement</w:t>
      </w:r>
      <w:r w:rsidR="0043090E" w:rsidRPr="004B61A9">
        <w:rPr>
          <w:color w:val="1F497D" w:themeColor="text2"/>
        </w:rPr>
        <w:fldChar w:fldCharType="end"/>
      </w:r>
      <w:r w:rsidR="0047437E">
        <w:t>”</w:t>
      </w:r>
      <w:r w:rsidRPr="00022BA7">
        <w:t xml:space="preserve">). </w:t>
      </w: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F</m:t>
            </m:r>
          </m:sup>
        </m:sSubSup>
      </m:oMath>
      <w:r w:rsidRPr="00022BA7">
        <w:t xml:space="preserve"> is the fuel weight required to serve the reference trip of capacity tier </w:t>
      </w:r>
      <m:oMath>
        <m:r>
          <w:rPr>
            <w:rFonts w:ascii="Cambria Math" w:hAnsi="Cambria Math"/>
          </w:rPr>
          <m:t>pX</m:t>
        </m:r>
      </m:oMath>
      <w:r w:rsidRPr="00022BA7">
        <w:t xml:space="preserve">, </w:t>
      </w:r>
      <m:oMath>
        <m:sSubSup>
          <m:sSubSupPr>
            <m:ctrlPr>
              <w:rPr>
                <w:rFonts w:ascii="Cambria Math" w:hAnsi="Cambria Math"/>
                <w:i/>
              </w:rPr>
            </m:ctrlPr>
          </m:sSubSupPr>
          <m:e>
            <m:r>
              <w:rPr>
                <w:rFonts w:ascii="Cambria Math" w:hAnsi="Cambria Math"/>
              </w:rPr>
              <m:t>W</m:t>
            </m:r>
          </m:e>
          <m:sub>
            <m:r>
              <w:rPr>
                <w:rFonts w:ascii="Cambria Math" w:hAnsi="Cambria Math"/>
              </w:rPr>
              <m:t>v,100</m:t>
            </m:r>
          </m:sub>
          <m:sup>
            <m:r>
              <w:rPr>
                <w:rFonts w:ascii="Cambria Math" w:hAnsi="Cambria Math"/>
              </w:rPr>
              <m:t>F</m:t>
            </m:r>
          </m:sup>
        </m:sSubSup>
      </m:oMath>
      <w:r w:rsidRPr="00022BA7">
        <w:t xml:space="preserve"> is the maximum fuel weight for the longest trip of the ship, </w:t>
      </w:r>
      <m:oMath>
        <m:sSubSup>
          <m:sSubSupPr>
            <m:ctrlPr>
              <w:rPr>
                <w:rFonts w:ascii="Cambria Math" w:hAnsi="Cambria Math"/>
                <w:i/>
              </w:rPr>
            </m:ctrlPr>
          </m:sSubSupPr>
          <m:e>
            <m:r>
              <w:rPr>
                <w:rFonts w:ascii="Cambria Math" w:hAnsi="Cambria Math"/>
              </w:rPr>
              <m:t>E</m:t>
            </m:r>
          </m:e>
          <m:sub>
            <m:r>
              <w:rPr>
                <w:rFonts w:ascii="Cambria Math" w:hAnsi="Cambria Math"/>
              </w:rPr>
              <m:t>v,pX</m:t>
            </m:r>
          </m:sub>
          <m:sup>
            <m:r>
              <w:rPr>
                <w:rFonts w:ascii="Cambria Math" w:hAnsi="Cambria Math"/>
              </w:rPr>
              <m:t>ref</m:t>
            </m:r>
          </m:sup>
        </m:sSubSup>
      </m:oMath>
      <w:r w:rsidRPr="00022BA7">
        <w:t xml:space="preserve"> is </w:t>
      </w:r>
      <w:r>
        <w:t xml:space="preserve">the </w:t>
      </w:r>
      <w:r w:rsidRPr="00022BA7">
        <w:t xml:space="preserve">reference trip of capacity tier </w:t>
      </w:r>
      <m:oMath>
        <m:r>
          <w:rPr>
            <w:rFonts w:ascii="Cambria Math" w:hAnsi="Cambria Math"/>
          </w:rPr>
          <m:t>pX</m:t>
        </m:r>
      </m:oMath>
      <w:r w:rsidRPr="00022BA7">
        <w:t xml:space="preserve">, </w:t>
      </w:r>
      <m:oMath>
        <m:sSup>
          <m:sSupPr>
            <m:ctrlPr>
              <w:rPr>
                <w:rFonts w:ascii="Cambria Math" w:hAnsi="Cambria Math"/>
                <w:i/>
              </w:rPr>
            </m:ctrlPr>
          </m:sSupPr>
          <m:e>
            <m:r>
              <w:rPr>
                <w:rFonts w:ascii="Cambria Math" w:hAnsi="Cambria Math"/>
              </w:rPr>
              <m:t>η</m:t>
            </m:r>
          </m:e>
          <m:sup>
            <m:r>
              <w:rPr>
                <w:rFonts w:ascii="Cambria Math" w:hAnsi="Cambria Math"/>
              </w:rPr>
              <m:t>E</m:t>
            </m:r>
          </m:sup>
        </m:sSup>
      </m:oMath>
      <w:r w:rsidRPr="00022BA7">
        <w:t xml:space="preserve"> is engine efficiency (i.e.</w:t>
      </w:r>
      <w:r>
        <w:t>,</w:t>
      </w:r>
      <w:r w:rsidRPr="00022BA7">
        <w:t xml:space="preserve"> engine power output over consumed energy) </w:t>
      </w:r>
      <w:r>
        <w:t>whose value is</w:t>
      </w:r>
      <w:r w:rsidRPr="00022BA7">
        <w:t xml:space="preserve"> assumed as 0.468, and </w:t>
      </w:r>
      <m:oMath>
        <m:sSubSup>
          <m:sSubSupPr>
            <m:ctrlPr>
              <w:rPr>
                <w:rFonts w:ascii="Cambria Math" w:hAnsi="Cambria Math"/>
                <w:i/>
              </w:rPr>
            </m:ctrlPr>
          </m:sSubSupPr>
          <m:e>
            <m:r>
              <w:rPr>
                <w:rFonts w:ascii="Cambria Math" w:hAnsi="Cambria Math"/>
              </w:rPr>
              <m:t>ρ</m:t>
            </m:r>
          </m:e>
          <m:sub>
            <m:r>
              <w:rPr>
                <w:rFonts w:ascii="Cambria Math" w:hAnsi="Cambria Math"/>
              </w:rPr>
              <m:t>e</m:t>
            </m:r>
          </m:sub>
          <m:sup>
            <m:r>
              <w:rPr>
                <w:rFonts w:ascii="Cambria Math" w:hAnsi="Cambria Math"/>
              </w:rPr>
              <m:t>HFO</m:t>
            </m:r>
          </m:sup>
        </m:sSubSup>
      </m:oMath>
      <w:r w:rsidRPr="00022BA7">
        <w:t xml:space="preserve"> is </w:t>
      </w:r>
      <w:r>
        <w:t xml:space="preserve">the </w:t>
      </w:r>
      <w:r w:rsidRPr="00022BA7">
        <w:t>energy density of heavy fuel oil which is assumed to be 11.1 kWh/kg.</w:t>
      </w:r>
      <w:r w:rsidR="001C732C">
        <w:fldChar w:fldCharType="begin"/>
      </w:r>
      <w:r w:rsidR="001C732C">
        <w:instrText xml:space="preserve"> ADDIN ZOTERO_ITEM CSL_CITATION {"citationID":"gc1qfJTw","properties":{"formattedCitation":"\\super 32\\nosupersub{}","plainCitation":"32","noteIndex":0},"citationItems":[{"id":184,"uris":["http://zotero.org/users/12468222/items/UD7ZV2Q8"],"itemData":{"id":184,"type":"article-journal","language":"en","source":"Zotero","title":"Transitioning away from heavy fuel oil in Arctic shipping","URL":"https://theicct.org/publication/transitioning-away-from-heavy-fuel-oil-in-arctic-shipping/","author":[{"family":"Comer","given":"Bryan"}],"issued":{"date-parts":[["2019"]]}}}],"schema":"https://github.com/citation-style-language/schema/raw/master/csl-citation.json"} </w:instrText>
      </w:r>
      <w:r w:rsidR="001C732C">
        <w:fldChar w:fldCharType="separate"/>
      </w:r>
      <w:r w:rsidR="001C732C" w:rsidRPr="00F33969">
        <w:rPr>
          <w:rFonts w:cs="Times New Roman"/>
          <w:szCs w:val="24"/>
          <w:vertAlign w:val="superscript"/>
        </w:rPr>
        <w:t>32</w:t>
      </w:r>
      <w:r w:rsidR="001C732C">
        <w:fldChar w:fldCharType="end"/>
      </w:r>
      <w:r w:rsidRPr="00022BA7">
        <w:t xml:space="preserve"> </w:t>
      </w:r>
    </w:p>
    <w:p w14:paraId="48ABD506" w14:textId="77777777" w:rsidR="004F075A" w:rsidRPr="00022BA7" w:rsidRDefault="004F075A" w:rsidP="004F075A"/>
    <w:p w14:paraId="03182D03" w14:textId="77777777" w:rsidR="004F075A" w:rsidRPr="00022BA7" w:rsidRDefault="004F075A" w:rsidP="004F075A">
      <w:pPr>
        <w:pStyle w:val="Heading4"/>
        <w:numPr>
          <w:ilvl w:val="0"/>
          <w:numId w:val="0"/>
        </w:numPr>
        <w:ind w:left="864" w:hanging="864"/>
        <w:rPr>
          <w:i w:val="0"/>
          <w:color w:val="000000" w:themeColor="text1"/>
        </w:rPr>
      </w:pPr>
      <w:r w:rsidRPr="00022BA7">
        <w:rPr>
          <w:i w:val="0"/>
          <w:color w:val="000000" w:themeColor="text1"/>
        </w:rPr>
        <w:t>Weight of BESs</w:t>
      </w:r>
    </w:p>
    <w:p w14:paraId="518379CC" w14:textId="77777777" w:rsidR="004F075A" w:rsidRPr="00022BA7" w:rsidRDefault="004F075A" w:rsidP="004F075A">
      <w:r w:rsidRPr="00022BA7">
        <w:t xml:space="preserve">The weight of a BES, </w:t>
      </w: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BES</m:t>
            </m:r>
          </m:sup>
        </m:sSubSup>
      </m:oMath>
      <w:r w:rsidRPr="00022BA7">
        <w:t>, is calculated by the capacity tier</w:t>
      </w:r>
      <m:oMath>
        <m:r>
          <w:rPr>
            <w:rFonts w:ascii="Cambria Math" w:hAnsi="Cambria Math"/>
          </w:rPr>
          <m:t>, pX</m:t>
        </m:r>
      </m:oMath>
      <w:r w:rsidRPr="00022BA7">
        <w:t xml:space="preserve">, as </w:t>
      </w:r>
      <w:r>
        <w:t xml:space="preserve">shown </w:t>
      </w:r>
      <w:r w:rsidRPr="00022BA7">
        <w:t>in equation</w:t>
      </w:r>
      <w:r>
        <w:t>s</w:t>
      </w:r>
      <w:r w:rsidRPr="00022BA7">
        <w:t xml:space="preserve"> (</w:t>
      </w:r>
      <w:r>
        <w:t>60</w:t>
      </w:r>
      <w:r w:rsidRPr="00022BA7">
        <w:t>)</w:t>
      </w:r>
      <w:r>
        <w:t xml:space="preserve"> through (65):</w:t>
      </w:r>
    </w:p>
    <w:p w14:paraId="3BE4594F" w14:textId="77777777" w:rsidR="004F075A" w:rsidRPr="00022BA7" w:rsidRDefault="004F075A" w:rsidP="004F075A"/>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8"/>
        <w:gridCol w:w="7891"/>
        <w:gridCol w:w="751"/>
      </w:tblGrid>
      <w:tr w:rsidR="004F075A" w:rsidRPr="00022BA7" w14:paraId="191798B3" w14:textId="77777777" w:rsidTr="00F95C74">
        <w:trPr>
          <w:trHeight w:val="300"/>
        </w:trPr>
        <w:tc>
          <w:tcPr>
            <w:tcW w:w="718" w:type="dxa"/>
          </w:tcPr>
          <w:p w14:paraId="42430025" w14:textId="77777777" w:rsidR="004F075A" w:rsidRPr="00022BA7" w:rsidRDefault="004F075A" w:rsidP="00F95C74">
            <w:pPr>
              <w:rPr>
                <w:i/>
              </w:rPr>
            </w:pPr>
          </w:p>
        </w:tc>
        <w:tc>
          <w:tcPr>
            <w:tcW w:w="7891" w:type="dxa"/>
          </w:tcPr>
          <w:p w14:paraId="1F695A1E" w14:textId="77777777" w:rsidR="004F075A" w:rsidRPr="00022BA7" w:rsidRDefault="00590C69" w:rsidP="00F95C74">
            <w:pPr>
              <w:jc w:val="center"/>
              <w:rPr>
                <w:rFonts w:eastAsia="Malgun Gothic" w:cs="Times New Roman"/>
                <w:i/>
              </w:rPr>
            </w:pP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BES</m:t>
                  </m:r>
                </m:sup>
              </m:sSubSup>
            </m:oMath>
            <w:r w:rsidR="004F075A" w:rsidRPr="00022BA7">
              <w:t>=</w:t>
            </w:r>
            <m:oMath>
              <m:r>
                <w:rPr>
                  <w:rFonts w:ascii="Cambria Math" w:hAnsi="Cambria Math"/>
                </w:rPr>
                <m:t xml:space="preserve"> D</m:t>
              </m:r>
              <m:sSub>
                <m:sSubPr>
                  <m:ctrlPr>
                    <w:rPr>
                      <w:rFonts w:ascii="Cambria Math" w:hAnsi="Cambria Math"/>
                      <w:i/>
                    </w:rPr>
                  </m:ctrlPr>
                </m:sSubPr>
                <m:e>
                  <m:r>
                    <w:rPr>
                      <w:rFonts w:ascii="Cambria Math" w:hAnsi="Cambria Math"/>
                    </w:rPr>
                    <m:t>P</m:t>
                  </m:r>
                </m:e>
                <m:sub>
                  <m:r>
                    <w:rPr>
                      <w:rFonts w:ascii="Cambria Math" w:hAnsi="Cambria Math"/>
                    </w:rPr>
                    <m:t>v</m:t>
                  </m:r>
                </m:sub>
              </m:sSub>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ME</m:t>
                  </m:r>
                </m:sup>
              </m:sSubSup>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AE</m:t>
                  </m:r>
                </m:sup>
              </m:sSubSup>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F</m:t>
                  </m:r>
                </m:sup>
              </m:sSubSup>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B</m:t>
                  </m:r>
                </m:sup>
              </m:sSubSup>
              <m:r>
                <w:rPr>
                  <w:rFonts w:ascii="Cambria Math" w:hAnsi="Cambria Math"/>
                </w:rPr>
                <m:t>+</m:t>
              </m:r>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EM</m:t>
                  </m:r>
                </m:sup>
              </m:sSubSup>
            </m:oMath>
          </w:p>
        </w:tc>
        <w:tc>
          <w:tcPr>
            <w:tcW w:w="751" w:type="dxa"/>
          </w:tcPr>
          <w:p w14:paraId="27B30019" w14:textId="77777777" w:rsidR="004F075A" w:rsidRPr="00022BA7" w:rsidRDefault="004F075A" w:rsidP="00F95C74">
            <w:pPr>
              <w:jc w:val="right"/>
            </w:pPr>
            <w:r w:rsidRPr="00022BA7">
              <w:t>(</w:t>
            </w:r>
            <w:r>
              <w:t>60</w:t>
            </w:r>
            <w:r w:rsidRPr="00022BA7">
              <w:t>)</w:t>
            </w:r>
          </w:p>
        </w:tc>
      </w:tr>
      <w:tr w:rsidR="004F075A" w:rsidRPr="00022BA7" w14:paraId="3ABC9543" w14:textId="77777777" w:rsidTr="00F95C74">
        <w:trPr>
          <w:trHeight w:val="300"/>
        </w:trPr>
        <w:tc>
          <w:tcPr>
            <w:tcW w:w="718" w:type="dxa"/>
          </w:tcPr>
          <w:p w14:paraId="3949C7CC" w14:textId="77777777" w:rsidR="004F075A" w:rsidRPr="00022BA7" w:rsidRDefault="004F075A" w:rsidP="00F95C74">
            <w:pPr>
              <w:rPr>
                <w:i/>
              </w:rPr>
            </w:pPr>
          </w:p>
        </w:tc>
        <w:tc>
          <w:tcPr>
            <w:tcW w:w="7891" w:type="dxa"/>
          </w:tcPr>
          <w:p w14:paraId="5E829C7F" w14:textId="77777777" w:rsidR="004F075A" w:rsidRPr="00022BA7" w:rsidRDefault="00590C69" w:rsidP="00F95C74">
            <w:pPr>
              <w:rPr>
                <w:i/>
              </w:rPr>
            </w:pPr>
            <m:oMathPara>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ME</m:t>
                    </m:r>
                  </m:sup>
                </m:sSubSup>
                <m:r>
                  <w:rPr>
                    <w:rFonts w:ascii="Cambria Math" w:hAnsi="Cambria Math"/>
                  </w:rPr>
                  <m:t>=CA</m:t>
                </m:r>
                <m:sSubSup>
                  <m:sSubSupPr>
                    <m:ctrlPr>
                      <w:rPr>
                        <w:rFonts w:ascii="Cambria Math" w:hAnsi="Cambria Math"/>
                        <w:i/>
                      </w:rPr>
                    </m:ctrlPr>
                  </m:sSubSupPr>
                  <m:e>
                    <m:r>
                      <w:rPr>
                        <w:rFonts w:ascii="Cambria Math" w:hAnsi="Cambria Math"/>
                      </w:rPr>
                      <m:t>P</m:t>
                    </m:r>
                  </m:e>
                  <m:sub>
                    <m:r>
                      <w:rPr>
                        <w:rFonts w:ascii="Cambria Math" w:hAnsi="Cambria Math"/>
                      </w:rPr>
                      <m:t>v</m:t>
                    </m:r>
                  </m:sub>
                  <m:sup>
                    <m:r>
                      <w:rPr>
                        <w:rFonts w:ascii="Cambria Math" w:hAnsi="Cambria Math"/>
                      </w:rPr>
                      <m:t>ME</m:t>
                    </m:r>
                  </m:sup>
                </m:sSub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Eg</m:t>
                    </m:r>
                  </m:sup>
                </m:sSup>
                <m:r>
                  <w:rPr>
                    <w:rFonts w:ascii="Cambria Math" w:hAnsi="Cambria Math"/>
                  </w:rPr>
                  <m:t xml:space="preserve"> </m:t>
                </m:r>
              </m:oMath>
            </m:oMathPara>
          </w:p>
        </w:tc>
        <w:tc>
          <w:tcPr>
            <w:tcW w:w="751" w:type="dxa"/>
          </w:tcPr>
          <w:p w14:paraId="53BAA79A" w14:textId="77777777" w:rsidR="004F075A" w:rsidRPr="00022BA7" w:rsidRDefault="004F075A" w:rsidP="00F95C74">
            <w:pPr>
              <w:jc w:val="right"/>
            </w:pPr>
            <w:r w:rsidRPr="00022BA7">
              <w:t>(</w:t>
            </w:r>
            <w:r>
              <w:t>61</w:t>
            </w:r>
            <w:r w:rsidRPr="00022BA7">
              <w:t>)</w:t>
            </w:r>
          </w:p>
        </w:tc>
      </w:tr>
      <w:tr w:rsidR="004F075A" w:rsidRPr="00022BA7" w14:paraId="13E41F32" w14:textId="77777777" w:rsidTr="00F95C74">
        <w:trPr>
          <w:trHeight w:val="300"/>
        </w:trPr>
        <w:tc>
          <w:tcPr>
            <w:tcW w:w="718" w:type="dxa"/>
          </w:tcPr>
          <w:p w14:paraId="6FB70EC4" w14:textId="77777777" w:rsidR="004F075A" w:rsidRPr="00022BA7" w:rsidRDefault="004F075A" w:rsidP="00F95C74">
            <w:pPr>
              <w:rPr>
                <w:i/>
              </w:rPr>
            </w:pPr>
          </w:p>
        </w:tc>
        <w:tc>
          <w:tcPr>
            <w:tcW w:w="7891" w:type="dxa"/>
          </w:tcPr>
          <w:p w14:paraId="5CBE76D4"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AE</m:t>
                    </m:r>
                  </m:sup>
                </m:sSubSup>
                <m:r>
                  <w:rPr>
                    <w:rFonts w:ascii="Cambria Math" w:hAnsi="Cambria Math"/>
                  </w:rPr>
                  <m:t>=CA</m:t>
                </m:r>
                <m:sSubSup>
                  <m:sSubSupPr>
                    <m:ctrlPr>
                      <w:rPr>
                        <w:rFonts w:ascii="Cambria Math" w:hAnsi="Cambria Math"/>
                        <w:i/>
                      </w:rPr>
                    </m:ctrlPr>
                  </m:sSubSupPr>
                  <m:e>
                    <m:r>
                      <w:rPr>
                        <w:rFonts w:ascii="Cambria Math" w:hAnsi="Cambria Math"/>
                      </w:rPr>
                      <m:t>P</m:t>
                    </m:r>
                  </m:e>
                  <m:sub>
                    <m:r>
                      <w:rPr>
                        <w:rFonts w:ascii="Cambria Math" w:hAnsi="Cambria Math"/>
                      </w:rPr>
                      <m:t>v</m:t>
                    </m:r>
                  </m:sub>
                  <m:sup>
                    <m:r>
                      <w:rPr>
                        <w:rFonts w:ascii="Cambria Math" w:hAnsi="Cambria Math"/>
                      </w:rPr>
                      <m:t>AE</m:t>
                    </m:r>
                  </m:sup>
                </m:sSub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Eg</m:t>
                    </m:r>
                  </m:sup>
                </m:sSup>
              </m:oMath>
            </m:oMathPara>
          </w:p>
        </w:tc>
        <w:tc>
          <w:tcPr>
            <w:tcW w:w="751" w:type="dxa"/>
          </w:tcPr>
          <w:p w14:paraId="11E18626" w14:textId="77777777" w:rsidR="004F075A" w:rsidRPr="00022BA7" w:rsidRDefault="004F075A" w:rsidP="00F95C74">
            <w:pPr>
              <w:jc w:val="right"/>
            </w:pPr>
            <w:r w:rsidRPr="00022BA7">
              <w:t>(</w:t>
            </w:r>
            <w:r>
              <w:t>62</w:t>
            </w:r>
            <w:r w:rsidRPr="00022BA7">
              <w:t>)</w:t>
            </w:r>
          </w:p>
        </w:tc>
      </w:tr>
      <w:tr w:rsidR="004F075A" w:rsidRPr="00022BA7" w14:paraId="0C2FC827" w14:textId="77777777" w:rsidTr="00F95C74">
        <w:trPr>
          <w:trHeight w:val="300"/>
        </w:trPr>
        <w:tc>
          <w:tcPr>
            <w:tcW w:w="718" w:type="dxa"/>
          </w:tcPr>
          <w:p w14:paraId="318D8E44" w14:textId="77777777" w:rsidR="004F075A" w:rsidRPr="00022BA7" w:rsidRDefault="004F075A" w:rsidP="00F95C74">
            <w:pPr>
              <w:rPr>
                <w:i/>
              </w:rPr>
            </w:pPr>
          </w:p>
        </w:tc>
        <w:tc>
          <w:tcPr>
            <w:tcW w:w="7891" w:type="dxa"/>
          </w:tcPr>
          <w:p w14:paraId="1E979D06"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W</m:t>
                    </m:r>
                  </m:e>
                  <m:sub>
                    <m:r>
                      <w:rPr>
                        <w:rFonts w:ascii="Cambria Math" w:hAnsi="Cambria Math"/>
                      </w:rPr>
                      <m:t>v,100</m:t>
                    </m:r>
                  </m:sub>
                  <m:sup>
                    <m:r>
                      <w:rPr>
                        <w:rFonts w:ascii="Cambria Math" w:hAnsi="Cambria Math"/>
                      </w:rPr>
                      <m:t>F</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v,100</m:t>
                    </m:r>
                  </m:sub>
                  <m:sup>
                    <m:r>
                      <w:rPr>
                        <w:rFonts w:ascii="Cambria Math" w:hAnsi="Cambria Math"/>
                      </w:rPr>
                      <m:t>ref</m:t>
                    </m:r>
                  </m:sup>
                </m:sSubSup>
                <m:r>
                  <w:rPr>
                    <w:rFonts w:ascii="Cambria Math" w:hAnsi="Cambria Math"/>
                  </w:rPr>
                  <m:t>⋅</m:t>
                </m:r>
                <m:sSup>
                  <m:sSupPr>
                    <m:ctrlPr>
                      <w:rPr>
                        <w:rFonts w:ascii="Cambria Math" w:hAnsi="Cambria Math"/>
                        <w:i/>
                      </w:rPr>
                    </m:ctrlPr>
                  </m:sSupPr>
                  <m:e>
                    <m:sSup>
                      <m:sSupPr>
                        <m:ctrlPr>
                          <w:rPr>
                            <w:rFonts w:ascii="Cambria Math" w:hAnsi="Cambria Math"/>
                            <w:i/>
                          </w:rPr>
                        </m:ctrlPr>
                      </m:sSupPr>
                      <m:e>
                        <m:r>
                          <w:rPr>
                            <w:rFonts w:ascii="Cambria Math" w:hAnsi="Cambria Math"/>
                          </w:rPr>
                          <m:t>η</m:t>
                        </m:r>
                      </m:e>
                      <m:sup>
                        <m:r>
                          <w:rPr>
                            <w:rFonts w:ascii="Cambria Math" w:hAnsi="Cambria Math"/>
                          </w:rPr>
                          <m:t>E</m:t>
                        </m:r>
                      </m:sup>
                    </m:sSup>
                  </m:e>
                  <m:sup>
                    <m:r>
                      <w:rPr>
                        <w:rFonts w:ascii="Cambria Math" w:hAnsi="Cambria Math"/>
                      </w:rPr>
                      <m:t>-1</m:t>
                    </m:r>
                  </m:sup>
                </m:sSup>
                <m:r>
                  <w:rPr>
                    <w:rFonts w:ascii="Cambria Math" w:hAnsi="Cambria Math"/>
                  </w:rPr>
                  <m:t>⋅</m:t>
                </m:r>
                <m:sSup>
                  <m:sSupPr>
                    <m:ctrlPr>
                      <w:rPr>
                        <w:rFonts w:ascii="Cambria Math" w:hAnsi="Cambria Math"/>
                        <w:i/>
                      </w:rPr>
                    </m:ctrlPr>
                  </m:sSupPr>
                  <m:e>
                    <m:sSubSup>
                      <m:sSubSupPr>
                        <m:ctrlPr>
                          <w:rPr>
                            <w:rFonts w:ascii="Cambria Math" w:hAnsi="Cambria Math"/>
                            <w:i/>
                          </w:rPr>
                        </m:ctrlPr>
                      </m:sSubSupPr>
                      <m:e>
                        <m:r>
                          <w:rPr>
                            <w:rFonts w:ascii="Cambria Math" w:hAnsi="Cambria Math"/>
                          </w:rPr>
                          <m:t>ρ</m:t>
                        </m:r>
                      </m:e>
                      <m:sub>
                        <m:r>
                          <w:rPr>
                            <w:rFonts w:ascii="Cambria Math" w:hAnsi="Cambria Math"/>
                          </w:rPr>
                          <m:t>e</m:t>
                        </m:r>
                      </m:sub>
                      <m:sup>
                        <m:r>
                          <w:rPr>
                            <w:rFonts w:ascii="Cambria Math" w:hAnsi="Cambria Math"/>
                          </w:rPr>
                          <m:t>D</m:t>
                        </m:r>
                      </m:sup>
                    </m:sSubSup>
                  </m:e>
                  <m:sup>
                    <m:r>
                      <w:rPr>
                        <w:rFonts w:ascii="Cambria Math" w:hAnsi="Cambria Math"/>
                      </w:rPr>
                      <m:t>-1</m:t>
                    </m:r>
                  </m:sup>
                </m:sSup>
              </m:oMath>
            </m:oMathPara>
          </w:p>
        </w:tc>
        <w:tc>
          <w:tcPr>
            <w:tcW w:w="751" w:type="dxa"/>
          </w:tcPr>
          <w:p w14:paraId="396FAC3F" w14:textId="77777777" w:rsidR="004F075A" w:rsidRPr="00022BA7" w:rsidRDefault="004F075A" w:rsidP="00F95C74">
            <w:pPr>
              <w:jc w:val="right"/>
            </w:pPr>
            <w:r w:rsidRPr="00022BA7">
              <w:t>(</w:t>
            </w:r>
            <w:r>
              <w:t>63</w:t>
            </w:r>
            <w:r w:rsidRPr="00022BA7">
              <w:t>)</w:t>
            </w:r>
          </w:p>
        </w:tc>
      </w:tr>
      <w:tr w:rsidR="004F075A" w:rsidRPr="00022BA7" w14:paraId="6E7A5E8F" w14:textId="77777777" w:rsidTr="00F95C74">
        <w:trPr>
          <w:trHeight w:val="300"/>
        </w:trPr>
        <w:tc>
          <w:tcPr>
            <w:tcW w:w="718" w:type="dxa"/>
          </w:tcPr>
          <w:p w14:paraId="201E3CCA" w14:textId="77777777" w:rsidR="004F075A" w:rsidRPr="00022BA7" w:rsidRDefault="004F075A" w:rsidP="00F95C74">
            <w:pPr>
              <w:rPr>
                <w:i/>
              </w:rPr>
            </w:pPr>
          </w:p>
        </w:tc>
        <w:tc>
          <w:tcPr>
            <w:tcW w:w="7891" w:type="dxa"/>
          </w:tcPr>
          <w:p w14:paraId="430EC2D6"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B</m:t>
                    </m:r>
                  </m:sup>
                </m:sSubSup>
                <m:r>
                  <w:rPr>
                    <w:rFonts w:ascii="Cambria Math" w:hAnsi="Cambria Math"/>
                  </w:rPr>
                  <m:t>=</m:t>
                </m:r>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B</m:t>
                    </m:r>
                  </m:sup>
                </m:sSup>
              </m:oMath>
            </m:oMathPara>
          </w:p>
        </w:tc>
        <w:tc>
          <w:tcPr>
            <w:tcW w:w="751" w:type="dxa"/>
          </w:tcPr>
          <w:p w14:paraId="28556116" w14:textId="77777777" w:rsidR="004F075A" w:rsidRPr="00022BA7" w:rsidRDefault="004F075A" w:rsidP="00F95C74">
            <w:pPr>
              <w:jc w:val="right"/>
            </w:pPr>
            <w:r w:rsidRPr="00022BA7">
              <w:t>(</w:t>
            </w:r>
            <w:r>
              <w:t>64</w:t>
            </w:r>
            <w:r w:rsidRPr="00022BA7">
              <w:t>)</w:t>
            </w:r>
          </w:p>
        </w:tc>
      </w:tr>
      <w:tr w:rsidR="004F075A" w:rsidRPr="00022BA7" w14:paraId="41992773" w14:textId="77777777" w:rsidTr="00F95C74">
        <w:trPr>
          <w:trHeight w:val="300"/>
        </w:trPr>
        <w:tc>
          <w:tcPr>
            <w:tcW w:w="718" w:type="dxa"/>
          </w:tcPr>
          <w:p w14:paraId="678A7E6C" w14:textId="77777777" w:rsidR="004F075A" w:rsidRPr="00022BA7" w:rsidRDefault="004F075A" w:rsidP="00F95C74">
            <w:pPr>
              <w:rPr>
                <w:i/>
              </w:rPr>
            </w:pPr>
          </w:p>
        </w:tc>
        <w:tc>
          <w:tcPr>
            <w:tcW w:w="7891" w:type="dxa"/>
          </w:tcPr>
          <w:p w14:paraId="4720D36B" w14:textId="77777777" w:rsidR="004F075A" w:rsidRPr="00022BA7" w:rsidRDefault="00590C69" w:rsidP="00F95C74">
            <w:pPr>
              <w:rPr>
                <w:rFonts w:eastAsia="Malgun Gothic" w:cs="Times New Roman"/>
                <w:i/>
                <w:iCs/>
              </w:rPr>
            </w:pPr>
            <m:oMathPara>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EM</m:t>
                    </m:r>
                  </m:sup>
                </m:sSubSup>
                <m:r>
                  <w:rPr>
                    <w:rFonts w:ascii="Cambria Math" w:hAnsi="Cambria Math"/>
                  </w:rPr>
                  <m:t>=CA</m:t>
                </m:r>
                <m:sSubSup>
                  <m:sSubSupPr>
                    <m:ctrlPr>
                      <w:rPr>
                        <w:rFonts w:ascii="Cambria Math" w:hAnsi="Cambria Math"/>
                        <w:i/>
                      </w:rPr>
                    </m:ctrlPr>
                  </m:sSubSupPr>
                  <m:e>
                    <m:r>
                      <w:rPr>
                        <w:rFonts w:ascii="Cambria Math" w:hAnsi="Cambria Math"/>
                      </w:rPr>
                      <m:t>P</m:t>
                    </m:r>
                  </m:e>
                  <m:sub>
                    <m:r>
                      <w:rPr>
                        <w:rFonts w:ascii="Cambria Math" w:hAnsi="Cambria Math"/>
                      </w:rPr>
                      <m:t>v</m:t>
                    </m:r>
                  </m:sub>
                  <m:sup>
                    <m:r>
                      <w:rPr>
                        <w:rFonts w:ascii="Cambria Math" w:hAnsi="Cambria Math"/>
                      </w:rPr>
                      <m:t>ME</m:t>
                    </m:r>
                  </m:sup>
                </m:sSub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EM</m:t>
                    </m:r>
                  </m:sup>
                </m:sSup>
              </m:oMath>
            </m:oMathPara>
          </w:p>
        </w:tc>
        <w:tc>
          <w:tcPr>
            <w:tcW w:w="751" w:type="dxa"/>
          </w:tcPr>
          <w:p w14:paraId="515B9613" w14:textId="77777777" w:rsidR="004F075A" w:rsidRPr="00022BA7" w:rsidRDefault="004F075A" w:rsidP="00F95C74">
            <w:pPr>
              <w:jc w:val="right"/>
            </w:pPr>
            <w:r w:rsidRPr="00022BA7">
              <w:t>(</w:t>
            </w:r>
            <w:r>
              <w:t>65</w:t>
            </w:r>
            <w:r w:rsidRPr="00022BA7">
              <w:t>)</w:t>
            </w:r>
          </w:p>
        </w:tc>
      </w:tr>
    </w:tbl>
    <w:p w14:paraId="2B8B4ABC" w14:textId="77777777" w:rsidR="004F075A" w:rsidRPr="00022BA7" w:rsidRDefault="004F075A" w:rsidP="004F075A"/>
    <w:p w14:paraId="19BECD9D" w14:textId="0D4DBFB8" w:rsidR="004F075A" w:rsidRPr="00022BA7" w:rsidRDefault="004F075A" w:rsidP="004F075A">
      <w:r w:rsidRPr="00022BA7">
        <w:t xml:space="preserve">where </w:t>
      </w:r>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ME</m:t>
            </m:r>
          </m:sup>
        </m:sSubSup>
      </m:oMath>
      <w:r w:rsidRPr="00022BA7">
        <w:t xml:space="preserve"> and </w:t>
      </w:r>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AE</m:t>
            </m:r>
          </m:sup>
        </m:sSubSup>
      </m:oMath>
      <w:r w:rsidRPr="00022BA7">
        <w:t xml:space="preserve"> are the estimated weight</w:t>
      </w:r>
      <w:r>
        <w:t>s</w:t>
      </w:r>
      <w:r w:rsidRPr="00022BA7">
        <w:t xml:space="preserve"> of </w:t>
      </w:r>
      <w:r>
        <w:t xml:space="preserve">the </w:t>
      </w:r>
      <w:r w:rsidRPr="00022BA7">
        <w:t xml:space="preserve">main and auxiliary engines, respectively, </w:t>
      </w:r>
      <m:oMath>
        <m:r>
          <w:rPr>
            <w:rFonts w:ascii="Cambria Math" w:hAnsi="Cambria Math"/>
          </w:rPr>
          <m:t>CA</m:t>
        </m:r>
        <m:sSubSup>
          <m:sSubSupPr>
            <m:ctrlPr>
              <w:rPr>
                <w:rFonts w:ascii="Cambria Math" w:hAnsi="Cambria Math"/>
                <w:i/>
              </w:rPr>
            </m:ctrlPr>
          </m:sSubSupPr>
          <m:e>
            <m:r>
              <w:rPr>
                <w:rFonts w:ascii="Cambria Math" w:hAnsi="Cambria Math"/>
              </w:rPr>
              <m:t>P</m:t>
            </m:r>
          </m:e>
          <m:sub>
            <m:r>
              <w:rPr>
                <w:rFonts w:ascii="Cambria Math" w:hAnsi="Cambria Math"/>
              </w:rPr>
              <m:t>v</m:t>
            </m:r>
          </m:sub>
          <m:sup>
            <m:r>
              <w:rPr>
                <w:rFonts w:ascii="Cambria Math" w:hAnsi="Cambria Math"/>
              </w:rPr>
              <m:t>ME</m:t>
            </m:r>
          </m:sup>
        </m:sSubSup>
      </m:oMath>
      <w:r w:rsidRPr="00022BA7">
        <w:t xml:space="preserve"> and </w:t>
      </w:r>
      <m:oMath>
        <m:r>
          <w:rPr>
            <w:rFonts w:ascii="Cambria Math" w:hAnsi="Cambria Math"/>
          </w:rPr>
          <m:t>CA</m:t>
        </m:r>
        <m:sSubSup>
          <m:sSubSupPr>
            <m:ctrlPr>
              <w:rPr>
                <w:rFonts w:ascii="Cambria Math" w:hAnsi="Cambria Math"/>
                <w:i/>
              </w:rPr>
            </m:ctrlPr>
          </m:sSubSupPr>
          <m:e>
            <m:r>
              <w:rPr>
                <w:rFonts w:ascii="Cambria Math" w:hAnsi="Cambria Math"/>
              </w:rPr>
              <m:t>P</m:t>
            </m:r>
          </m:e>
          <m:sub>
            <m:r>
              <w:rPr>
                <w:rFonts w:ascii="Cambria Math" w:hAnsi="Cambria Math"/>
              </w:rPr>
              <m:t>v</m:t>
            </m:r>
          </m:sub>
          <m:sup>
            <m:r>
              <w:rPr>
                <w:rFonts w:ascii="Cambria Math" w:hAnsi="Cambria Math"/>
              </w:rPr>
              <m:t>ME</m:t>
            </m:r>
          </m:sup>
        </m:sSubSup>
      </m:oMath>
      <w:r w:rsidRPr="00022BA7">
        <w:t xml:space="preserve"> are the capacit</w:t>
      </w:r>
      <w:r>
        <w:t>ies</w:t>
      </w:r>
      <w:r w:rsidRPr="00022BA7">
        <w:t xml:space="preserve"> of </w:t>
      </w:r>
      <w:r>
        <w:t xml:space="preserve">the </w:t>
      </w:r>
      <w:r w:rsidRPr="00022BA7">
        <w:t xml:space="preserve">main and auxiliary engines, respectively,  </w:t>
      </w:r>
      <m:oMath>
        <m:sSup>
          <m:sSupPr>
            <m:ctrlPr>
              <w:rPr>
                <w:rFonts w:ascii="Cambria Math" w:hAnsi="Cambria Math"/>
                <w:i/>
              </w:rPr>
            </m:ctrlPr>
          </m:sSupPr>
          <m:e>
            <m:r>
              <w:rPr>
                <w:rFonts w:ascii="Cambria Math" w:hAnsi="Cambria Math"/>
              </w:rPr>
              <m:t>R</m:t>
            </m:r>
          </m:e>
          <m:sup>
            <m:r>
              <w:rPr>
                <w:rFonts w:ascii="Cambria Math" w:hAnsi="Cambria Math"/>
              </w:rPr>
              <m:t>Eg</m:t>
            </m:r>
          </m:sup>
        </m:sSup>
      </m:oMath>
      <w:r w:rsidRPr="00022BA7">
        <w:t xml:space="preserve"> is the engine capacity-to-weight constant, assumed as 12.1 kg/kW, representing the small feeder vessel type</w:t>
      </w:r>
      <w:r w:rsidR="00B44523">
        <w:fldChar w:fldCharType="begin"/>
      </w:r>
      <w:r w:rsidR="00F33969">
        <w:instrText xml:space="preserve"> ADDIN ZOTERO_ITEM CSL_CITATION {"citationID":"AaKrJ8Pf","properties":{"formattedCitation":"\\super 27\\nosupersub{}","plainCitation":"27","noteIndex":0},"citationItems":[{"id":235,"uris":["http://zotero.org/users/12468222/items/L52VEIIP"],"itemData":{"id":235,"type":"article-journal","abstract":"International maritime shipping—powered by heavy fuel oil—is a major contributor to global CO2, SO2, and NOx emissions. The direct electrification of maritime vessels has been underexplored as a low-emission option despite its considerable efficiency advantage over electrofuels. Past studies on ship electrification have relied on outdated assumptions on battery cost, energy density values and available on-board space. We show that at battery prices of US$100 kWh−1 the electrification of intraregional trade routes of less than 1,500 km is economical, with minimal impact to ship carrying capacity. Including the environmental costs increases the economical range to 5,000 km. If batteries achieve a US$50 kWh−1 price point, the economical range nearly doubles. We describe a pathway for the battery electrification of containerships within this decade that electrifies over 40% of global containership traffic, reduces CO2 emissions by 14% for US-based vessels, and mitigates the health impacts of air pollution on coastal communities.","container-title":"Nature Energy","DOI":"10.1038/s41560-022-01065-y","ISSN":"2058-7546","issue":"7","journalAbbreviation":"Nat Energy","language":"en","license":"2022 The Author(s)","note":"number: 7\npublisher: Nature Publishing Group","page":"664-674","source":"www.nature.com","title":"Rapid battery cost declines accelerate the prospects of all-electric interregional container shipping","volume":"7","author":[{"family":"Kersey","given":"Jessica"},{"family":"Popovich","given":"Natalie D."},{"family":"Phadke","given":"Amol A."}],"issued":{"date-parts":[["2022",7]]}}}],"schema":"https://github.com/citation-style-language/schema/raw/master/csl-citation.json"} </w:instrText>
      </w:r>
      <w:r w:rsidR="00B44523">
        <w:fldChar w:fldCharType="separate"/>
      </w:r>
      <w:r w:rsidR="00F33969" w:rsidRPr="00F33969">
        <w:rPr>
          <w:rFonts w:cs="Times New Roman"/>
          <w:szCs w:val="24"/>
          <w:vertAlign w:val="superscript"/>
        </w:rPr>
        <w:t>27</w:t>
      </w:r>
      <w:r w:rsidR="00B44523">
        <w:fldChar w:fldCharType="end"/>
      </w:r>
      <w:r w:rsidRPr="00022BA7">
        <w:t xml:space="preserve">. </w:t>
      </w:r>
      <m:oMath>
        <m:sSubSup>
          <m:sSubSupPr>
            <m:ctrlPr>
              <w:rPr>
                <w:rFonts w:ascii="Cambria Math" w:hAnsi="Cambria Math"/>
                <w:i/>
              </w:rPr>
            </m:ctrlPr>
          </m:sSubSupPr>
          <m:e>
            <m:r>
              <w:rPr>
                <w:rFonts w:ascii="Cambria Math" w:hAnsi="Cambria Math"/>
              </w:rPr>
              <m:t>W</m:t>
            </m:r>
          </m:e>
          <m:sub>
            <m:r>
              <w:rPr>
                <w:rFonts w:ascii="Cambria Math" w:hAnsi="Cambria Math"/>
              </w:rPr>
              <m:t>v,pX</m:t>
            </m:r>
          </m:sub>
          <m:sup>
            <m:r>
              <w:rPr>
                <w:rFonts w:ascii="Cambria Math" w:hAnsi="Cambria Math"/>
              </w:rPr>
              <m:t>B</m:t>
            </m:r>
          </m:sup>
        </m:sSubSup>
      </m:oMath>
      <w:r w:rsidRPr="00022BA7">
        <w:t xml:space="preserve"> is </w:t>
      </w:r>
      <w:r>
        <w:t xml:space="preserve">the </w:t>
      </w:r>
      <w:r w:rsidRPr="00022BA7">
        <w:t xml:space="preserve">weight of </w:t>
      </w:r>
      <w:r>
        <w:t xml:space="preserve">the </w:t>
      </w:r>
      <w:r w:rsidRPr="00022BA7">
        <w:t xml:space="preserve">battery system of capacity tier </w:t>
      </w:r>
      <m:oMath>
        <m:r>
          <w:rPr>
            <w:rFonts w:ascii="Cambria Math" w:hAnsi="Cambria Math"/>
          </w:rPr>
          <m:t>pX</m:t>
        </m:r>
      </m:oMath>
      <w:r w:rsidRPr="00022BA7">
        <w:t xml:space="preserve">, </w:t>
      </w:r>
      <m:oMath>
        <m:sSubSup>
          <m:sSubSupPr>
            <m:ctrlPr>
              <w:rPr>
                <w:rFonts w:ascii="Cambria Math" w:hAnsi="Cambria Math"/>
              </w:rPr>
            </m:ctrlPr>
          </m:sSubSupPr>
          <m:e>
            <m:r>
              <w:rPr>
                <w:rFonts w:ascii="Cambria Math" w:hAnsi="Cambria Math"/>
              </w:rPr>
              <m:t>CAP</m:t>
            </m:r>
          </m:e>
          <m:sub>
            <m:r>
              <w:rPr>
                <w:rFonts w:ascii="Cambria Math" w:hAnsi="Cambria Math"/>
              </w:rPr>
              <m:t>v</m:t>
            </m:r>
            <m:r>
              <m:rPr>
                <m:sty m:val="p"/>
              </m:rPr>
              <w:rPr>
                <w:rFonts w:ascii="Cambria Math" w:hAnsi="Cambria Math"/>
              </w:rPr>
              <m:t>,</m:t>
            </m:r>
            <m:r>
              <w:rPr>
                <w:rFonts w:ascii="Cambria Math" w:hAnsi="Cambria Math"/>
              </w:rPr>
              <m:t>pX</m:t>
            </m:r>
          </m:sub>
          <m:sup>
            <m:r>
              <w:rPr>
                <w:rFonts w:ascii="Cambria Math" w:hAnsi="Cambria Math"/>
              </w:rPr>
              <m:t>B</m:t>
            </m:r>
          </m:sup>
        </m:sSubSup>
      </m:oMath>
      <w:r w:rsidRPr="00022BA7">
        <w:t xml:space="preserve"> is the capacity of the battery system in MWh, </w:t>
      </w:r>
      <m:oMath>
        <m:sSup>
          <m:sSupPr>
            <m:ctrlPr>
              <w:rPr>
                <w:rFonts w:ascii="Cambria Math" w:hAnsi="Cambria Math"/>
                <w:i/>
              </w:rPr>
            </m:ctrlPr>
          </m:sSupPr>
          <m:e>
            <m:r>
              <w:rPr>
                <w:rFonts w:ascii="Cambria Math" w:hAnsi="Cambria Math"/>
              </w:rPr>
              <m:t>R</m:t>
            </m:r>
          </m:e>
          <m:sup>
            <m:r>
              <w:rPr>
                <w:rFonts w:ascii="Cambria Math" w:hAnsi="Cambria Math"/>
              </w:rPr>
              <m:t>B</m:t>
            </m:r>
          </m:sup>
        </m:sSup>
      </m:oMath>
      <w:r w:rsidRPr="00022BA7">
        <w:t xml:space="preserve"> is the specific weight of </w:t>
      </w:r>
      <w:r>
        <w:t xml:space="preserve">the </w:t>
      </w:r>
      <w:r w:rsidRPr="00022BA7">
        <w:t>battery system includ</w:t>
      </w:r>
      <w:r>
        <w:t>ing the</w:t>
      </w:r>
      <w:r w:rsidRPr="00022BA7">
        <w:t xml:space="preserve"> weight of battery cells, cooling</w:t>
      </w:r>
      <w:r>
        <w:t xml:space="preserve"> system</w:t>
      </w:r>
      <w:r w:rsidRPr="00022BA7">
        <w:t xml:space="preserve">, and racks, assumed as 20.5 </w:t>
      </w:r>
      <w:r w:rsidR="007665A5">
        <w:t>kg</w:t>
      </w:r>
      <w:r w:rsidRPr="00022BA7">
        <w:t>/</w:t>
      </w:r>
      <w:r w:rsidR="007665A5">
        <w:t>kWh</w:t>
      </w:r>
      <w:r w:rsidRPr="00022BA7">
        <w:t xml:space="preserve"> </w:t>
      </w:r>
      <w:r>
        <w:t xml:space="preserve">(i.e., the </w:t>
      </w:r>
      <w:r w:rsidRPr="00022BA7">
        <w:t xml:space="preserve">average of 11 and 30 </w:t>
      </w:r>
      <w:proofErr w:type="spellStart"/>
      <w:r>
        <w:t>tonnes</w:t>
      </w:r>
      <w:proofErr w:type="spellEnd"/>
      <w:r>
        <w:t xml:space="preserve">/MWh </w:t>
      </w:r>
      <w:r w:rsidRPr="00022BA7">
        <w:t xml:space="preserve">for </w:t>
      </w:r>
      <w:r>
        <w:t xml:space="preserve">a </w:t>
      </w:r>
      <w:r w:rsidRPr="00022BA7">
        <w:t>heavy-duty marine battery</w:t>
      </w:r>
      <w:r>
        <w:t>)</w:t>
      </w:r>
      <w:r w:rsidR="00140042">
        <w:fldChar w:fldCharType="begin"/>
      </w:r>
      <w:r w:rsidR="00F33969">
        <w:instrText xml:space="preserve"> ADDIN ZOTERO_ITEM CSL_CITATION {"citationID":"btCxB0Dm","properties":{"formattedCitation":"\\super 33\\nosupersub{}","plainCitation":"33","noteIndex":0},"citationItems":[{"id":294,"uris":["http://zotero.org/users/12468222/items/JUI6TRSI"],"itemData":{"id":294,"type":"report","title":"Batteries on Board Ocean-Going Vessels","URL":"https://www.man-es.com/docs/default-source/marine/tools/batteries-on-board-ocean-going-vessels.pdf","author":[{"family":"MAN Energy Solutions","given":""}],"issued":{"date-parts":[["2020"]]}}}],"schema":"https://github.com/citation-style-language/schema/raw/master/csl-citation.json"} </w:instrText>
      </w:r>
      <w:r w:rsidR="00140042">
        <w:fldChar w:fldCharType="separate"/>
      </w:r>
      <w:r w:rsidR="00F33969" w:rsidRPr="00F33969">
        <w:rPr>
          <w:rFonts w:cs="Times New Roman"/>
          <w:szCs w:val="24"/>
          <w:vertAlign w:val="superscript"/>
        </w:rPr>
        <w:t>33</w:t>
      </w:r>
      <w:r w:rsidR="00140042">
        <w:fldChar w:fldCharType="end"/>
      </w:r>
      <w:r w:rsidRPr="00022BA7">
        <w:t xml:space="preserve">. </w:t>
      </w:r>
      <m:oMath>
        <m:sSubSup>
          <m:sSubSupPr>
            <m:ctrlPr>
              <w:rPr>
                <w:rFonts w:ascii="Cambria Math" w:hAnsi="Cambria Math"/>
                <w:i/>
              </w:rPr>
            </m:ctrlPr>
          </m:sSubSupPr>
          <m:e>
            <m:r>
              <w:rPr>
                <w:rFonts w:ascii="Cambria Math" w:hAnsi="Cambria Math"/>
              </w:rPr>
              <m:t>W</m:t>
            </m:r>
          </m:e>
          <m:sub>
            <m:r>
              <w:rPr>
                <w:rFonts w:ascii="Cambria Math" w:hAnsi="Cambria Math"/>
              </w:rPr>
              <m:t>v</m:t>
            </m:r>
          </m:sub>
          <m:sup>
            <m:r>
              <w:rPr>
                <w:rFonts w:ascii="Cambria Math" w:hAnsi="Cambria Math"/>
              </w:rPr>
              <m:t>EM</m:t>
            </m:r>
          </m:sup>
        </m:sSubSup>
      </m:oMath>
      <w:r w:rsidRPr="00022BA7">
        <w:t xml:space="preserve"> is </w:t>
      </w:r>
      <w:r>
        <w:t xml:space="preserve">the </w:t>
      </w:r>
      <w:r w:rsidRPr="00022BA7">
        <w:t xml:space="preserve">weight of </w:t>
      </w:r>
      <w:r>
        <w:t xml:space="preserve">the </w:t>
      </w:r>
      <w:r w:rsidRPr="00022BA7">
        <w:t xml:space="preserve">electric motor, </w:t>
      </w:r>
      <m:oMath>
        <m:sSup>
          <m:sSupPr>
            <m:ctrlPr>
              <w:rPr>
                <w:rFonts w:ascii="Cambria Math" w:hAnsi="Cambria Math"/>
                <w:i/>
              </w:rPr>
            </m:ctrlPr>
          </m:sSupPr>
          <m:e>
            <m:r>
              <w:rPr>
                <w:rFonts w:ascii="Cambria Math" w:hAnsi="Cambria Math"/>
              </w:rPr>
              <m:t>R</m:t>
            </m:r>
          </m:e>
          <m:sup>
            <m:r>
              <w:rPr>
                <w:rFonts w:ascii="Cambria Math" w:hAnsi="Cambria Math"/>
              </w:rPr>
              <m:t>EM</m:t>
            </m:r>
          </m:sup>
        </m:sSup>
      </m:oMath>
      <w:r w:rsidRPr="00022BA7">
        <w:t xml:space="preserve"> is the electric motor capacity-to-weight constant which is assumed as 0.11 kg/kW</w:t>
      </w:r>
      <w:r>
        <w:t>,</w:t>
      </w:r>
      <w:r w:rsidRPr="00022BA7">
        <w:t xml:space="preserve"> taken from the average of 2016 BMW i3 radial flux motor</w:t>
      </w:r>
      <w:r>
        <w:t>s</w:t>
      </w:r>
      <w:r w:rsidRPr="00022BA7">
        <w:t xml:space="preserve"> and new axial flux motors</w:t>
      </w:r>
      <w:r w:rsidR="009D1F03">
        <w:fldChar w:fldCharType="begin"/>
      </w:r>
      <w:r w:rsidR="00F33969">
        <w:instrText xml:space="preserve"> ADDIN ZOTERO_ITEM CSL_CITATION {"citationID":"QSWPVxez","properties":{"formattedCitation":"\\super 34\\nosupersub{}","plainCitation":"34","noteIndex":0},"citationItems":[{"id":219,"uris":["http://zotero.org/users/12468222/items/22F75H3N"],"itemData":{"id":219,"type":"article-journal","abstract":"A long-term solution to the climate and air pollution crises facing the world today includes electrification of almost all energy and obtaining that electricity from clean, renewable sources. Whereas electric alternatives exist for nearly all energy sectors, they do not exist for long-distance, heavy passenger aircraft, freight locomotives, or ships. Of particular note, solutions do not currently exist for military combat vehicles, such as armored tanks, oceangoing vessels, and rotary- and fixed-wing aircraft. Some have claimed such transport cannot be transitioned. This study evaluates whether such land, air, and sea vehicles can be replaced with battery electric and/or hydrogen fuel cell equivalents while maintaining vehicle range, mass, volume, and power- or thrust-to-weight ratio characteristics, more parameters than previously evaluated. Here we show that armored tanks, freight trains, boats, oceangoing vessels, helicopters, prop planes, and jumbo jets have potential to transition using identified technological advancements and solutions suggested achievable within literature. Furthermore, we provide an example of the impact to sustainability by showing that transitioning energy for United States Army vehicles could have the equivalent environmental improvement of taking nearly 700,000 passenger cars off the road today.","container-title":"Energy","DOI":"10.1016/j.energy.2022.124355","ISSN":"0360-5442","journalAbbreviation":"Energy","page":"124355","source":"ScienceDirect","title":"Toward battery electric and hydrogen fuel cell military vehicles for land, air, and sea","volume":"254","author":[{"family":"Katalenich","given":"Scott M."},{"family":"Jacobson","given":"Mark Z."}],"issued":{"date-parts":[["2022",9,1]]}}}],"schema":"https://github.com/citation-style-language/schema/raw/master/csl-citation.json"} </w:instrText>
      </w:r>
      <w:r w:rsidR="009D1F03">
        <w:fldChar w:fldCharType="separate"/>
      </w:r>
      <w:r w:rsidR="00F33969" w:rsidRPr="00F33969">
        <w:rPr>
          <w:rFonts w:cs="Times New Roman"/>
          <w:szCs w:val="24"/>
          <w:vertAlign w:val="superscript"/>
        </w:rPr>
        <w:t>34</w:t>
      </w:r>
      <w:r w:rsidR="009D1F03">
        <w:fldChar w:fldCharType="end"/>
      </w:r>
      <w:r w:rsidRPr="00022BA7">
        <w:t>.</w:t>
      </w:r>
    </w:p>
    <w:p w14:paraId="47E2C62B" w14:textId="77777777" w:rsidR="004F075A" w:rsidRPr="00022BA7" w:rsidRDefault="004F075A" w:rsidP="004F075A">
      <w:pPr>
        <w:tabs>
          <w:tab w:val="left" w:pos="5719"/>
        </w:tabs>
      </w:pPr>
      <w:r w:rsidRPr="00022BA7">
        <w:tab/>
      </w:r>
    </w:p>
    <w:p w14:paraId="7993757B" w14:textId="77777777" w:rsidR="00B84D0E" w:rsidRDefault="00B84D0E">
      <w:pPr>
        <w:widowControl/>
        <w:spacing w:line="240" w:lineRule="auto"/>
        <w:rPr>
          <w:rFonts w:eastAsiaTheme="majorEastAsia" w:cstheme="majorBidi"/>
          <w:b/>
          <w:sz w:val="24"/>
        </w:rPr>
      </w:pPr>
      <w:r>
        <w:br w:type="page"/>
      </w:r>
    </w:p>
    <w:p w14:paraId="290EEC71" w14:textId="52D6A58E" w:rsidR="00B84D0E" w:rsidRPr="00022BA7" w:rsidRDefault="00E80507" w:rsidP="00B84D0E">
      <w:pPr>
        <w:pStyle w:val="Heading1"/>
        <w:numPr>
          <w:ilvl w:val="0"/>
          <w:numId w:val="0"/>
        </w:numPr>
        <w:rPr>
          <w:color w:val="1F497D" w:themeColor="text2"/>
        </w:rPr>
      </w:pPr>
      <w:bookmarkStart w:id="94" w:name="_Ref144853566"/>
      <w:bookmarkStart w:id="95" w:name="_Toc146723124"/>
      <w:r>
        <w:rPr>
          <w:color w:val="1F497D" w:themeColor="text2"/>
        </w:rPr>
        <w:t xml:space="preserve">Supplementary Note 8: </w:t>
      </w:r>
      <w:r w:rsidR="00B84D0E" w:rsidRPr="00B84D0E">
        <w:rPr>
          <w:color w:val="1F497D" w:themeColor="text2"/>
        </w:rPr>
        <w:t>Life Cycle Analysis</w:t>
      </w:r>
      <w:bookmarkEnd w:id="94"/>
      <w:bookmarkEnd w:id="95"/>
    </w:p>
    <w:p w14:paraId="2B1FD313" w14:textId="15C28CCF" w:rsidR="00B84D0E" w:rsidRPr="00022BA7" w:rsidRDefault="00B84D0E" w:rsidP="00B84D0E">
      <w:r w:rsidRPr="00022BA7">
        <w:t xml:space="preserve">We developed a life cycle analysis (LCA) model to better account for supply chain energy demand and GHG emissions of battery-electric shipping. LCA is an analytical method that allows researchers to holistically assess the environmental impacts of a given product or process from raw materials extraction to final disposal (i.e., </w:t>
      </w:r>
      <w:r w:rsidR="00190F27">
        <w:t>“</w:t>
      </w:r>
      <w:r w:rsidRPr="00022BA7">
        <w:t>cradle to grave</w:t>
      </w:r>
      <w:r w:rsidR="00190F27">
        <w:t>”</w:t>
      </w:r>
      <w:r w:rsidRPr="00022BA7">
        <w:t xml:space="preserve">). </w:t>
      </w:r>
    </w:p>
    <w:p w14:paraId="6BC58CA2" w14:textId="77777777" w:rsidR="00B84D0E" w:rsidRPr="00022BA7" w:rsidRDefault="00B84D0E" w:rsidP="00B84D0E"/>
    <w:p w14:paraId="14B102EA" w14:textId="7DC746F2" w:rsidR="00B84D0E" w:rsidRPr="00022BA7" w:rsidRDefault="006001EF" w:rsidP="00B84D0E">
      <w:r>
        <w:fldChar w:fldCharType="begin"/>
      </w:r>
      <w:r>
        <w:instrText xml:space="preserve"> REF _Ref144853862 \h </w:instrText>
      </w:r>
      <w:r>
        <w:fldChar w:fldCharType="separate"/>
      </w:r>
      <w:r w:rsidR="00C661AC">
        <w:t xml:space="preserve">Supplementary </w:t>
      </w:r>
      <w:r w:rsidR="00C661AC" w:rsidRPr="00022BA7">
        <w:t xml:space="preserve">Figure </w:t>
      </w:r>
      <w:r w:rsidR="00C661AC">
        <w:rPr>
          <w:noProof/>
        </w:rPr>
        <w:t>18</w:t>
      </w:r>
      <w:r>
        <w:fldChar w:fldCharType="end"/>
      </w:r>
      <w:r>
        <w:t xml:space="preserve"> </w:t>
      </w:r>
      <w:r w:rsidR="00B84D0E" w:rsidRPr="00022BA7">
        <w:t>shows the scope of our LCA, which includes all supply chain activities associated with vessel operations outside of fuel combustion</w:t>
      </w:r>
      <w:r w:rsidR="00B84D0E">
        <w:t xml:space="preserve"> (i.e.,</w:t>
      </w:r>
      <w:r w:rsidR="00B84D0E" w:rsidRPr="00022BA7">
        <w:t xml:space="preserve"> electricity generation for </w:t>
      </w:r>
      <w:r w:rsidR="00B84D0E">
        <w:t xml:space="preserve">BES </w:t>
      </w:r>
      <w:r w:rsidR="00B84D0E" w:rsidRPr="00022BA7">
        <w:t>consumption</w:t>
      </w:r>
      <w:r w:rsidR="00B84D0E">
        <w:t>)</w:t>
      </w:r>
      <w:r w:rsidR="00B84D0E" w:rsidRPr="00022BA7">
        <w:t xml:space="preserve">. The final LCA model does include fuel combustion and electricity generation as optional results to provide the user with context for how other supply chain emissions fit within the total life cycle impacts. We used the </w:t>
      </w:r>
      <w:r w:rsidR="00B95072">
        <w:t>Argonne National Laboratory GHGs, Regulated Emissions, and Energy in Transportation (</w:t>
      </w:r>
      <w:r w:rsidR="00B84D0E" w:rsidRPr="00022BA7">
        <w:t>GREET</w:t>
      </w:r>
      <w:r w:rsidR="00B95072">
        <w:t>)</w:t>
      </w:r>
      <w:r w:rsidR="00B84D0E" w:rsidRPr="00022BA7">
        <w:t xml:space="preserve"> Model for determining life cycle environmental impacts whenever possible for consistency throughout the study</w:t>
      </w:r>
      <w:r w:rsidR="0093116E">
        <w:fldChar w:fldCharType="begin"/>
      </w:r>
      <w:r w:rsidR="00F33969">
        <w:instrText xml:space="preserve"> ADDIN ZOTERO_ITEM CSL_CITATION {"citationID":"qqPMeKQ6","properties":{"formattedCitation":"\\super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93116E">
        <w:fldChar w:fldCharType="separate"/>
      </w:r>
      <w:r w:rsidR="00F33969" w:rsidRPr="00F33969">
        <w:rPr>
          <w:rFonts w:cs="Times New Roman"/>
          <w:szCs w:val="24"/>
          <w:vertAlign w:val="superscript"/>
        </w:rPr>
        <w:t>20</w:t>
      </w:r>
      <w:r w:rsidR="0093116E">
        <w:fldChar w:fldCharType="end"/>
      </w:r>
      <w:r w:rsidR="00B84D0E" w:rsidRPr="00022BA7">
        <w:t xml:space="preserve">. </w:t>
      </w:r>
      <w:r w:rsidR="00B84D0E">
        <w:t>Specifically, w</w:t>
      </w:r>
      <w:r w:rsidR="00B84D0E" w:rsidRPr="00022BA7">
        <w:t>e used GREET for energy-related impacts, and the GREET2 model for battery manufacturing and recycling. The following sections detail methods and key assumptions for each part of the assessment. In all applications of the GREET and GREET2 models, we used default U.S. average assumptions and included infrastructure impacts whenever possible.</w:t>
      </w:r>
    </w:p>
    <w:p w14:paraId="65C97963" w14:textId="77777777" w:rsidR="00B84D0E" w:rsidRPr="00022BA7" w:rsidRDefault="00B84D0E" w:rsidP="00B84D0E"/>
    <w:p w14:paraId="7D42B582" w14:textId="33D30DF0" w:rsidR="00B84D0E" w:rsidRPr="00022BA7" w:rsidRDefault="00B84D0E" w:rsidP="00B84D0E">
      <w:pPr>
        <w:keepNext/>
        <w:widowControl/>
      </w:pPr>
      <w:r w:rsidRPr="00022BA7">
        <w:t xml:space="preserve">We designed the </w:t>
      </w:r>
      <w:r w:rsidR="007F46A7">
        <w:t xml:space="preserve">LCA </w:t>
      </w:r>
      <w:r w:rsidRPr="00022BA7">
        <w:t>model to allow a user to control key parameters, including:</w:t>
      </w:r>
    </w:p>
    <w:p w14:paraId="033A47AC" w14:textId="77777777" w:rsidR="00B84D0E" w:rsidRPr="00022BA7" w:rsidRDefault="00B84D0E" w:rsidP="00B84D0E">
      <w:pPr>
        <w:pStyle w:val="ListParagraph"/>
        <w:widowControl/>
        <w:numPr>
          <w:ilvl w:val="0"/>
          <w:numId w:val="26"/>
        </w:numPr>
        <w:spacing w:after="160" w:line="259" w:lineRule="auto"/>
        <w:ind w:right="0"/>
        <w:jc w:val="both"/>
        <w:rPr>
          <w:i/>
        </w:rPr>
      </w:pPr>
      <w:r w:rsidRPr="00022BA7">
        <w:rPr>
          <w:i/>
        </w:rPr>
        <w:t>Analysis period</w:t>
      </w:r>
    </w:p>
    <w:p w14:paraId="6DDC464E" w14:textId="77777777" w:rsidR="00B84D0E" w:rsidRPr="00022BA7" w:rsidRDefault="00B84D0E" w:rsidP="00B84D0E">
      <w:pPr>
        <w:pStyle w:val="ListParagraph"/>
        <w:widowControl/>
        <w:numPr>
          <w:ilvl w:val="0"/>
          <w:numId w:val="26"/>
        </w:numPr>
        <w:spacing w:after="160" w:line="259" w:lineRule="auto"/>
        <w:ind w:right="0"/>
        <w:jc w:val="both"/>
      </w:pPr>
      <w:r w:rsidRPr="00022BA7">
        <w:rPr>
          <w:i/>
        </w:rPr>
        <w:t>Energy consumption characteristics</w:t>
      </w:r>
      <w:r w:rsidRPr="00022BA7">
        <w:t>: annual energy consumption (MWh), analysis location (U.S. state), analysis year, electricity generation scenario</w:t>
      </w:r>
    </w:p>
    <w:p w14:paraId="368220B7" w14:textId="77777777" w:rsidR="00B84D0E" w:rsidRPr="00022BA7" w:rsidRDefault="00B84D0E" w:rsidP="00B84D0E">
      <w:pPr>
        <w:pStyle w:val="ListParagraph"/>
        <w:widowControl/>
        <w:numPr>
          <w:ilvl w:val="0"/>
          <w:numId w:val="26"/>
        </w:numPr>
        <w:spacing w:after="160" w:line="259" w:lineRule="auto"/>
        <w:ind w:right="0"/>
        <w:jc w:val="both"/>
      </w:pPr>
      <w:r w:rsidRPr="00022BA7">
        <w:rPr>
          <w:i/>
        </w:rPr>
        <w:t>Battery capacity and performance</w:t>
      </w:r>
      <w:r w:rsidRPr="00022BA7">
        <w:t>: battery size (kWh), cycles per day</w:t>
      </w:r>
    </w:p>
    <w:p w14:paraId="392DD922" w14:textId="77777777" w:rsidR="00B84D0E" w:rsidRPr="00022BA7" w:rsidRDefault="00B84D0E" w:rsidP="00B84D0E">
      <w:pPr>
        <w:pStyle w:val="ListParagraph"/>
        <w:widowControl/>
        <w:numPr>
          <w:ilvl w:val="0"/>
          <w:numId w:val="26"/>
        </w:numPr>
        <w:spacing w:after="160" w:line="259" w:lineRule="auto"/>
        <w:ind w:right="0"/>
        <w:jc w:val="both"/>
      </w:pPr>
      <w:r w:rsidRPr="00022BA7">
        <w:rPr>
          <w:i/>
        </w:rPr>
        <w:t>Emissions characteristics</w:t>
      </w:r>
      <w:r w:rsidRPr="00022BA7">
        <w:t>: global warming potential</w:t>
      </w:r>
    </w:p>
    <w:p w14:paraId="2438F728" w14:textId="77777777" w:rsidR="007F46A7" w:rsidRDefault="007F46A7" w:rsidP="004B61A9">
      <w:pPr>
        <w:pStyle w:val="Heading3"/>
        <w:ind w:left="0" w:firstLine="0"/>
      </w:pPr>
    </w:p>
    <w:p w14:paraId="2EEFC039" w14:textId="3ADBFB00" w:rsidR="00B84D0E" w:rsidRPr="00022BA7" w:rsidRDefault="00B84D0E">
      <w:pPr>
        <w:pStyle w:val="Heading3"/>
      </w:pPr>
      <w:r w:rsidRPr="00022BA7">
        <w:t>Battery Manufacturing</w:t>
      </w:r>
    </w:p>
    <w:p w14:paraId="3EAE2080" w14:textId="20C8BD3C" w:rsidR="00B84D0E" w:rsidRPr="00022BA7" w:rsidRDefault="00B84D0E" w:rsidP="00B84D0E">
      <w:r w:rsidRPr="00022BA7">
        <w:t xml:space="preserve">The battery manufacturing component of the </w:t>
      </w:r>
      <w:r w:rsidR="007F46A7">
        <w:t xml:space="preserve">LCA </w:t>
      </w:r>
      <w:r w:rsidRPr="00022BA7">
        <w:t>model considered all supply chain inputs (materials and energy) and final manufacturing of a lithium-ion (li-ion) battery. Dai et al. provided full life</w:t>
      </w:r>
      <w:r>
        <w:t xml:space="preserve"> </w:t>
      </w:r>
      <w:r w:rsidRPr="00022BA7">
        <w:t xml:space="preserve">cycle energy impacts separated into primary (direct fossil fuels) and secondary (electricity) energy for a </w:t>
      </w:r>
      <w:r w:rsidR="00CE5712" w:rsidRPr="00022BA7">
        <w:t>NMC</w:t>
      </w:r>
      <w:r w:rsidR="00CE5712" w:rsidRPr="00022BA7" w:rsidDel="00CE5712">
        <w:t xml:space="preserve"> </w:t>
      </w:r>
      <w:r w:rsidR="007F46A7">
        <w:t>L</w:t>
      </w:r>
      <w:r w:rsidRPr="00022BA7">
        <w:t>i-ion battery</w:t>
      </w:r>
      <w:r w:rsidR="000F2CEE">
        <w:fldChar w:fldCharType="begin"/>
      </w:r>
      <w:r w:rsidR="000F2CEE">
        <w:instrText xml:space="preserve"> ADDIN ZOTERO_ITEM CSL_CITATION {"citationID":"1bSWagqb","properties":{"formattedCitation":"\\super 35\\nosupersub{}","plainCitation":"35","noteIndex":0},"citationItems":[{"id":189,"uris":["http://zotero.org/users/12468222/items/MEC42255"],"itemData":{"id":189,"type":"article-journal","abstract":"In light of the increasing penetration of electric vehicles (EVs) in the global vehicle market, understanding the environmental impacts of lithium-ion batteries (LIBs) that characterize the EVs is key to sustainable EV deployment. This study analyzes the cradle-to-gate total energy use, greenhouse gas emissions, SOx, NOx, PM10 emissions, and water consumption associated with current industrial production of lithium nickel manganese cobalt oxide (NMC) batteries, with the battery life cycle analysis (LCA) module in the Greenhouse Gases, Regulated Emissions, and Energy Use in Transportation (GREET) model, which was recently updated with primary data collected from large-scale commercial battery material producers and automotive LIB manufacturers. The results show that active cathode material, aluminum, and energy use for cell production are the major contributors to the energy and environmental impacts of NMC batteries. However, this study also notes that the impacts could change significantly, depending on where in the world the battery is produced, and where the materials are sourced. In an effort to harmonize existing LCAs of automotive LIBs and guide future research, this study also lays out differences in life cycle inventories (LCIs) for key battery materials among existing LIB LCA studies, and identifies knowledge gaps.","container-title":"Batteries","DOI":"10.3390/batteries5020048","ISSN":"2313-0105","issue":"2","language":"en","license":"http://creativecommons.org/licenses/by/3.0/","note":"number: 2\npublisher: Multidisciplinary Digital Publishing Institute","page":"48","source":"www.mdpi.com","title":"Life Cycle Analysis of Lithium-Ion Batteries for Automotive Applications","volume":"5","author":[{"family":"Dai","given":"Qiang"},{"family":"Kelly","given":"Jarod C."},{"family":"Gaines","given":"Linda"},{"family":"Wang","given":"Michael"}],"issued":{"date-parts":[["2019",6]]}}}],"schema":"https://github.com/citation-style-language/schema/raw/master/csl-citation.json"} </w:instrText>
      </w:r>
      <w:r w:rsidR="000F2CEE">
        <w:fldChar w:fldCharType="separate"/>
      </w:r>
      <w:r w:rsidR="000F2CEE" w:rsidRPr="000F2CEE">
        <w:rPr>
          <w:rFonts w:cs="Times New Roman"/>
          <w:szCs w:val="24"/>
          <w:vertAlign w:val="superscript"/>
        </w:rPr>
        <w:t>35</w:t>
      </w:r>
      <w:r w:rsidR="000F2CEE">
        <w:fldChar w:fldCharType="end"/>
      </w:r>
      <w:r w:rsidRPr="00022BA7">
        <w:t xml:space="preserve">. We combined data from Dai et al. with the GREET2 methodology </w:t>
      </w:r>
      <w:r>
        <w:t xml:space="preserve">to </w:t>
      </w:r>
      <w:r w:rsidRPr="00022BA7">
        <w:t xml:space="preserve">model manufacturing emissions </w:t>
      </w:r>
      <w:r>
        <w:t>from</w:t>
      </w:r>
      <w:r w:rsidRPr="00022BA7">
        <w:t xml:space="preserve"> </w:t>
      </w:r>
      <w:r>
        <w:t xml:space="preserve">both </w:t>
      </w:r>
      <w:r w:rsidRPr="00022BA7">
        <w:t>primary fuel combustion and electricity generation. Our LCA of battery manufacturing assesses energy and GHG emissions based on kWh of battery size. Total battery manufacturing impacts are based on the user-selected battery size and battery replacement needs over the analysis period.</w:t>
      </w:r>
    </w:p>
    <w:p w14:paraId="3921A784" w14:textId="77777777" w:rsidR="00B84D0E" w:rsidRPr="00022BA7" w:rsidRDefault="00B84D0E" w:rsidP="00B84D0E"/>
    <w:p w14:paraId="5B2444B3" w14:textId="77777777" w:rsidR="00B84D0E" w:rsidRPr="00022BA7" w:rsidRDefault="00B84D0E">
      <w:pPr>
        <w:pStyle w:val="Heading3"/>
      </w:pPr>
      <w:r w:rsidRPr="00022BA7">
        <w:t>Battery Recycling</w:t>
      </w:r>
    </w:p>
    <w:p w14:paraId="196C6763" w14:textId="77777777" w:rsidR="00B84D0E" w:rsidRPr="00022BA7" w:rsidRDefault="00B84D0E" w:rsidP="00B84D0E">
      <w:pPr>
        <w:spacing w:after="240"/>
      </w:pPr>
      <w:r w:rsidRPr="00022BA7">
        <w:t>We used the GREET2 model to assess total energy demand and GHG emissions from the GREET2 direct recycling pathway, which incorporates all supply chain inputs and final outputs in process materials and energy use. Final results modeled with GREET2 include primary and secondary energy use and GHG emissions.</w:t>
      </w:r>
    </w:p>
    <w:p w14:paraId="6EC70B11" w14:textId="77777777" w:rsidR="00B84D0E" w:rsidRPr="00022BA7" w:rsidRDefault="00B84D0E">
      <w:pPr>
        <w:pStyle w:val="Heading3"/>
      </w:pPr>
      <w:r w:rsidRPr="00022BA7">
        <w:t>Electricity Generation</w:t>
      </w:r>
    </w:p>
    <w:p w14:paraId="65007DAA" w14:textId="4CF5B768" w:rsidR="00B84D0E" w:rsidRPr="00022BA7" w:rsidRDefault="00B84D0E" w:rsidP="00B84D0E">
      <w:pPr>
        <w:spacing w:after="240"/>
      </w:pPr>
      <w:r w:rsidRPr="00022BA7">
        <w:t>We assessed life cycle energy demands and GHG emissions of electricity generation by modeling two projected generation scenarios for all U.S. states through 2050 and combining those generation scenarios with life cycle emission factors. We modeled the project</w:t>
      </w:r>
      <w:r>
        <w:t>ed</w:t>
      </w:r>
      <w:r w:rsidRPr="00022BA7">
        <w:t xml:space="preserve"> scenarios using NREL</w:t>
      </w:r>
      <w:r w:rsidR="00190F27">
        <w:t>’</w:t>
      </w:r>
      <w:r w:rsidRPr="00022BA7">
        <w:t>s</w:t>
      </w:r>
      <w:r>
        <w:t xml:space="preserve"> </w:t>
      </w:r>
      <w:r w:rsidRPr="00022BA7">
        <w:t>Cambium model</w:t>
      </w:r>
      <w:r w:rsidR="0053040D">
        <w:fldChar w:fldCharType="begin"/>
      </w:r>
      <w:r w:rsidR="00F33969">
        <w:instrText xml:space="preserve"> ADDIN ZOTERO_ITEM CSL_CITATION {"citationID":"BTnO4vzi","properties":{"formattedCitation":"\\super 22\\nosupersub{}","plainCitation":"22","noteIndex":0},"citationItems":[{"id":200,"uris":["http://zotero.org/users/12468222/items/UHPJPMWV"],"itemData":{"id":200,"type":"article-journal","container-title":"Renewable Energy","language":"en","source":"Zotero","title":"Cambium Documentation: Version 2021","author":[{"family":"Gagnon","given":"Pieter"},{"family":"Frazier","given":"Will"},{"family":"Cole","given":"Wesley"},{"family":"Hale","given":"Elaine"}],"issued":{"date-parts":[["2021"]]}}}],"schema":"https://github.com/citation-style-language/schema/raw/master/csl-citation.json"} </w:instrText>
      </w:r>
      <w:r w:rsidR="0053040D">
        <w:fldChar w:fldCharType="separate"/>
      </w:r>
      <w:r w:rsidR="00F33969" w:rsidRPr="00F33969">
        <w:rPr>
          <w:rFonts w:cs="Times New Roman"/>
          <w:szCs w:val="24"/>
          <w:vertAlign w:val="superscript"/>
        </w:rPr>
        <w:t>22</w:t>
      </w:r>
      <w:r w:rsidR="0053040D">
        <w:fldChar w:fldCharType="end"/>
      </w:r>
      <w:r w:rsidRPr="00022BA7">
        <w:t xml:space="preserve"> for a </w:t>
      </w:r>
      <w:r w:rsidR="00190F27">
        <w:t>“</w:t>
      </w:r>
      <w:r w:rsidRPr="00022BA7">
        <w:t>Business as Usual</w:t>
      </w:r>
      <w:r w:rsidR="00C961CA">
        <w:t xml:space="preserve"> (BAU)</w:t>
      </w:r>
      <w:r w:rsidR="00190F27">
        <w:t>”</w:t>
      </w:r>
      <w:r w:rsidR="003C1500">
        <w:t xml:space="preserve"> </w:t>
      </w:r>
      <w:r w:rsidRPr="00022BA7">
        <w:t xml:space="preserve">scenario (defined by NREL as the </w:t>
      </w:r>
      <w:r w:rsidR="00190F27">
        <w:t>“</w:t>
      </w:r>
      <w:r w:rsidRPr="00022BA7">
        <w:t>Mid-case</w:t>
      </w:r>
      <w:r w:rsidR="00190F27">
        <w:t>”</w:t>
      </w:r>
      <w:r w:rsidRPr="00022BA7">
        <w:t xml:space="preserve">) and a </w:t>
      </w:r>
      <w:r w:rsidR="00C961CA">
        <w:t>“</w:t>
      </w:r>
      <w:r w:rsidRPr="00022BA7">
        <w:t xml:space="preserve">95% electricity decarbonization by 2050 </w:t>
      </w:r>
      <w:r w:rsidR="003C1500">
        <w:t>(DEC)</w:t>
      </w:r>
      <w:r w:rsidR="00C961CA">
        <w:t>”</w:t>
      </w:r>
      <w:r w:rsidR="003C1500">
        <w:t xml:space="preserve"> </w:t>
      </w:r>
      <w:r w:rsidRPr="00022BA7">
        <w:t>scenario (</w:t>
      </w:r>
      <w:r w:rsidR="00417C91" w:rsidRPr="00022BA7">
        <w:t xml:space="preserve">defined by NREL as </w:t>
      </w:r>
      <w:r w:rsidR="00190F27">
        <w:t>“</w:t>
      </w:r>
      <w:r w:rsidR="002B08EF">
        <w:t>Mid-case with 95% decarbonization by 2050</w:t>
      </w:r>
      <w:r w:rsidR="00190F27">
        <w:t>”</w:t>
      </w:r>
      <w:r w:rsidRPr="00022BA7">
        <w:t xml:space="preserve">). </w:t>
      </w:r>
      <w:r w:rsidR="002E5D2A">
        <w:t xml:space="preserve">The BAU scenario assumes </w:t>
      </w:r>
      <w:r w:rsidR="002E06AF" w:rsidRPr="002E06AF">
        <w:t>no new carbon policies after June 2021 leading to only 63% decarbonization until 2050</w:t>
      </w:r>
      <w:r w:rsidR="00A76D44">
        <w:t>.</w:t>
      </w:r>
      <w:r w:rsidR="006664FB">
        <w:t xml:space="preserve"> </w:t>
      </w:r>
      <w:r w:rsidR="00437F78">
        <w:t>Furthermore, to consider t</w:t>
      </w:r>
      <w:r w:rsidR="00437F78" w:rsidRPr="000F3C12">
        <w:rPr>
          <w:rFonts w:eastAsia="Calibri"/>
        </w:rPr>
        <w:t>he Biden-Harris administration</w:t>
      </w:r>
      <w:r w:rsidR="00437F78">
        <w:rPr>
          <w:rFonts w:eastAsia="Calibri"/>
        </w:rPr>
        <w:t xml:space="preserve">’s </w:t>
      </w:r>
      <w:r w:rsidR="00437F78" w:rsidRPr="000F3C12">
        <w:rPr>
          <w:rFonts w:eastAsia="Calibri"/>
        </w:rPr>
        <w:t>goal</w:t>
      </w:r>
      <w:r w:rsidR="00437F78">
        <w:rPr>
          <w:rFonts w:eastAsia="Calibri"/>
        </w:rPr>
        <w:t xml:space="preserve"> of</w:t>
      </w:r>
      <w:r w:rsidR="00437F78" w:rsidRPr="000F3C12">
        <w:rPr>
          <w:rFonts w:eastAsia="Calibri"/>
        </w:rPr>
        <w:t xml:space="preserve"> 100% </w:t>
      </w:r>
      <w:r w:rsidR="00437F78">
        <w:rPr>
          <w:rFonts w:eastAsia="Calibri"/>
        </w:rPr>
        <w:t xml:space="preserve">power sector </w:t>
      </w:r>
      <w:r w:rsidR="00437F78" w:rsidRPr="000F3C12">
        <w:rPr>
          <w:rFonts w:eastAsia="Calibri"/>
        </w:rPr>
        <w:t>decarbonization by 2035</w:t>
      </w:r>
      <w:r w:rsidR="00437F78">
        <w:rPr>
          <w:rFonts w:eastAsia="Calibri"/>
        </w:rPr>
        <w:t xml:space="preserve">, we used </w:t>
      </w:r>
      <w:r w:rsidR="006664FB">
        <w:rPr>
          <w:rFonts w:eastAsia="Calibri"/>
        </w:rPr>
        <w:t>“</w:t>
      </w:r>
      <w:r w:rsidR="006664FB">
        <w:t xml:space="preserve">Mid-case with </w:t>
      </w:r>
      <w:r w:rsidR="00437F78" w:rsidRPr="00022BA7">
        <w:t>95% decarbonization by 20</w:t>
      </w:r>
      <w:r w:rsidR="00D462C6">
        <w:t>35</w:t>
      </w:r>
      <w:r w:rsidR="006664FB">
        <w:t>”</w:t>
      </w:r>
      <w:r w:rsidR="00437F78">
        <w:t xml:space="preserve"> s</w:t>
      </w:r>
      <w:r w:rsidR="00D462C6">
        <w:t>ce</w:t>
      </w:r>
      <w:r w:rsidR="00437F78">
        <w:t xml:space="preserve">nario in the Cambium model. </w:t>
      </w:r>
      <w:r w:rsidRPr="00022BA7">
        <w:t>We used GREET</w:t>
      </w:r>
      <w:r w:rsidR="00190F27">
        <w:t>’</w:t>
      </w:r>
      <w:r w:rsidRPr="00022BA7">
        <w:t>s electricity generation model to develop energy and GHG impacts for different generation technologies, and then applied the most relevant emission factors to the projected generation scenarios to obtain life cycle energy and GHG emission factors for each state through 2050</w:t>
      </w:r>
      <w:r w:rsidR="00A76D44">
        <w:t>.</w:t>
      </w:r>
      <w:r w:rsidR="009A3F09">
        <w:fldChar w:fldCharType="begin"/>
      </w:r>
      <w:r w:rsidR="00F33969">
        <w:instrText xml:space="preserve"> ADDIN ZOTERO_ITEM CSL_CITATION {"citationID":"WRF7qCDI","properties":{"formattedCitation":"\\super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9A3F09">
        <w:fldChar w:fldCharType="separate"/>
      </w:r>
      <w:r w:rsidR="00F33969" w:rsidRPr="00F33969">
        <w:rPr>
          <w:rFonts w:cs="Times New Roman"/>
          <w:szCs w:val="24"/>
          <w:vertAlign w:val="superscript"/>
        </w:rPr>
        <w:t>20</w:t>
      </w:r>
      <w:r w:rsidR="009A3F09">
        <w:fldChar w:fldCharType="end"/>
      </w:r>
    </w:p>
    <w:p w14:paraId="5EE1D193" w14:textId="77777777" w:rsidR="00B84D0E" w:rsidRPr="00022BA7" w:rsidRDefault="00B84D0E">
      <w:pPr>
        <w:pStyle w:val="Heading3"/>
      </w:pPr>
      <w:r w:rsidRPr="00022BA7">
        <w:t>Fuel Production and Consumption</w:t>
      </w:r>
    </w:p>
    <w:p w14:paraId="1831E70C" w14:textId="77777777" w:rsidR="00B84D0E" w:rsidRPr="00022BA7" w:rsidRDefault="00B84D0E" w:rsidP="00B84D0E">
      <w:pPr>
        <w:spacing w:after="240"/>
      </w:pPr>
      <w:r w:rsidRPr="00022BA7">
        <w:t xml:space="preserve">To assess how a </w:t>
      </w:r>
      <w:r>
        <w:t>BES</w:t>
      </w:r>
      <w:r w:rsidRPr="00022BA7">
        <w:t xml:space="preserve"> compares to a fossil fuel ICE vessel, we modeled the life cycle impacts of ULSD </w:t>
      </w:r>
      <w:r>
        <w:t xml:space="preserve">against </w:t>
      </w:r>
      <w:r w:rsidRPr="00022BA7">
        <w:t xml:space="preserve">other clean energies available in the GREET model with U.S. average inputs. We did not include any other vessel infrastructure when generating this comparison, and generated the fossil fuel ICE vessel results to benchmark our own results and </w:t>
      </w:r>
      <w:r>
        <w:t>provide context for</w:t>
      </w:r>
      <w:r w:rsidRPr="00022BA7">
        <w:t xml:space="preserve"> the model user. </w:t>
      </w:r>
    </w:p>
    <w:p w14:paraId="4D796763" w14:textId="25C70B37" w:rsidR="00B84D0E" w:rsidRPr="00022BA7" w:rsidRDefault="00B84D0E" w:rsidP="00B84D0E">
      <w:pPr>
        <w:spacing w:after="240"/>
      </w:pPr>
      <w:r w:rsidRPr="00022BA7">
        <w:t xml:space="preserve">For </w:t>
      </w:r>
      <w:r>
        <w:t xml:space="preserve">additional </w:t>
      </w:r>
      <w:r w:rsidRPr="00022BA7">
        <w:t xml:space="preserve">context, we also included energy consumption and emissions from ULSD and other alternative fuels listed in GREET, estimating </w:t>
      </w:r>
      <w:r>
        <w:t xml:space="preserve">the </w:t>
      </w:r>
      <w:r w:rsidRPr="00022BA7">
        <w:t>required energy at end point (</w:t>
      </w:r>
      <w:r>
        <w:t>e.g., for</w:t>
      </w:r>
      <w:r w:rsidRPr="00022BA7">
        <w:t xml:space="preserve"> propulsion and/or hoteling demand) based on user inputs and </w:t>
      </w:r>
      <w:r>
        <w:t xml:space="preserve">the </w:t>
      </w:r>
      <w:r w:rsidRPr="00022BA7">
        <w:t>engine efficiencies from GREET. GREET includes estimates for both main and auxiliary engine</w:t>
      </w:r>
      <w:r>
        <w:t xml:space="preserve"> efficiencies, which</w:t>
      </w:r>
      <w:r w:rsidRPr="00022BA7">
        <w:t xml:space="preserve"> </w:t>
      </w:r>
      <w:r>
        <w:t>w</w:t>
      </w:r>
      <w:r w:rsidRPr="00022BA7">
        <w:t>e adjusted by weighting based on each engine</w:t>
      </w:r>
      <w:r w:rsidR="00190F27">
        <w:t>’</w:t>
      </w:r>
      <w:r w:rsidRPr="00022BA7">
        <w:t>s energy consumption.</w:t>
      </w:r>
    </w:p>
    <w:p w14:paraId="45802B5D" w14:textId="77777777" w:rsidR="00B84D0E" w:rsidRPr="00022BA7" w:rsidRDefault="00B84D0E">
      <w:pPr>
        <w:pStyle w:val="Heading3"/>
      </w:pPr>
      <w:r w:rsidRPr="00022BA7">
        <w:t>Battery Operation</w:t>
      </w:r>
    </w:p>
    <w:p w14:paraId="610C65ED" w14:textId="7AB86BA3" w:rsidR="00B84D0E" w:rsidRPr="00022BA7" w:rsidRDefault="00B84D0E" w:rsidP="00B84D0E">
      <w:r w:rsidRPr="00022BA7">
        <w:t>The energy consumption of BESs</w:t>
      </w:r>
      <w:r>
        <w:t xml:space="preserve"> and ICEs</w:t>
      </w:r>
      <w:r w:rsidRPr="00022BA7">
        <w:t xml:space="preserve">, calculated from AIS data as described in </w:t>
      </w:r>
      <w:r w:rsidR="00647B78">
        <w:t>subs</w:t>
      </w:r>
      <w:r w:rsidR="00647B78" w:rsidRPr="00022BA7">
        <w:t xml:space="preserve">ection </w:t>
      </w:r>
      <w:r w:rsidR="007F46A7">
        <w:t>“</w:t>
      </w:r>
      <w:r w:rsidR="00095008" w:rsidRPr="004B61A9">
        <w:rPr>
          <w:color w:val="1F497D" w:themeColor="text2"/>
        </w:rPr>
        <w:fldChar w:fldCharType="begin"/>
      </w:r>
      <w:r w:rsidR="00095008" w:rsidRPr="004B61A9">
        <w:rPr>
          <w:color w:val="1F497D" w:themeColor="text2"/>
        </w:rPr>
        <w:instrText xml:space="preserve"> REF _Ref144853942 \h </w:instrText>
      </w:r>
      <w:r w:rsidR="00095008" w:rsidRPr="004B61A9">
        <w:rPr>
          <w:color w:val="1F497D" w:themeColor="text2"/>
        </w:rPr>
      </w:r>
      <w:r w:rsidR="00095008" w:rsidRPr="004B61A9">
        <w:rPr>
          <w:color w:val="1F497D" w:themeColor="text2"/>
        </w:rPr>
        <w:fldChar w:fldCharType="separate"/>
      </w:r>
      <w:r w:rsidR="00C661AC" w:rsidRPr="00B36DAD">
        <w:t>Calculation of Ship Power Demand</w:t>
      </w:r>
      <w:r w:rsidR="00095008" w:rsidRPr="004B61A9">
        <w:rPr>
          <w:color w:val="1F497D" w:themeColor="text2"/>
        </w:rPr>
        <w:fldChar w:fldCharType="end"/>
      </w:r>
      <w:r w:rsidRPr="00022BA7">
        <w:t>,</w:t>
      </w:r>
      <w:r w:rsidR="007F46A7">
        <w:t>”</w:t>
      </w:r>
      <w:r w:rsidRPr="00022BA7">
        <w:t xml:space="preserve"> </w:t>
      </w:r>
      <w:r>
        <w:t>is</w:t>
      </w:r>
      <w:r w:rsidRPr="00022BA7">
        <w:t xml:space="preserve"> brought into the LCA model. For BESs, the battery</w:t>
      </w:r>
      <w:r w:rsidR="00190F27">
        <w:t>’</w:t>
      </w:r>
      <w:r w:rsidRPr="00022BA7">
        <w:t>s capacity, energy consumption, and lifetime are also provided as inputs. To account for the different capacity tiers of BESs, inputs are selected based on corresponding capacity tiers.</w:t>
      </w:r>
    </w:p>
    <w:p w14:paraId="32AEA411" w14:textId="16DE987A" w:rsidR="00CB0422" w:rsidRDefault="00CB0422">
      <w:pPr>
        <w:widowControl/>
        <w:spacing w:line="240" w:lineRule="auto"/>
      </w:pPr>
    </w:p>
    <w:p w14:paraId="619B1CAA" w14:textId="77777777" w:rsidR="00CB0422" w:rsidRDefault="00CB0422">
      <w:pPr>
        <w:widowControl/>
        <w:spacing w:line="240" w:lineRule="auto"/>
      </w:pPr>
    </w:p>
    <w:p w14:paraId="6141C26D" w14:textId="06D9839F" w:rsidR="00B04747" w:rsidRDefault="002C4C52">
      <w:pPr>
        <w:widowControl/>
        <w:spacing w:line="240" w:lineRule="auto"/>
      </w:pPr>
      <w:r>
        <w:br w:type="page"/>
      </w:r>
    </w:p>
    <w:p w14:paraId="6C848772" w14:textId="33B7A1B7" w:rsidR="00D47FCA" w:rsidRDefault="00BC1F06" w:rsidP="00642FD5">
      <w:pPr>
        <w:pStyle w:val="Caption"/>
        <w:keepNext/>
        <w:spacing w:line="240" w:lineRule="auto"/>
      </w:pPr>
      <w:bookmarkStart w:id="96" w:name="_Ref141671649"/>
      <w:bookmarkStart w:id="97" w:name="_Toc146723126"/>
      <w:r>
        <w:t xml:space="preserve">Supplementary </w:t>
      </w:r>
      <w:r w:rsidRPr="00022BA7">
        <w:t xml:space="preserve">Table </w:t>
      </w:r>
      <w:r w:rsidR="00590C69">
        <w:fldChar w:fldCharType="begin"/>
      </w:r>
      <w:r w:rsidR="00590C69">
        <w:instrText xml:space="preserve"> SEQ Table \* ARABIC </w:instrText>
      </w:r>
      <w:r w:rsidR="00590C69">
        <w:fldChar w:fldCharType="separate"/>
      </w:r>
      <w:r w:rsidR="00C661AC">
        <w:rPr>
          <w:noProof/>
        </w:rPr>
        <w:t>1</w:t>
      </w:r>
      <w:r w:rsidR="00590C69">
        <w:rPr>
          <w:noProof/>
        </w:rPr>
        <w:fldChar w:fldCharType="end"/>
      </w:r>
      <w:bookmarkEnd w:id="96"/>
      <w:r w:rsidRPr="00022BA7">
        <w:t xml:space="preserve">. </w:t>
      </w:r>
      <w:r w:rsidRPr="0082101F">
        <w:t>Mapping USCG Vessel Types to Study-Specific Vessel Categories</w:t>
      </w:r>
      <w:r w:rsidR="0097285E">
        <w:t>.</w:t>
      </w:r>
      <w:bookmarkEnd w:id="97"/>
      <w:r w:rsidR="0097285E">
        <w:t xml:space="preserve"> </w:t>
      </w:r>
    </w:p>
    <w:p w14:paraId="0997D1BA" w14:textId="0B07CE1F" w:rsidR="00B60F61" w:rsidRPr="00B60F61" w:rsidRDefault="0097285E" w:rsidP="00D47FCA">
      <w:r w:rsidRPr="002838F7">
        <w:t>We merged ship lists from the U.S. Coast Guard</w:t>
      </w:r>
      <w:r w:rsidR="00D015ED">
        <w:fldChar w:fldCharType="begin"/>
      </w:r>
      <w:r w:rsidR="00D015ED">
        <w:instrText xml:space="preserve"> ADDIN ZOTERO_ITEM CSL_CITATION {"citationID":"kcOLGsb0","properties":{"formattedCitation":"\\super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D015ED">
        <w:fldChar w:fldCharType="separate"/>
      </w:r>
      <w:r w:rsidR="00D015ED" w:rsidRPr="00D015ED">
        <w:rPr>
          <w:rFonts w:cs="Times New Roman"/>
          <w:szCs w:val="24"/>
          <w:vertAlign w:val="superscript"/>
        </w:rPr>
        <w:t>1</w:t>
      </w:r>
      <w:r w:rsidR="00D015ED">
        <w:fldChar w:fldCharType="end"/>
      </w:r>
      <w:r w:rsidRPr="002838F7">
        <w:t>, IHS Markit</w:t>
      </w:r>
      <w:r w:rsidR="00D015ED">
        <w:fldChar w:fldCharType="begin"/>
      </w:r>
      <w:r w:rsidR="00D015ED">
        <w:instrText xml:space="preserve"> ADDIN ZOTERO_ITEM CSL_CITATION {"citationID":"ULVj71rp","properties":{"formattedCitation":"\\super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D015ED">
        <w:fldChar w:fldCharType="separate"/>
      </w:r>
      <w:r w:rsidR="00D015ED" w:rsidRPr="00D015ED">
        <w:rPr>
          <w:rFonts w:cs="Times New Roman"/>
          <w:szCs w:val="24"/>
          <w:vertAlign w:val="superscript"/>
        </w:rPr>
        <w:t>3</w:t>
      </w:r>
      <w:r w:rsidR="00D015ED">
        <w:fldChar w:fldCharType="end"/>
      </w:r>
      <w:r w:rsidRPr="002838F7">
        <w:t>, and U.S. Army Corps of Engineers</w:t>
      </w:r>
      <w:r w:rsidR="004149F3">
        <w:fldChar w:fldCharType="begin"/>
      </w:r>
      <w:r w:rsidR="004149F3">
        <w:instrText xml:space="preserve"> ADDIN ZOTERO_ITEM CSL_CITATION {"citationID":"LUgeEmm3","properties":{"formattedCitation":"\\super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4149F3">
        <w:fldChar w:fldCharType="separate"/>
      </w:r>
      <w:r w:rsidR="004149F3" w:rsidRPr="004149F3">
        <w:rPr>
          <w:rFonts w:cs="Times New Roman"/>
          <w:szCs w:val="24"/>
          <w:vertAlign w:val="superscript"/>
        </w:rPr>
        <w:t>2</w:t>
      </w:r>
      <w:r w:rsidR="004149F3">
        <w:fldChar w:fldCharType="end"/>
      </w:r>
      <w:r w:rsidRPr="002838F7">
        <w:t xml:space="preserve"> into a single integrated ship list. Among these lists, USCG</w:t>
      </w:r>
      <w:r w:rsidR="00D611F2">
        <w:fldChar w:fldCharType="begin"/>
      </w:r>
      <w:r w:rsidR="00720E96">
        <w:instrText xml:space="preserve"> ADDIN ZOTERO_ITEM CSL_CITATION {"citationID":"d154hNH2","properties":{"formattedCitation":"\\super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D611F2">
        <w:fldChar w:fldCharType="separate"/>
      </w:r>
      <w:r w:rsidR="00D611F2" w:rsidRPr="00D015ED">
        <w:rPr>
          <w:rFonts w:cs="Times New Roman"/>
          <w:szCs w:val="24"/>
          <w:vertAlign w:val="superscript"/>
        </w:rPr>
        <w:t>1</w:t>
      </w:r>
      <w:r w:rsidR="00D611F2">
        <w:fldChar w:fldCharType="end"/>
      </w:r>
      <w:r w:rsidR="00D611F2">
        <w:t xml:space="preserve"> </w:t>
      </w:r>
      <w:r w:rsidRPr="002838F7">
        <w:t>and IHS</w:t>
      </w:r>
      <w:r w:rsidR="00D611F2">
        <w:fldChar w:fldCharType="begin"/>
      </w:r>
      <w:r w:rsidR="00720E96">
        <w:instrText xml:space="preserve"> ADDIN ZOTERO_ITEM CSL_CITATION {"citationID":"iSjCpoMP","properties":{"formattedCitation":"\\super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D611F2">
        <w:fldChar w:fldCharType="separate"/>
      </w:r>
      <w:r w:rsidR="00D611F2" w:rsidRPr="00D015ED">
        <w:rPr>
          <w:rFonts w:cs="Times New Roman"/>
          <w:szCs w:val="24"/>
          <w:vertAlign w:val="superscript"/>
        </w:rPr>
        <w:t>3</w:t>
      </w:r>
      <w:r w:rsidR="00D611F2">
        <w:fldChar w:fldCharType="end"/>
      </w:r>
      <w:r w:rsidR="00D611F2">
        <w:t xml:space="preserve"> </w:t>
      </w:r>
      <w:r w:rsidRPr="002838F7">
        <w:t>lists have their own way of categorizing ships, while USACE</w:t>
      </w:r>
      <w:r w:rsidR="00274BE4">
        <w:fldChar w:fldCharType="begin"/>
      </w:r>
      <w:r w:rsidR="00720E96">
        <w:instrText xml:space="preserve"> ADDIN ZOTERO_ITEM CSL_CITATION {"citationID":"pNVz0NGF","properties":{"formattedCitation":"\\super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274BE4">
        <w:fldChar w:fldCharType="separate"/>
      </w:r>
      <w:r w:rsidR="00274BE4" w:rsidRPr="004149F3">
        <w:rPr>
          <w:rFonts w:cs="Times New Roman"/>
          <w:szCs w:val="24"/>
          <w:vertAlign w:val="superscript"/>
        </w:rPr>
        <w:t>2</w:t>
      </w:r>
      <w:r w:rsidR="00274BE4">
        <w:fldChar w:fldCharType="end"/>
      </w:r>
      <w:r w:rsidR="00274BE4">
        <w:t xml:space="preserve"> </w:t>
      </w:r>
      <w:r w:rsidRPr="002838F7">
        <w:t xml:space="preserve">does not include detailed ship categorization. To make an integrated ship list, we mapped the ship types in each list into nine ship types as shown in </w:t>
      </w:r>
      <w:r w:rsidR="006C2BB6">
        <w:t>this table</w:t>
      </w:r>
      <w:r w:rsidRPr="002838F7">
        <w:t>.</w:t>
      </w:r>
      <w:r w:rsidR="00EE3A97">
        <w:br/>
      </w:r>
    </w:p>
    <w:tbl>
      <w:tblPr>
        <w:tblStyle w:val="TableGrid"/>
        <w:tblW w:w="9355" w:type="dxa"/>
        <w:tblLook w:val="04A0" w:firstRow="1" w:lastRow="0" w:firstColumn="1" w:lastColumn="0" w:noHBand="0" w:noVBand="1"/>
      </w:tblPr>
      <w:tblGrid>
        <w:gridCol w:w="6925"/>
        <w:gridCol w:w="2430"/>
      </w:tblGrid>
      <w:tr w:rsidR="00BC1F06" w:rsidRPr="00022BA7" w14:paraId="36941D9E" w14:textId="77777777" w:rsidTr="00980628">
        <w:trPr>
          <w:trHeight w:val="300"/>
          <w:tblHeader/>
        </w:trPr>
        <w:tc>
          <w:tcPr>
            <w:tcW w:w="6925" w:type="dxa"/>
            <w:shd w:val="clear" w:color="auto" w:fill="D9D9D9" w:themeFill="background1" w:themeFillShade="D9"/>
            <w:noWrap/>
            <w:vAlign w:val="center"/>
            <w:hideMark/>
          </w:tcPr>
          <w:p w14:paraId="10E2295C" w14:textId="77777777" w:rsidR="00BC1F06" w:rsidRPr="00022BA7" w:rsidRDefault="00BC1F06" w:rsidP="00AA6375">
            <w:pPr>
              <w:rPr>
                <w:sz w:val="18"/>
                <w:szCs w:val="18"/>
              </w:rPr>
            </w:pPr>
            <w:r w:rsidRPr="00022BA7">
              <w:rPr>
                <w:sz w:val="18"/>
                <w:szCs w:val="18"/>
              </w:rPr>
              <w:t>Vessel Type in USCG</w:t>
            </w:r>
            <w:r>
              <w:rPr>
                <w:sz w:val="18"/>
                <w:szCs w:val="18"/>
              </w:rPr>
              <w:t>*</w:t>
            </w:r>
          </w:p>
        </w:tc>
        <w:tc>
          <w:tcPr>
            <w:tcW w:w="2430" w:type="dxa"/>
            <w:shd w:val="clear" w:color="auto" w:fill="D9D9D9" w:themeFill="background1" w:themeFillShade="D9"/>
            <w:noWrap/>
            <w:vAlign w:val="center"/>
            <w:hideMark/>
          </w:tcPr>
          <w:p w14:paraId="4F59796D" w14:textId="77777777" w:rsidR="00BC1F06" w:rsidRPr="00022BA7" w:rsidRDefault="00BC1F06" w:rsidP="00AA6375">
            <w:pPr>
              <w:rPr>
                <w:sz w:val="18"/>
                <w:szCs w:val="18"/>
              </w:rPr>
            </w:pPr>
            <w:r w:rsidRPr="00022BA7">
              <w:rPr>
                <w:sz w:val="18"/>
                <w:szCs w:val="18"/>
              </w:rPr>
              <w:t>Vessel Type in This Study</w:t>
            </w:r>
          </w:p>
        </w:tc>
      </w:tr>
      <w:tr w:rsidR="00BC1F06" w:rsidRPr="00022BA7" w14:paraId="3FB8EF7C" w14:textId="77777777" w:rsidTr="00980628">
        <w:trPr>
          <w:trHeight w:val="300"/>
        </w:trPr>
        <w:tc>
          <w:tcPr>
            <w:tcW w:w="6925" w:type="dxa"/>
            <w:noWrap/>
            <w:vAlign w:val="center"/>
            <w:hideMark/>
          </w:tcPr>
          <w:p w14:paraId="6B411A20" w14:textId="77777777" w:rsidR="00BC1F06" w:rsidRPr="00022BA7" w:rsidRDefault="00BC1F06" w:rsidP="00AA6375">
            <w:pPr>
              <w:rPr>
                <w:sz w:val="18"/>
                <w:szCs w:val="18"/>
              </w:rPr>
            </w:pPr>
            <w:r w:rsidRPr="00022BA7">
              <w:rPr>
                <w:sz w:val="18"/>
                <w:szCs w:val="18"/>
              </w:rPr>
              <w:t xml:space="preserve">Passenger Ship-Attraction Vessel-General (12 or Fewer, GT </w:t>
            </w:r>
            <w:r>
              <w:rPr>
                <w:rFonts w:cs="Times New Roman"/>
                <w:sz w:val="18"/>
                <w:szCs w:val="18"/>
              </w:rPr>
              <w:t>≥</w:t>
            </w:r>
            <w:r w:rsidRPr="00022BA7">
              <w:rPr>
                <w:sz w:val="18"/>
                <w:szCs w:val="18"/>
              </w:rPr>
              <w:t xml:space="preserve"> 100)</w:t>
            </w:r>
          </w:p>
        </w:tc>
        <w:tc>
          <w:tcPr>
            <w:tcW w:w="2430" w:type="dxa"/>
            <w:noWrap/>
            <w:vAlign w:val="center"/>
            <w:hideMark/>
          </w:tcPr>
          <w:p w14:paraId="3B9434C3" w14:textId="77777777" w:rsidR="00BC1F06" w:rsidRPr="00022BA7" w:rsidRDefault="00BC1F06" w:rsidP="00AA6375">
            <w:pPr>
              <w:rPr>
                <w:sz w:val="18"/>
                <w:szCs w:val="18"/>
              </w:rPr>
            </w:pPr>
            <w:r w:rsidRPr="00022BA7">
              <w:rPr>
                <w:sz w:val="18"/>
                <w:szCs w:val="18"/>
              </w:rPr>
              <w:t>Passenger</w:t>
            </w:r>
          </w:p>
        </w:tc>
      </w:tr>
      <w:tr w:rsidR="00BC1F06" w:rsidRPr="00022BA7" w14:paraId="524DE988" w14:textId="77777777" w:rsidTr="00980628">
        <w:trPr>
          <w:trHeight w:val="300"/>
        </w:trPr>
        <w:tc>
          <w:tcPr>
            <w:tcW w:w="6925" w:type="dxa"/>
            <w:noWrap/>
            <w:vAlign w:val="center"/>
            <w:hideMark/>
          </w:tcPr>
          <w:p w14:paraId="34C84F4D" w14:textId="77777777" w:rsidR="00BC1F06" w:rsidRPr="00022BA7" w:rsidRDefault="00BC1F06" w:rsidP="00AA6375">
            <w:pPr>
              <w:rPr>
                <w:sz w:val="18"/>
                <w:szCs w:val="18"/>
              </w:rPr>
            </w:pPr>
            <w:r w:rsidRPr="00022BA7">
              <w:rPr>
                <w:sz w:val="18"/>
                <w:szCs w:val="18"/>
              </w:rPr>
              <w:t>Passenger Ship-Attraction Vessel-General (6 or Fewer, GT &lt; 100)</w:t>
            </w:r>
          </w:p>
        </w:tc>
        <w:tc>
          <w:tcPr>
            <w:tcW w:w="2430" w:type="dxa"/>
            <w:noWrap/>
            <w:vAlign w:val="center"/>
            <w:hideMark/>
          </w:tcPr>
          <w:p w14:paraId="0396FBFE" w14:textId="77777777" w:rsidR="00BC1F06" w:rsidRPr="00022BA7" w:rsidRDefault="00BC1F06" w:rsidP="00AA6375">
            <w:pPr>
              <w:rPr>
                <w:sz w:val="18"/>
                <w:szCs w:val="18"/>
              </w:rPr>
            </w:pPr>
            <w:r w:rsidRPr="00022BA7">
              <w:rPr>
                <w:sz w:val="18"/>
                <w:szCs w:val="18"/>
              </w:rPr>
              <w:t>Passenger</w:t>
            </w:r>
          </w:p>
        </w:tc>
      </w:tr>
      <w:tr w:rsidR="00BC1F06" w:rsidRPr="00022BA7" w14:paraId="55EE7069" w14:textId="77777777" w:rsidTr="00980628">
        <w:trPr>
          <w:trHeight w:val="300"/>
        </w:trPr>
        <w:tc>
          <w:tcPr>
            <w:tcW w:w="6925" w:type="dxa"/>
            <w:noWrap/>
            <w:vAlign w:val="center"/>
            <w:hideMark/>
          </w:tcPr>
          <w:p w14:paraId="1204F155" w14:textId="77777777" w:rsidR="00BC1F06" w:rsidRPr="00022BA7" w:rsidRDefault="00BC1F06" w:rsidP="00AA6375">
            <w:pPr>
              <w:rPr>
                <w:sz w:val="18"/>
                <w:szCs w:val="18"/>
              </w:rPr>
            </w:pPr>
            <w:r w:rsidRPr="00022BA7">
              <w:rPr>
                <w:sz w:val="18"/>
                <w:szCs w:val="18"/>
              </w:rPr>
              <w:t xml:space="preserve">Passenger Ship-Attraction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62AB0512" w14:textId="77777777" w:rsidR="00BC1F06" w:rsidRPr="00022BA7" w:rsidRDefault="00BC1F06" w:rsidP="00AA6375">
            <w:pPr>
              <w:rPr>
                <w:sz w:val="18"/>
                <w:szCs w:val="18"/>
              </w:rPr>
            </w:pPr>
            <w:r w:rsidRPr="00022BA7">
              <w:rPr>
                <w:sz w:val="18"/>
                <w:szCs w:val="18"/>
              </w:rPr>
              <w:t>Passenger</w:t>
            </w:r>
          </w:p>
        </w:tc>
      </w:tr>
      <w:tr w:rsidR="00BC1F06" w:rsidRPr="00022BA7" w14:paraId="05736A00" w14:textId="77777777" w:rsidTr="00980628">
        <w:trPr>
          <w:trHeight w:val="300"/>
        </w:trPr>
        <w:tc>
          <w:tcPr>
            <w:tcW w:w="6925" w:type="dxa"/>
            <w:noWrap/>
            <w:vAlign w:val="center"/>
            <w:hideMark/>
          </w:tcPr>
          <w:p w14:paraId="375B4310" w14:textId="77777777" w:rsidR="00BC1F06" w:rsidRPr="00022BA7" w:rsidRDefault="00BC1F06" w:rsidP="00AA6375">
            <w:pPr>
              <w:rPr>
                <w:sz w:val="18"/>
                <w:szCs w:val="18"/>
              </w:rPr>
            </w:pPr>
            <w:r w:rsidRPr="00022BA7">
              <w:rPr>
                <w:sz w:val="18"/>
                <w:szCs w:val="18"/>
              </w:rPr>
              <w:t>Passenger Ship-Attraction Vessel-General (More Than 6, GT &lt; 100)</w:t>
            </w:r>
          </w:p>
        </w:tc>
        <w:tc>
          <w:tcPr>
            <w:tcW w:w="2430" w:type="dxa"/>
            <w:noWrap/>
            <w:vAlign w:val="center"/>
            <w:hideMark/>
          </w:tcPr>
          <w:p w14:paraId="43288B43" w14:textId="77777777" w:rsidR="00BC1F06" w:rsidRPr="00022BA7" w:rsidRDefault="00BC1F06" w:rsidP="00AA6375">
            <w:pPr>
              <w:rPr>
                <w:sz w:val="18"/>
                <w:szCs w:val="18"/>
              </w:rPr>
            </w:pPr>
            <w:r w:rsidRPr="00022BA7">
              <w:rPr>
                <w:sz w:val="18"/>
                <w:szCs w:val="18"/>
              </w:rPr>
              <w:t>Passenger</w:t>
            </w:r>
          </w:p>
        </w:tc>
      </w:tr>
      <w:tr w:rsidR="00BC1F06" w:rsidRPr="00022BA7" w14:paraId="29F49DF4" w14:textId="77777777" w:rsidTr="00980628">
        <w:trPr>
          <w:trHeight w:val="300"/>
        </w:trPr>
        <w:tc>
          <w:tcPr>
            <w:tcW w:w="6925" w:type="dxa"/>
            <w:noWrap/>
            <w:vAlign w:val="center"/>
            <w:hideMark/>
          </w:tcPr>
          <w:p w14:paraId="37B6419D" w14:textId="77777777" w:rsidR="00BC1F06" w:rsidRPr="00022BA7" w:rsidRDefault="00BC1F06" w:rsidP="00AA6375">
            <w:pPr>
              <w:rPr>
                <w:sz w:val="18"/>
                <w:szCs w:val="18"/>
              </w:rPr>
            </w:pPr>
            <w:r w:rsidRPr="00022BA7">
              <w:rPr>
                <w:sz w:val="18"/>
                <w:szCs w:val="18"/>
              </w:rPr>
              <w:t xml:space="preserve">Passenger Ship-Balloon </w:t>
            </w:r>
            <w:proofErr w:type="gramStart"/>
            <w:r w:rsidRPr="00022BA7">
              <w:rPr>
                <w:sz w:val="18"/>
                <w:szCs w:val="18"/>
              </w:rPr>
              <w:t>Support  Vessel</w:t>
            </w:r>
            <w:proofErr w:type="gramEnd"/>
            <w:r w:rsidRPr="00022BA7">
              <w:rPr>
                <w:sz w:val="18"/>
                <w:szCs w:val="18"/>
              </w:rPr>
              <w:t>-General (More Than 6, G</w:t>
            </w:r>
            <w:r>
              <w:rPr>
                <w:sz w:val="18"/>
                <w:szCs w:val="18"/>
              </w:rPr>
              <w:t>T</w:t>
            </w:r>
            <w:r w:rsidRPr="00022BA7">
              <w:rPr>
                <w:sz w:val="18"/>
                <w:szCs w:val="18"/>
              </w:rPr>
              <w:t xml:space="preserve"> &lt; 100)</w:t>
            </w:r>
          </w:p>
        </w:tc>
        <w:tc>
          <w:tcPr>
            <w:tcW w:w="2430" w:type="dxa"/>
            <w:noWrap/>
            <w:vAlign w:val="center"/>
            <w:hideMark/>
          </w:tcPr>
          <w:p w14:paraId="6600060A" w14:textId="77777777" w:rsidR="00BC1F06" w:rsidRPr="00022BA7" w:rsidRDefault="00BC1F06" w:rsidP="00AA6375">
            <w:pPr>
              <w:rPr>
                <w:sz w:val="18"/>
                <w:szCs w:val="18"/>
              </w:rPr>
            </w:pPr>
            <w:r w:rsidRPr="00022BA7">
              <w:rPr>
                <w:sz w:val="18"/>
                <w:szCs w:val="18"/>
              </w:rPr>
              <w:t>Passenger</w:t>
            </w:r>
          </w:p>
        </w:tc>
      </w:tr>
      <w:tr w:rsidR="00BC1F06" w:rsidRPr="00022BA7" w14:paraId="63F365CB" w14:textId="77777777" w:rsidTr="00980628">
        <w:trPr>
          <w:trHeight w:val="300"/>
        </w:trPr>
        <w:tc>
          <w:tcPr>
            <w:tcW w:w="6925" w:type="dxa"/>
            <w:noWrap/>
            <w:vAlign w:val="center"/>
            <w:hideMark/>
          </w:tcPr>
          <w:p w14:paraId="285C57D5" w14:textId="77777777" w:rsidR="00BC1F06" w:rsidRPr="00022BA7" w:rsidRDefault="00BC1F06" w:rsidP="00AA6375">
            <w:pPr>
              <w:rPr>
                <w:sz w:val="18"/>
                <w:szCs w:val="18"/>
              </w:rPr>
            </w:pPr>
            <w:r w:rsidRPr="00022BA7">
              <w:rPr>
                <w:sz w:val="18"/>
                <w:szCs w:val="18"/>
              </w:rPr>
              <w:t xml:space="preserve">Passenger Ship-Cruise Ship Launch/Tender-General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79A25713" w14:textId="77777777" w:rsidR="00BC1F06" w:rsidRPr="00022BA7" w:rsidRDefault="00BC1F06" w:rsidP="00AA6375">
            <w:pPr>
              <w:rPr>
                <w:sz w:val="18"/>
                <w:szCs w:val="18"/>
              </w:rPr>
            </w:pPr>
            <w:r w:rsidRPr="00022BA7">
              <w:rPr>
                <w:sz w:val="18"/>
                <w:szCs w:val="18"/>
              </w:rPr>
              <w:t>Passenger</w:t>
            </w:r>
          </w:p>
        </w:tc>
      </w:tr>
      <w:tr w:rsidR="00BC1F06" w:rsidRPr="00022BA7" w14:paraId="7CF4C165" w14:textId="77777777" w:rsidTr="00980628">
        <w:trPr>
          <w:trHeight w:val="300"/>
        </w:trPr>
        <w:tc>
          <w:tcPr>
            <w:tcW w:w="6925" w:type="dxa"/>
            <w:noWrap/>
            <w:vAlign w:val="center"/>
            <w:hideMark/>
          </w:tcPr>
          <w:p w14:paraId="0B94FA2F" w14:textId="77777777" w:rsidR="00BC1F06" w:rsidRPr="00022BA7" w:rsidRDefault="00BC1F06" w:rsidP="00AA6375">
            <w:pPr>
              <w:rPr>
                <w:sz w:val="18"/>
                <w:szCs w:val="18"/>
              </w:rPr>
            </w:pPr>
            <w:r w:rsidRPr="00022BA7">
              <w:rPr>
                <w:sz w:val="18"/>
                <w:szCs w:val="18"/>
              </w:rPr>
              <w:t>Passenger Ship-Cruise Ship Launch/Tender-General (More Than 6, G</w:t>
            </w:r>
            <w:r>
              <w:rPr>
                <w:sz w:val="18"/>
                <w:szCs w:val="18"/>
              </w:rPr>
              <w:t>T</w:t>
            </w:r>
            <w:r w:rsidRPr="00022BA7">
              <w:rPr>
                <w:sz w:val="18"/>
                <w:szCs w:val="18"/>
              </w:rPr>
              <w:t xml:space="preserve"> &lt; 100)</w:t>
            </w:r>
          </w:p>
        </w:tc>
        <w:tc>
          <w:tcPr>
            <w:tcW w:w="2430" w:type="dxa"/>
            <w:noWrap/>
            <w:vAlign w:val="center"/>
            <w:hideMark/>
          </w:tcPr>
          <w:p w14:paraId="6D4EA3F4" w14:textId="77777777" w:rsidR="00BC1F06" w:rsidRPr="00022BA7" w:rsidRDefault="00BC1F06" w:rsidP="00AA6375">
            <w:pPr>
              <w:rPr>
                <w:sz w:val="18"/>
                <w:szCs w:val="18"/>
              </w:rPr>
            </w:pPr>
            <w:r w:rsidRPr="00022BA7">
              <w:rPr>
                <w:sz w:val="18"/>
                <w:szCs w:val="18"/>
              </w:rPr>
              <w:t>Passenger</w:t>
            </w:r>
          </w:p>
        </w:tc>
      </w:tr>
      <w:tr w:rsidR="00BC1F06" w:rsidRPr="00022BA7" w14:paraId="2CC43B25" w14:textId="77777777" w:rsidTr="00980628">
        <w:trPr>
          <w:trHeight w:val="300"/>
        </w:trPr>
        <w:tc>
          <w:tcPr>
            <w:tcW w:w="6925" w:type="dxa"/>
            <w:noWrap/>
            <w:vAlign w:val="center"/>
            <w:hideMark/>
          </w:tcPr>
          <w:p w14:paraId="54AC4656" w14:textId="77777777" w:rsidR="00BC1F06" w:rsidRPr="00022BA7" w:rsidRDefault="00BC1F06" w:rsidP="00AA6375">
            <w:pPr>
              <w:rPr>
                <w:sz w:val="18"/>
                <w:szCs w:val="18"/>
              </w:rPr>
            </w:pPr>
            <w:r w:rsidRPr="00022BA7">
              <w:rPr>
                <w:sz w:val="18"/>
                <w:szCs w:val="18"/>
              </w:rPr>
              <w:t xml:space="preserve">Passenger Ship-Diving Vessel (Recreational)-General (6 or Fewer, </w:t>
            </w:r>
            <w:r>
              <w:rPr>
                <w:sz w:val="18"/>
                <w:szCs w:val="18"/>
              </w:rPr>
              <w:t>GT</w:t>
            </w:r>
            <w:r w:rsidRPr="00022BA7">
              <w:rPr>
                <w:sz w:val="18"/>
                <w:szCs w:val="18"/>
              </w:rPr>
              <w:t xml:space="preserve"> &lt; 100)</w:t>
            </w:r>
          </w:p>
        </w:tc>
        <w:tc>
          <w:tcPr>
            <w:tcW w:w="2430" w:type="dxa"/>
            <w:noWrap/>
            <w:vAlign w:val="center"/>
            <w:hideMark/>
          </w:tcPr>
          <w:p w14:paraId="70133AD0" w14:textId="77777777" w:rsidR="00BC1F06" w:rsidRPr="00022BA7" w:rsidRDefault="00BC1F06" w:rsidP="00AA6375">
            <w:pPr>
              <w:rPr>
                <w:sz w:val="18"/>
                <w:szCs w:val="18"/>
              </w:rPr>
            </w:pPr>
            <w:r w:rsidRPr="00022BA7">
              <w:rPr>
                <w:sz w:val="18"/>
                <w:szCs w:val="18"/>
              </w:rPr>
              <w:t>Passenger</w:t>
            </w:r>
          </w:p>
        </w:tc>
      </w:tr>
      <w:tr w:rsidR="00BC1F06" w:rsidRPr="00022BA7" w14:paraId="2B60997C" w14:textId="77777777" w:rsidTr="00980628">
        <w:trPr>
          <w:trHeight w:val="300"/>
        </w:trPr>
        <w:tc>
          <w:tcPr>
            <w:tcW w:w="6925" w:type="dxa"/>
            <w:noWrap/>
            <w:vAlign w:val="center"/>
            <w:hideMark/>
          </w:tcPr>
          <w:p w14:paraId="7F1DBE66" w14:textId="77777777" w:rsidR="00BC1F06" w:rsidRPr="00022BA7" w:rsidRDefault="00BC1F06" w:rsidP="00AA6375">
            <w:pPr>
              <w:rPr>
                <w:sz w:val="18"/>
                <w:szCs w:val="18"/>
              </w:rPr>
            </w:pPr>
            <w:r w:rsidRPr="00022BA7">
              <w:rPr>
                <w:sz w:val="18"/>
                <w:szCs w:val="18"/>
              </w:rPr>
              <w:t xml:space="preserve">Passenger Ship-Diving Vessel (Recreational)-General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331E4598" w14:textId="77777777" w:rsidR="00BC1F06" w:rsidRPr="00022BA7" w:rsidRDefault="00BC1F06" w:rsidP="00AA6375">
            <w:pPr>
              <w:rPr>
                <w:sz w:val="18"/>
                <w:szCs w:val="18"/>
              </w:rPr>
            </w:pPr>
            <w:r w:rsidRPr="00022BA7">
              <w:rPr>
                <w:sz w:val="18"/>
                <w:szCs w:val="18"/>
              </w:rPr>
              <w:t>Passenger</w:t>
            </w:r>
          </w:p>
        </w:tc>
      </w:tr>
      <w:tr w:rsidR="00BC1F06" w:rsidRPr="00022BA7" w14:paraId="76C2AB62" w14:textId="77777777" w:rsidTr="00980628">
        <w:trPr>
          <w:trHeight w:val="300"/>
        </w:trPr>
        <w:tc>
          <w:tcPr>
            <w:tcW w:w="6925" w:type="dxa"/>
            <w:noWrap/>
            <w:vAlign w:val="center"/>
            <w:hideMark/>
          </w:tcPr>
          <w:p w14:paraId="33ECE58A" w14:textId="77777777" w:rsidR="00BC1F06" w:rsidRPr="00022BA7" w:rsidRDefault="00BC1F06" w:rsidP="00AA6375">
            <w:pPr>
              <w:rPr>
                <w:sz w:val="18"/>
                <w:szCs w:val="18"/>
              </w:rPr>
            </w:pPr>
            <w:r w:rsidRPr="00022BA7">
              <w:rPr>
                <w:sz w:val="18"/>
                <w:szCs w:val="18"/>
              </w:rPr>
              <w:t xml:space="preserve">Passenger Ship-Diving Vessel (Recreational)-General (More Than 6, </w:t>
            </w:r>
            <w:r>
              <w:rPr>
                <w:sz w:val="18"/>
                <w:szCs w:val="18"/>
              </w:rPr>
              <w:t>GT</w:t>
            </w:r>
            <w:r w:rsidRPr="00022BA7">
              <w:rPr>
                <w:sz w:val="18"/>
                <w:szCs w:val="18"/>
              </w:rPr>
              <w:t xml:space="preserve"> &lt; 100)</w:t>
            </w:r>
          </w:p>
        </w:tc>
        <w:tc>
          <w:tcPr>
            <w:tcW w:w="2430" w:type="dxa"/>
            <w:noWrap/>
            <w:vAlign w:val="center"/>
            <w:hideMark/>
          </w:tcPr>
          <w:p w14:paraId="222EC184" w14:textId="77777777" w:rsidR="00BC1F06" w:rsidRPr="00022BA7" w:rsidRDefault="00BC1F06" w:rsidP="00AA6375">
            <w:pPr>
              <w:rPr>
                <w:sz w:val="18"/>
                <w:szCs w:val="18"/>
              </w:rPr>
            </w:pPr>
            <w:r w:rsidRPr="00022BA7">
              <w:rPr>
                <w:sz w:val="18"/>
                <w:szCs w:val="18"/>
              </w:rPr>
              <w:t>Passenger</w:t>
            </w:r>
          </w:p>
        </w:tc>
      </w:tr>
      <w:tr w:rsidR="00BC1F06" w:rsidRPr="00022BA7" w14:paraId="3C2848EB" w14:textId="77777777" w:rsidTr="00980628">
        <w:trPr>
          <w:trHeight w:val="300"/>
        </w:trPr>
        <w:tc>
          <w:tcPr>
            <w:tcW w:w="6925" w:type="dxa"/>
            <w:noWrap/>
            <w:vAlign w:val="center"/>
            <w:hideMark/>
          </w:tcPr>
          <w:p w14:paraId="2535C4EA" w14:textId="77777777" w:rsidR="00BC1F06" w:rsidRPr="00022BA7" w:rsidRDefault="00BC1F06" w:rsidP="00AA6375">
            <w:pPr>
              <w:rPr>
                <w:sz w:val="18"/>
                <w:szCs w:val="18"/>
              </w:rPr>
            </w:pPr>
            <w:r w:rsidRPr="00022BA7">
              <w:rPr>
                <w:sz w:val="18"/>
                <w:szCs w:val="18"/>
              </w:rPr>
              <w:t xml:space="preserve">Passenger Ship-Excursion/Tour Vessel-General (6 or Fewer, </w:t>
            </w:r>
            <w:r>
              <w:rPr>
                <w:sz w:val="18"/>
                <w:szCs w:val="18"/>
              </w:rPr>
              <w:t>GT</w:t>
            </w:r>
            <w:r w:rsidRPr="00022BA7">
              <w:rPr>
                <w:sz w:val="18"/>
                <w:szCs w:val="18"/>
              </w:rPr>
              <w:t xml:space="preserve"> &lt; 100)</w:t>
            </w:r>
          </w:p>
        </w:tc>
        <w:tc>
          <w:tcPr>
            <w:tcW w:w="2430" w:type="dxa"/>
            <w:noWrap/>
            <w:vAlign w:val="center"/>
            <w:hideMark/>
          </w:tcPr>
          <w:p w14:paraId="1AD017A8" w14:textId="77777777" w:rsidR="00BC1F06" w:rsidRPr="00022BA7" w:rsidRDefault="00BC1F06" w:rsidP="00AA6375">
            <w:pPr>
              <w:rPr>
                <w:sz w:val="18"/>
                <w:szCs w:val="18"/>
              </w:rPr>
            </w:pPr>
            <w:r w:rsidRPr="00022BA7">
              <w:rPr>
                <w:sz w:val="18"/>
                <w:szCs w:val="18"/>
              </w:rPr>
              <w:t>Passenger</w:t>
            </w:r>
          </w:p>
        </w:tc>
      </w:tr>
      <w:tr w:rsidR="00BC1F06" w:rsidRPr="00022BA7" w14:paraId="63F6096F" w14:textId="77777777" w:rsidTr="00980628">
        <w:trPr>
          <w:trHeight w:val="300"/>
        </w:trPr>
        <w:tc>
          <w:tcPr>
            <w:tcW w:w="6925" w:type="dxa"/>
            <w:noWrap/>
            <w:vAlign w:val="center"/>
            <w:hideMark/>
          </w:tcPr>
          <w:p w14:paraId="708244BF" w14:textId="77777777" w:rsidR="00BC1F06" w:rsidRPr="00022BA7" w:rsidRDefault="00BC1F06" w:rsidP="00AA6375">
            <w:pPr>
              <w:rPr>
                <w:sz w:val="18"/>
                <w:szCs w:val="18"/>
              </w:rPr>
            </w:pPr>
            <w:r w:rsidRPr="00022BA7">
              <w:rPr>
                <w:sz w:val="18"/>
                <w:szCs w:val="18"/>
              </w:rPr>
              <w:t xml:space="preserve">Passenger Ship-Excursion/Tour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50944A5F" w14:textId="77777777" w:rsidR="00BC1F06" w:rsidRPr="00022BA7" w:rsidRDefault="00BC1F06" w:rsidP="00AA6375">
            <w:pPr>
              <w:rPr>
                <w:sz w:val="18"/>
                <w:szCs w:val="18"/>
              </w:rPr>
            </w:pPr>
            <w:r w:rsidRPr="00022BA7">
              <w:rPr>
                <w:sz w:val="18"/>
                <w:szCs w:val="18"/>
              </w:rPr>
              <w:t>Passenger</w:t>
            </w:r>
          </w:p>
        </w:tc>
      </w:tr>
      <w:tr w:rsidR="00BC1F06" w:rsidRPr="00022BA7" w14:paraId="4E26D3AA" w14:textId="77777777" w:rsidTr="00980628">
        <w:trPr>
          <w:trHeight w:val="300"/>
        </w:trPr>
        <w:tc>
          <w:tcPr>
            <w:tcW w:w="6925" w:type="dxa"/>
            <w:noWrap/>
            <w:vAlign w:val="center"/>
            <w:hideMark/>
          </w:tcPr>
          <w:p w14:paraId="70D4C8E1" w14:textId="77777777" w:rsidR="00BC1F06" w:rsidRPr="00022BA7" w:rsidRDefault="00BC1F06" w:rsidP="00AA6375">
            <w:pPr>
              <w:rPr>
                <w:sz w:val="18"/>
                <w:szCs w:val="18"/>
              </w:rPr>
            </w:pPr>
            <w:r w:rsidRPr="00022BA7">
              <w:rPr>
                <w:sz w:val="18"/>
                <w:szCs w:val="18"/>
              </w:rPr>
              <w:t>Passenger Ship-Excursion/Tour Vessel-General (More Than 6, G</w:t>
            </w:r>
            <w:r>
              <w:rPr>
                <w:sz w:val="18"/>
                <w:szCs w:val="18"/>
              </w:rPr>
              <w:t>T</w:t>
            </w:r>
            <w:r w:rsidRPr="00022BA7">
              <w:rPr>
                <w:sz w:val="18"/>
                <w:szCs w:val="18"/>
              </w:rPr>
              <w:t xml:space="preserve"> &lt; 100)</w:t>
            </w:r>
          </w:p>
        </w:tc>
        <w:tc>
          <w:tcPr>
            <w:tcW w:w="2430" w:type="dxa"/>
            <w:noWrap/>
            <w:vAlign w:val="center"/>
            <w:hideMark/>
          </w:tcPr>
          <w:p w14:paraId="2E2B4C9C" w14:textId="77777777" w:rsidR="00BC1F06" w:rsidRPr="00022BA7" w:rsidRDefault="00BC1F06" w:rsidP="00AA6375">
            <w:pPr>
              <w:rPr>
                <w:sz w:val="18"/>
                <w:szCs w:val="18"/>
              </w:rPr>
            </w:pPr>
            <w:r w:rsidRPr="00022BA7">
              <w:rPr>
                <w:sz w:val="18"/>
                <w:szCs w:val="18"/>
              </w:rPr>
              <w:t>Passenger</w:t>
            </w:r>
          </w:p>
        </w:tc>
      </w:tr>
      <w:tr w:rsidR="00BC1F06" w:rsidRPr="00022BA7" w14:paraId="292ADC75" w14:textId="77777777" w:rsidTr="00980628">
        <w:trPr>
          <w:trHeight w:val="300"/>
        </w:trPr>
        <w:tc>
          <w:tcPr>
            <w:tcW w:w="6925" w:type="dxa"/>
            <w:noWrap/>
            <w:vAlign w:val="center"/>
            <w:hideMark/>
          </w:tcPr>
          <w:p w14:paraId="4292F62D" w14:textId="77777777" w:rsidR="00BC1F06" w:rsidRPr="00022BA7" w:rsidRDefault="00BC1F06" w:rsidP="00AA6375">
            <w:pPr>
              <w:rPr>
                <w:sz w:val="18"/>
                <w:szCs w:val="18"/>
              </w:rPr>
            </w:pPr>
            <w:r w:rsidRPr="00022BA7">
              <w:rPr>
                <w:sz w:val="18"/>
                <w:szCs w:val="18"/>
              </w:rPr>
              <w:t xml:space="preserve">Passenger Ship-Ferry-General (6 or Fewer, </w:t>
            </w:r>
            <w:r>
              <w:rPr>
                <w:sz w:val="18"/>
                <w:szCs w:val="18"/>
              </w:rPr>
              <w:t>GT</w:t>
            </w:r>
            <w:r w:rsidRPr="00022BA7">
              <w:rPr>
                <w:sz w:val="18"/>
                <w:szCs w:val="18"/>
              </w:rPr>
              <w:t xml:space="preserve"> &lt; 100)</w:t>
            </w:r>
          </w:p>
        </w:tc>
        <w:tc>
          <w:tcPr>
            <w:tcW w:w="2430" w:type="dxa"/>
            <w:noWrap/>
            <w:vAlign w:val="center"/>
            <w:hideMark/>
          </w:tcPr>
          <w:p w14:paraId="1AFAF8E3" w14:textId="77777777" w:rsidR="00BC1F06" w:rsidRPr="00022BA7" w:rsidRDefault="00BC1F06" w:rsidP="00AA6375">
            <w:pPr>
              <w:rPr>
                <w:sz w:val="18"/>
                <w:szCs w:val="18"/>
              </w:rPr>
            </w:pPr>
            <w:r w:rsidRPr="00022BA7">
              <w:rPr>
                <w:sz w:val="18"/>
                <w:szCs w:val="18"/>
              </w:rPr>
              <w:t>Passenger</w:t>
            </w:r>
          </w:p>
        </w:tc>
      </w:tr>
      <w:tr w:rsidR="00BC1F06" w:rsidRPr="00022BA7" w14:paraId="6CE2E52B" w14:textId="77777777" w:rsidTr="00980628">
        <w:trPr>
          <w:trHeight w:val="300"/>
        </w:trPr>
        <w:tc>
          <w:tcPr>
            <w:tcW w:w="6925" w:type="dxa"/>
            <w:noWrap/>
            <w:vAlign w:val="center"/>
            <w:hideMark/>
          </w:tcPr>
          <w:p w14:paraId="6C582C9F" w14:textId="77777777" w:rsidR="00BC1F06" w:rsidRPr="00022BA7" w:rsidRDefault="00BC1F06" w:rsidP="00AA6375">
            <w:pPr>
              <w:rPr>
                <w:sz w:val="18"/>
                <w:szCs w:val="18"/>
              </w:rPr>
            </w:pPr>
            <w:r w:rsidRPr="00022BA7">
              <w:rPr>
                <w:sz w:val="18"/>
                <w:szCs w:val="18"/>
              </w:rPr>
              <w:t xml:space="preserve">Passenger Ship-Ferry-General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0DB4D1D7" w14:textId="77777777" w:rsidR="00BC1F06" w:rsidRPr="00022BA7" w:rsidRDefault="00BC1F06" w:rsidP="00AA6375">
            <w:pPr>
              <w:rPr>
                <w:sz w:val="18"/>
                <w:szCs w:val="18"/>
              </w:rPr>
            </w:pPr>
            <w:r w:rsidRPr="00022BA7">
              <w:rPr>
                <w:sz w:val="18"/>
                <w:szCs w:val="18"/>
              </w:rPr>
              <w:t>Passenger</w:t>
            </w:r>
          </w:p>
        </w:tc>
      </w:tr>
      <w:tr w:rsidR="00BC1F06" w:rsidRPr="00022BA7" w14:paraId="58B94051" w14:textId="77777777" w:rsidTr="00980628">
        <w:trPr>
          <w:trHeight w:val="300"/>
        </w:trPr>
        <w:tc>
          <w:tcPr>
            <w:tcW w:w="6925" w:type="dxa"/>
            <w:noWrap/>
            <w:vAlign w:val="center"/>
            <w:hideMark/>
          </w:tcPr>
          <w:p w14:paraId="577E8813" w14:textId="77777777" w:rsidR="00BC1F06" w:rsidRPr="00022BA7" w:rsidRDefault="00BC1F06" w:rsidP="00AA6375">
            <w:pPr>
              <w:rPr>
                <w:sz w:val="18"/>
                <w:szCs w:val="18"/>
              </w:rPr>
            </w:pPr>
            <w:r w:rsidRPr="00022BA7">
              <w:rPr>
                <w:sz w:val="18"/>
                <w:szCs w:val="18"/>
              </w:rPr>
              <w:t xml:space="preserve">Passenger Ship-Ferry-General (More Than 6, </w:t>
            </w:r>
            <w:r>
              <w:rPr>
                <w:sz w:val="18"/>
                <w:szCs w:val="18"/>
              </w:rPr>
              <w:t>GT</w:t>
            </w:r>
            <w:r w:rsidRPr="00022BA7">
              <w:rPr>
                <w:sz w:val="18"/>
                <w:szCs w:val="18"/>
              </w:rPr>
              <w:t xml:space="preserve"> &lt; 100)</w:t>
            </w:r>
          </w:p>
        </w:tc>
        <w:tc>
          <w:tcPr>
            <w:tcW w:w="2430" w:type="dxa"/>
            <w:noWrap/>
            <w:vAlign w:val="center"/>
            <w:hideMark/>
          </w:tcPr>
          <w:p w14:paraId="2C3718A5" w14:textId="77777777" w:rsidR="00BC1F06" w:rsidRPr="00022BA7" w:rsidRDefault="00BC1F06" w:rsidP="00AA6375">
            <w:pPr>
              <w:rPr>
                <w:sz w:val="18"/>
                <w:szCs w:val="18"/>
              </w:rPr>
            </w:pPr>
            <w:r w:rsidRPr="00022BA7">
              <w:rPr>
                <w:sz w:val="18"/>
                <w:szCs w:val="18"/>
              </w:rPr>
              <w:t>Passenger</w:t>
            </w:r>
          </w:p>
        </w:tc>
      </w:tr>
      <w:tr w:rsidR="00BC1F06" w:rsidRPr="00022BA7" w14:paraId="323C077C" w14:textId="77777777" w:rsidTr="00980628">
        <w:trPr>
          <w:trHeight w:val="300"/>
        </w:trPr>
        <w:tc>
          <w:tcPr>
            <w:tcW w:w="6925" w:type="dxa"/>
            <w:noWrap/>
            <w:vAlign w:val="center"/>
            <w:hideMark/>
          </w:tcPr>
          <w:p w14:paraId="55E53D1D" w14:textId="77777777" w:rsidR="00BC1F06" w:rsidRPr="00022BA7" w:rsidRDefault="00BC1F06" w:rsidP="00AA6375">
            <w:pPr>
              <w:rPr>
                <w:sz w:val="18"/>
                <w:szCs w:val="18"/>
              </w:rPr>
            </w:pPr>
            <w:r w:rsidRPr="00022BA7">
              <w:rPr>
                <w:sz w:val="18"/>
                <w:szCs w:val="18"/>
              </w:rPr>
              <w:t>Passenger Ship-Ferry-</w:t>
            </w:r>
            <w:proofErr w:type="gramStart"/>
            <w:r w:rsidRPr="00022BA7">
              <w:rPr>
                <w:sz w:val="18"/>
                <w:szCs w:val="18"/>
              </w:rPr>
              <w:t>Non Ro-Ro</w:t>
            </w:r>
            <w:proofErr w:type="gramEnd"/>
            <w:r w:rsidRPr="00022BA7">
              <w:rPr>
                <w:sz w:val="18"/>
                <w:szCs w:val="18"/>
              </w:rPr>
              <w:t xml:space="preserve">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56666BA2" w14:textId="77777777" w:rsidR="00BC1F06" w:rsidRPr="00022BA7" w:rsidRDefault="00BC1F06" w:rsidP="00AA6375">
            <w:pPr>
              <w:rPr>
                <w:sz w:val="18"/>
                <w:szCs w:val="18"/>
              </w:rPr>
            </w:pPr>
            <w:r w:rsidRPr="00022BA7">
              <w:rPr>
                <w:sz w:val="18"/>
                <w:szCs w:val="18"/>
              </w:rPr>
              <w:t>Passenger</w:t>
            </w:r>
          </w:p>
        </w:tc>
      </w:tr>
      <w:tr w:rsidR="00BC1F06" w:rsidRPr="00022BA7" w14:paraId="12FF1726" w14:textId="77777777" w:rsidTr="00980628">
        <w:trPr>
          <w:trHeight w:val="300"/>
        </w:trPr>
        <w:tc>
          <w:tcPr>
            <w:tcW w:w="6925" w:type="dxa"/>
            <w:noWrap/>
            <w:vAlign w:val="center"/>
            <w:hideMark/>
          </w:tcPr>
          <w:p w14:paraId="43F7ED86" w14:textId="77777777" w:rsidR="00BC1F06" w:rsidRPr="00022BA7" w:rsidRDefault="00BC1F06" w:rsidP="00AA6375">
            <w:pPr>
              <w:rPr>
                <w:sz w:val="18"/>
                <w:szCs w:val="18"/>
              </w:rPr>
            </w:pPr>
            <w:r w:rsidRPr="00022BA7">
              <w:rPr>
                <w:sz w:val="18"/>
                <w:szCs w:val="18"/>
              </w:rPr>
              <w:t>Passenger Ship-Ferry-</w:t>
            </w:r>
            <w:proofErr w:type="gramStart"/>
            <w:r w:rsidRPr="00022BA7">
              <w:rPr>
                <w:sz w:val="18"/>
                <w:szCs w:val="18"/>
              </w:rPr>
              <w:t>Non Ro-Ro</w:t>
            </w:r>
            <w:proofErr w:type="gramEnd"/>
            <w:r w:rsidRPr="00022BA7">
              <w:rPr>
                <w:sz w:val="18"/>
                <w:szCs w:val="18"/>
              </w:rPr>
              <w:t xml:space="preserve"> Ferry (6 or Fewer, </w:t>
            </w:r>
            <w:r>
              <w:rPr>
                <w:sz w:val="18"/>
                <w:szCs w:val="18"/>
              </w:rPr>
              <w:t>GT</w:t>
            </w:r>
            <w:r w:rsidRPr="00022BA7">
              <w:rPr>
                <w:sz w:val="18"/>
                <w:szCs w:val="18"/>
              </w:rPr>
              <w:t xml:space="preserve"> &lt; 100)</w:t>
            </w:r>
          </w:p>
        </w:tc>
        <w:tc>
          <w:tcPr>
            <w:tcW w:w="2430" w:type="dxa"/>
            <w:noWrap/>
            <w:vAlign w:val="center"/>
            <w:hideMark/>
          </w:tcPr>
          <w:p w14:paraId="1960007A" w14:textId="77777777" w:rsidR="00BC1F06" w:rsidRPr="00022BA7" w:rsidRDefault="00BC1F06" w:rsidP="00AA6375">
            <w:pPr>
              <w:rPr>
                <w:sz w:val="18"/>
                <w:szCs w:val="18"/>
              </w:rPr>
            </w:pPr>
            <w:r w:rsidRPr="00022BA7">
              <w:rPr>
                <w:sz w:val="18"/>
                <w:szCs w:val="18"/>
              </w:rPr>
              <w:t>Passenger</w:t>
            </w:r>
          </w:p>
        </w:tc>
      </w:tr>
      <w:tr w:rsidR="00BC1F06" w:rsidRPr="00022BA7" w14:paraId="36D1E098" w14:textId="77777777" w:rsidTr="00980628">
        <w:trPr>
          <w:trHeight w:val="300"/>
        </w:trPr>
        <w:tc>
          <w:tcPr>
            <w:tcW w:w="6925" w:type="dxa"/>
            <w:noWrap/>
            <w:vAlign w:val="center"/>
            <w:hideMark/>
          </w:tcPr>
          <w:p w14:paraId="5F27C393" w14:textId="77777777" w:rsidR="00BC1F06" w:rsidRPr="00022BA7" w:rsidRDefault="00BC1F06" w:rsidP="00AA6375">
            <w:pPr>
              <w:rPr>
                <w:sz w:val="18"/>
                <w:szCs w:val="18"/>
              </w:rPr>
            </w:pPr>
            <w:r w:rsidRPr="00022BA7">
              <w:rPr>
                <w:sz w:val="18"/>
                <w:szCs w:val="18"/>
              </w:rPr>
              <w:t>Passenger Ship-Ferry-</w:t>
            </w:r>
            <w:proofErr w:type="gramStart"/>
            <w:r w:rsidRPr="00022BA7">
              <w:rPr>
                <w:sz w:val="18"/>
                <w:szCs w:val="18"/>
              </w:rPr>
              <w:t>Non Ro-Ro</w:t>
            </w:r>
            <w:proofErr w:type="gramEnd"/>
            <w:r w:rsidRPr="00022BA7">
              <w:rPr>
                <w:sz w:val="18"/>
                <w:szCs w:val="18"/>
              </w:rPr>
              <w:t xml:space="preserve"> Ferry (More Than 6, </w:t>
            </w:r>
            <w:r>
              <w:rPr>
                <w:sz w:val="18"/>
                <w:szCs w:val="18"/>
              </w:rPr>
              <w:t>GT</w:t>
            </w:r>
            <w:r w:rsidRPr="00022BA7">
              <w:rPr>
                <w:sz w:val="18"/>
                <w:szCs w:val="18"/>
              </w:rPr>
              <w:t xml:space="preserve"> &lt; 100)</w:t>
            </w:r>
          </w:p>
        </w:tc>
        <w:tc>
          <w:tcPr>
            <w:tcW w:w="2430" w:type="dxa"/>
            <w:noWrap/>
            <w:vAlign w:val="center"/>
            <w:hideMark/>
          </w:tcPr>
          <w:p w14:paraId="1386D624" w14:textId="77777777" w:rsidR="00BC1F06" w:rsidRPr="00022BA7" w:rsidRDefault="00BC1F06" w:rsidP="00AA6375">
            <w:pPr>
              <w:rPr>
                <w:sz w:val="18"/>
                <w:szCs w:val="18"/>
              </w:rPr>
            </w:pPr>
            <w:r w:rsidRPr="00022BA7">
              <w:rPr>
                <w:sz w:val="18"/>
                <w:szCs w:val="18"/>
              </w:rPr>
              <w:t>Passenger</w:t>
            </w:r>
          </w:p>
        </w:tc>
      </w:tr>
      <w:tr w:rsidR="00BC1F06" w:rsidRPr="00022BA7" w14:paraId="10E1578C" w14:textId="77777777" w:rsidTr="00980628">
        <w:trPr>
          <w:trHeight w:val="300"/>
        </w:trPr>
        <w:tc>
          <w:tcPr>
            <w:tcW w:w="6925" w:type="dxa"/>
            <w:noWrap/>
            <w:vAlign w:val="center"/>
            <w:hideMark/>
          </w:tcPr>
          <w:p w14:paraId="2CA205EE" w14:textId="77777777" w:rsidR="00BC1F06" w:rsidRPr="00022BA7" w:rsidRDefault="00BC1F06" w:rsidP="00AA6375">
            <w:pPr>
              <w:rPr>
                <w:sz w:val="18"/>
                <w:szCs w:val="18"/>
              </w:rPr>
            </w:pPr>
            <w:r w:rsidRPr="00022BA7">
              <w:rPr>
                <w:sz w:val="18"/>
                <w:szCs w:val="18"/>
              </w:rPr>
              <w:t xml:space="preserve">Passenger Ship-Ferry-Ro-Ro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5ECA45B7" w14:textId="77777777" w:rsidR="00BC1F06" w:rsidRPr="00022BA7" w:rsidRDefault="00BC1F06" w:rsidP="00AA6375">
            <w:pPr>
              <w:rPr>
                <w:sz w:val="18"/>
                <w:szCs w:val="18"/>
              </w:rPr>
            </w:pPr>
            <w:r w:rsidRPr="00022BA7">
              <w:rPr>
                <w:sz w:val="18"/>
                <w:szCs w:val="18"/>
              </w:rPr>
              <w:t>Passenger</w:t>
            </w:r>
          </w:p>
        </w:tc>
      </w:tr>
      <w:tr w:rsidR="00BC1F06" w:rsidRPr="00022BA7" w14:paraId="1146F0D0" w14:textId="77777777" w:rsidTr="00B60F61">
        <w:trPr>
          <w:trHeight w:val="300"/>
          <w:tblHeader/>
        </w:trPr>
        <w:tc>
          <w:tcPr>
            <w:tcW w:w="6925" w:type="dxa"/>
            <w:noWrap/>
            <w:vAlign w:val="center"/>
            <w:hideMark/>
          </w:tcPr>
          <w:p w14:paraId="2FE85613" w14:textId="77777777" w:rsidR="00BC1F06" w:rsidRPr="00022BA7" w:rsidRDefault="00BC1F06" w:rsidP="00AA6375">
            <w:pPr>
              <w:rPr>
                <w:sz w:val="18"/>
                <w:szCs w:val="18"/>
              </w:rPr>
            </w:pPr>
            <w:r w:rsidRPr="00022BA7">
              <w:rPr>
                <w:sz w:val="18"/>
                <w:szCs w:val="18"/>
              </w:rPr>
              <w:t xml:space="preserve">Passenger Ship-Ferry-Ro-Ro Ferry (6 or Fewer, </w:t>
            </w:r>
            <w:r>
              <w:rPr>
                <w:sz w:val="18"/>
                <w:szCs w:val="18"/>
              </w:rPr>
              <w:t>GT</w:t>
            </w:r>
            <w:r w:rsidRPr="00022BA7">
              <w:rPr>
                <w:sz w:val="18"/>
                <w:szCs w:val="18"/>
              </w:rPr>
              <w:t xml:space="preserve"> &lt; 100)</w:t>
            </w:r>
          </w:p>
        </w:tc>
        <w:tc>
          <w:tcPr>
            <w:tcW w:w="2430" w:type="dxa"/>
            <w:noWrap/>
            <w:vAlign w:val="center"/>
            <w:hideMark/>
          </w:tcPr>
          <w:p w14:paraId="7F3AE3ED" w14:textId="77777777" w:rsidR="00BC1F06" w:rsidRPr="00022BA7" w:rsidRDefault="00BC1F06" w:rsidP="00AA6375">
            <w:pPr>
              <w:rPr>
                <w:sz w:val="18"/>
                <w:szCs w:val="18"/>
              </w:rPr>
            </w:pPr>
            <w:r w:rsidRPr="00022BA7">
              <w:rPr>
                <w:sz w:val="18"/>
                <w:szCs w:val="18"/>
              </w:rPr>
              <w:t>Passenger</w:t>
            </w:r>
          </w:p>
        </w:tc>
      </w:tr>
      <w:tr w:rsidR="00BC1F06" w:rsidRPr="00022BA7" w14:paraId="7DE5D99B" w14:textId="77777777" w:rsidTr="00B60F61">
        <w:trPr>
          <w:trHeight w:val="300"/>
          <w:tblHeader/>
        </w:trPr>
        <w:tc>
          <w:tcPr>
            <w:tcW w:w="6925" w:type="dxa"/>
            <w:noWrap/>
            <w:vAlign w:val="center"/>
            <w:hideMark/>
          </w:tcPr>
          <w:p w14:paraId="69911CD3" w14:textId="77777777" w:rsidR="00BC1F06" w:rsidRPr="00022BA7" w:rsidRDefault="00BC1F06" w:rsidP="00AA6375">
            <w:pPr>
              <w:rPr>
                <w:sz w:val="18"/>
                <w:szCs w:val="18"/>
              </w:rPr>
            </w:pPr>
            <w:r w:rsidRPr="00022BA7">
              <w:rPr>
                <w:sz w:val="18"/>
                <w:szCs w:val="18"/>
              </w:rPr>
              <w:t xml:space="preserve">Passenger Ship-Ferry-Ro-Ro Ferry (More Than 6, </w:t>
            </w:r>
            <w:r>
              <w:rPr>
                <w:sz w:val="18"/>
                <w:szCs w:val="18"/>
              </w:rPr>
              <w:t>GT</w:t>
            </w:r>
            <w:r w:rsidRPr="00022BA7">
              <w:rPr>
                <w:sz w:val="18"/>
                <w:szCs w:val="18"/>
              </w:rPr>
              <w:t xml:space="preserve"> &lt; 100)</w:t>
            </w:r>
          </w:p>
        </w:tc>
        <w:tc>
          <w:tcPr>
            <w:tcW w:w="2430" w:type="dxa"/>
            <w:noWrap/>
            <w:vAlign w:val="center"/>
            <w:hideMark/>
          </w:tcPr>
          <w:p w14:paraId="7F0BAC81" w14:textId="77777777" w:rsidR="00BC1F06" w:rsidRPr="00022BA7" w:rsidRDefault="00BC1F06" w:rsidP="00AA6375">
            <w:pPr>
              <w:rPr>
                <w:sz w:val="18"/>
                <w:szCs w:val="18"/>
              </w:rPr>
            </w:pPr>
            <w:r w:rsidRPr="00022BA7">
              <w:rPr>
                <w:sz w:val="18"/>
                <w:szCs w:val="18"/>
              </w:rPr>
              <w:t>Passenger</w:t>
            </w:r>
          </w:p>
        </w:tc>
      </w:tr>
      <w:tr w:rsidR="00BC1F06" w:rsidRPr="00022BA7" w14:paraId="5A4799E2" w14:textId="77777777" w:rsidTr="00B60F61">
        <w:trPr>
          <w:trHeight w:val="300"/>
          <w:tblHeader/>
        </w:trPr>
        <w:tc>
          <w:tcPr>
            <w:tcW w:w="6925" w:type="dxa"/>
            <w:noWrap/>
            <w:vAlign w:val="center"/>
            <w:hideMark/>
          </w:tcPr>
          <w:p w14:paraId="75D9FC2D" w14:textId="77777777" w:rsidR="00BC1F06" w:rsidRPr="00022BA7" w:rsidRDefault="00BC1F06" w:rsidP="00AA6375">
            <w:pPr>
              <w:rPr>
                <w:sz w:val="18"/>
                <w:szCs w:val="18"/>
              </w:rPr>
            </w:pPr>
            <w:r w:rsidRPr="00022BA7">
              <w:rPr>
                <w:sz w:val="18"/>
                <w:szCs w:val="18"/>
              </w:rPr>
              <w:t xml:space="preserve">Passenger Ship-Gaming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46AC47B4" w14:textId="77777777" w:rsidR="00BC1F06" w:rsidRPr="00022BA7" w:rsidRDefault="00BC1F06" w:rsidP="00AA6375">
            <w:pPr>
              <w:rPr>
                <w:sz w:val="18"/>
                <w:szCs w:val="18"/>
              </w:rPr>
            </w:pPr>
            <w:r w:rsidRPr="00022BA7">
              <w:rPr>
                <w:sz w:val="18"/>
                <w:szCs w:val="18"/>
              </w:rPr>
              <w:t>Passenger</w:t>
            </w:r>
          </w:p>
        </w:tc>
      </w:tr>
      <w:tr w:rsidR="00BC1F06" w:rsidRPr="00022BA7" w14:paraId="7C883EFD" w14:textId="77777777" w:rsidTr="00B60F61">
        <w:trPr>
          <w:trHeight w:val="300"/>
          <w:tblHeader/>
        </w:trPr>
        <w:tc>
          <w:tcPr>
            <w:tcW w:w="6925" w:type="dxa"/>
            <w:noWrap/>
            <w:vAlign w:val="center"/>
            <w:hideMark/>
          </w:tcPr>
          <w:p w14:paraId="07E7569C" w14:textId="77777777" w:rsidR="00BC1F06" w:rsidRPr="00022BA7" w:rsidRDefault="00BC1F06" w:rsidP="00AA6375">
            <w:pPr>
              <w:rPr>
                <w:sz w:val="18"/>
                <w:szCs w:val="18"/>
              </w:rPr>
            </w:pPr>
            <w:r w:rsidRPr="00022BA7">
              <w:rPr>
                <w:sz w:val="18"/>
                <w:szCs w:val="18"/>
              </w:rPr>
              <w:t xml:space="preserve">Passenger Ship-Gaming Vessel-General (More Than 6, </w:t>
            </w:r>
            <w:r>
              <w:rPr>
                <w:sz w:val="18"/>
                <w:szCs w:val="18"/>
              </w:rPr>
              <w:t>GT</w:t>
            </w:r>
            <w:r w:rsidRPr="00022BA7">
              <w:rPr>
                <w:sz w:val="18"/>
                <w:szCs w:val="18"/>
              </w:rPr>
              <w:t xml:space="preserve"> &lt; 100)</w:t>
            </w:r>
          </w:p>
        </w:tc>
        <w:tc>
          <w:tcPr>
            <w:tcW w:w="2430" w:type="dxa"/>
            <w:noWrap/>
            <w:vAlign w:val="center"/>
            <w:hideMark/>
          </w:tcPr>
          <w:p w14:paraId="50F25A8A" w14:textId="77777777" w:rsidR="00BC1F06" w:rsidRPr="00022BA7" w:rsidRDefault="00BC1F06" w:rsidP="00AA6375">
            <w:pPr>
              <w:rPr>
                <w:sz w:val="18"/>
                <w:szCs w:val="18"/>
              </w:rPr>
            </w:pPr>
            <w:r w:rsidRPr="00022BA7">
              <w:rPr>
                <w:sz w:val="18"/>
                <w:szCs w:val="18"/>
              </w:rPr>
              <w:t>Passenger</w:t>
            </w:r>
          </w:p>
        </w:tc>
      </w:tr>
      <w:tr w:rsidR="00BC1F06" w:rsidRPr="00022BA7" w14:paraId="0357C2EC" w14:textId="77777777" w:rsidTr="00B60F61">
        <w:trPr>
          <w:trHeight w:val="300"/>
          <w:tblHeader/>
        </w:trPr>
        <w:tc>
          <w:tcPr>
            <w:tcW w:w="6925" w:type="dxa"/>
            <w:noWrap/>
            <w:vAlign w:val="center"/>
            <w:hideMark/>
          </w:tcPr>
          <w:p w14:paraId="11E56E78" w14:textId="77777777" w:rsidR="00BC1F06" w:rsidRPr="00022BA7" w:rsidRDefault="00BC1F06" w:rsidP="00AA6375">
            <w:pPr>
              <w:rPr>
                <w:sz w:val="18"/>
                <w:szCs w:val="18"/>
              </w:rPr>
            </w:pPr>
            <w:r w:rsidRPr="00022BA7">
              <w:rPr>
                <w:sz w:val="18"/>
                <w:szCs w:val="18"/>
              </w:rPr>
              <w:t xml:space="preserve">Passenger Ship-General-General (12 or Fewer,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29CB9D21" w14:textId="77777777" w:rsidR="00BC1F06" w:rsidRPr="00022BA7" w:rsidRDefault="00BC1F06" w:rsidP="00AA6375">
            <w:pPr>
              <w:rPr>
                <w:sz w:val="18"/>
                <w:szCs w:val="18"/>
              </w:rPr>
            </w:pPr>
            <w:r w:rsidRPr="00022BA7">
              <w:rPr>
                <w:sz w:val="18"/>
                <w:szCs w:val="18"/>
              </w:rPr>
              <w:t>Passenger</w:t>
            </w:r>
          </w:p>
        </w:tc>
      </w:tr>
      <w:tr w:rsidR="00BC1F06" w:rsidRPr="00022BA7" w14:paraId="4BA72347" w14:textId="77777777" w:rsidTr="00B60F61">
        <w:trPr>
          <w:trHeight w:val="300"/>
          <w:tblHeader/>
        </w:trPr>
        <w:tc>
          <w:tcPr>
            <w:tcW w:w="6925" w:type="dxa"/>
            <w:noWrap/>
            <w:vAlign w:val="center"/>
            <w:hideMark/>
          </w:tcPr>
          <w:p w14:paraId="58DD9998" w14:textId="77777777" w:rsidR="00BC1F06" w:rsidRPr="00022BA7" w:rsidRDefault="00BC1F06" w:rsidP="00AA6375">
            <w:pPr>
              <w:rPr>
                <w:sz w:val="18"/>
                <w:szCs w:val="18"/>
              </w:rPr>
            </w:pPr>
            <w:r w:rsidRPr="00022BA7">
              <w:rPr>
                <w:sz w:val="18"/>
                <w:szCs w:val="18"/>
              </w:rPr>
              <w:t xml:space="preserve">Passenger Ship-General-General (6 or Fewer, </w:t>
            </w:r>
            <w:r>
              <w:rPr>
                <w:sz w:val="18"/>
                <w:szCs w:val="18"/>
              </w:rPr>
              <w:t>GT</w:t>
            </w:r>
            <w:r w:rsidRPr="00022BA7">
              <w:rPr>
                <w:sz w:val="18"/>
                <w:szCs w:val="18"/>
              </w:rPr>
              <w:t xml:space="preserve"> &lt; 100)</w:t>
            </w:r>
          </w:p>
        </w:tc>
        <w:tc>
          <w:tcPr>
            <w:tcW w:w="2430" w:type="dxa"/>
            <w:noWrap/>
            <w:vAlign w:val="center"/>
            <w:hideMark/>
          </w:tcPr>
          <w:p w14:paraId="485A4F75" w14:textId="77777777" w:rsidR="00BC1F06" w:rsidRPr="00022BA7" w:rsidRDefault="00BC1F06" w:rsidP="00AA6375">
            <w:pPr>
              <w:rPr>
                <w:sz w:val="18"/>
                <w:szCs w:val="18"/>
              </w:rPr>
            </w:pPr>
            <w:r w:rsidRPr="00022BA7">
              <w:rPr>
                <w:sz w:val="18"/>
                <w:szCs w:val="18"/>
              </w:rPr>
              <w:t>Passenger</w:t>
            </w:r>
          </w:p>
        </w:tc>
      </w:tr>
      <w:tr w:rsidR="00BC1F06" w:rsidRPr="00022BA7" w14:paraId="7617AC08" w14:textId="77777777" w:rsidTr="00B60F61">
        <w:trPr>
          <w:trHeight w:val="300"/>
          <w:tblHeader/>
        </w:trPr>
        <w:tc>
          <w:tcPr>
            <w:tcW w:w="6925" w:type="dxa"/>
            <w:noWrap/>
            <w:vAlign w:val="center"/>
            <w:hideMark/>
          </w:tcPr>
          <w:p w14:paraId="66014A95" w14:textId="77777777" w:rsidR="00BC1F06" w:rsidRPr="00022BA7" w:rsidRDefault="00BC1F06" w:rsidP="00AA6375">
            <w:pPr>
              <w:rPr>
                <w:sz w:val="18"/>
                <w:szCs w:val="18"/>
              </w:rPr>
            </w:pPr>
            <w:r w:rsidRPr="00022BA7">
              <w:rPr>
                <w:sz w:val="18"/>
                <w:szCs w:val="18"/>
              </w:rPr>
              <w:t xml:space="preserve">Passenger Ship-General-General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5A9736A1" w14:textId="77777777" w:rsidR="00BC1F06" w:rsidRPr="00022BA7" w:rsidRDefault="00BC1F06" w:rsidP="00AA6375">
            <w:pPr>
              <w:rPr>
                <w:sz w:val="18"/>
                <w:szCs w:val="18"/>
              </w:rPr>
            </w:pPr>
            <w:r w:rsidRPr="00022BA7">
              <w:rPr>
                <w:sz w:val="18"/>
                <w:szCs w:val="18"/>
              </w:rPr>
              <w:t>Passenger</w:t>
            </w:r>
          </w:p>
        </w:tc>
      </w:tr>
      <w:tr w:rsidR="00BC1F06" w:rsidRPr="00022BA7" w14:paraId="744A1A70" w14:textId="77777777" w:rsidTr="00B60F61">
        <w:trPr>
          <w:trHeight w:val="300"/>
          <w:tblHeader/>
        </w:trPr>
        <w:tc>
          <w:tcPr>
            <w:tcW w:w="6925" w:type="dxa"/>
            <w:noWrap/>
            <w:vAlign w:val="center"/>
            <w:hideMark/>
          </w:tcPr>
          <w:p w14:paraId="052F9E2E" w14:textId="77777777" w:rsidR="00BC1F06" w:rsidRPr="00022BA7" w:rsidRDefault="00BC1F06" w:rsidP="00AA6375">
            <w:pPr>
              <w:rPr>
                <w:sz w:val="18"/>
                <w:szCs w:val="18"/>
              </w:rPr>
            </w:pPr>
            <w:r w:rsidRPr="00022BA7">
              <w:rPr>
                <w:sz w:val="18"/>
                <w:szCs w:val="18"/>
              </w:rPr>
              <w:t xml:space="preserve">Passenger Ship-General-General (More Than 6, </w:t>
            </w:r>
            <w:r>
              <w:rPr>
                <w:sz w:val="18"/>
                <w:szCs w:val="18"/>
              </w:rPr>
              <w:t>GT</w:t>
            </w:r>
            <w:r w:rsidRPr="00022BA7">
              <w:rPr>
                <w:sz w:val="18"/>
                <w:szCs w:val="18"/>
              </w:rPr>
              <w:t xml:space="preserve"> &lt; 100)</w:t>
            </w:r>
          </w:p>
        </w:tc>
        <w:tc>
          <w:tcPr>
            <w:tcW w:w="2430" w:type="dxa"/>
            <w:noWrap/>
            <w:vAlign w:val="center"/>
            <w:hideMark/>
          </w:tcPr>
          <w:p w14:paraId="0ED3F426" w14:textId="77777777" w:rsidR="00BC1F06" w:rsidRPr="00022BA7" w:rsidRDefault="00BC1F06" w:rsidP="00AA6375">
            <w:pPr>
              <w:rPr>
                <w:sz w:val="18"/>
                <w:szCs w:val="18"/>
              </w:rPr>
            </w:pPr>
            <w:r w:rsidRPr="00022BA7">
              <w:rPr>
                <w:sz w:val="18"/>
                <w:szCs w:val="18"/>
              </w:rPr>
              <w:t>Passenger</w:t>
            </w:r>
          </w:p>
        </w:tc>
      </w:tr>
      <w:tr w:rsidR="00BC1F06" w:rsidRPr="00022BA7" w14:paraId="6C7E484F" w14:textId="77777777" w:rsidTr="00B60F61">
        <w:trPr>
          <w:trHeight w:val="300"/>
          <w:tblHeader/>
        </w:trPr>
        <w:tc>
          <w:tcPr>
            <w:tcW w:w="6925" w:type="dxa"/>
            <w:noWrap/>
            <w:vAlign w:val="center"/>
            <w:hideMark/>
          </w:tcPr>
          <w:p w14:paraId="59E52336" w14:textId="77777777" w:rsidR="00BC1F06" w:rsidRPr="00022BA7" w:rsidRDefault="00BC1F06" w:rsidP="00AA6375">
            <w:pPr>
              <w:rPr>
                <w:sz w:val="18"/>
                <w:szCs w:val="18"/>
              </w:rPr>
            </w:pPr>
            <w:r w:rsidRPr="00022BA7">
              <w:rPr>
                <w:sz w:val="18"/>
                <w:szCs w:val="18"/>
              </w:rPr>
              <w:t xml:space="preserve">Passenger Ship-Harbor Cruise Vessel-General (6 or Fewer, </w:t>
            </w:r>
            <w:r>
              <w:rPr>
                <w:sz w:val="18"/>
                <w:szCs w:val="18"/>
              </w:rPr>
              <w:t>GT</w:t>
            </w:r>
            <w:r w:rsidRPr="00022BA7">
              <w:rPr>
                <w:sz w:val="18"/>
                <w:szCs w:val="18"/>
              </w:rPr>
              <w:t xml:space="preserve"> &lt; 100)</w:t>
            </w:r>
          </w:p>
        </w:tc>
        <w:tc>
          <w:tcPr>
            <w:tcW w:w="2430" w:type="dxa"/>
            <w:noWrap/>
            <w:vAlign w:val="center"/>
            <w:hideMark/>
          </w:tcPr>
          <w:p w14:paraId="4684B771" w14:textId="77777777" w:rsidR="00BC1F06" w:rsidRPr="00022BA7" w:rsidRDefault="00BC1F06" w:rsidP="00AA6375">
            <w:pPr>
              <w:rPr>
                <w:sz w:val="18"/>
                <w:szCs w:val="18"/>
              </w:rPr>
            </w:pPr>
            <w:r w:rsidRPr="00022BA7">
              <w:rPr>
                <w:sz w:val="18"/>
                <w:szCs w:val="18"/>
              </w:rPr>
              <w:t>Passenger</w:t>
            </w:r>
          </w:p>
        </w:tc>
      </w:tr>
      <w:tr w:rsidR="00BC1F06" w:rsidRPr="00022BA7" w14:paraId="01340AE4" w14:textId="77777777" w:rsidTr="00B60F61">
        <w:trPr>
          <w:trHeight w:val="53"/>
          <w:tblHeader/>
        </w:trPr>
        <w:tc>
          <w:tcPr>
            <w:tcW w:w="6925" w:type="dxa"/>
            <w:noWrap/>
            <w:vAlign w:val="center"/>
            <w:hideMark/>
          </w:tcPr>
          <w:p w14:paraId="43A8EBDF" w14:textId="77777777" w:rsidR="00BC1F06" w:rsidRPr="00022BA7" w:rsidRDefault="00BC1F06" w:rsidP="00AA6375">
            <w:pPr>
              <w:rPr>
                <w:sz w:val="18"/>
                <w:szCs w:val="18"/>
              </w:rPr>
            </w:pPr>
            <w:r w:rsidRPr="00022BA7">
              <w:rPr>
                <w:sz w:val="18"/>
                <w:szCs w:val="18"/>
              </w:rPr>
              <w:t xml:space="preserve">Passenger Ship-Harbor Cruise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426D9684" w14:textId="77777777" w:rsidR="00BC1F06" w:rsidRPr="00022BA7" w:rsidRDefault="00BC1F06" w:rsidP="00AA6375">
            <w:pPr>
              <w:rPr>
                <w:sz w:val="18"/>
                <w:szCs w:val="18"/>
              </w:rPr>
            </w:pPr>
            <w:r w:rsidRPr="00022BA7">
              <w:rPr>
                <w:sz w:val="18"/>
                <w:szCs w:val="18"/>
              </w:rPr>
              <w:t>Passenger</w:t>
            </w:r>
          </w:p>
        </w:tc>
      </w:tr>
      <w:tr w:rsidR="00BC1F06" w:rsidRPr="00022BA7" w14:paraId="352E1575" w14:textId="77777777" w:rsidTr="00B60F61">
        <w:trPr>
          <w:trHeight w:val="300"/>
          <w:tblHeader/>
        </w:trPr>
        <w:tc>
          <w:tcPr>
            <w:tcW w:w="6925" w:type="dxa"/>
            <w:noWrap/>
            <w:vAlign w:val="center"/>
            <w:hideMark/>
          </w:tcPr>
          <w:p w14:paraId="44928480" w14:textId="77777777" w:rsidR="00BC1F06" w:rsidRPr="00022BA7" w:rsidRDefault="00BC1F06" w:rsidP="00AA6375">
            <w:pPr>
              <w:rPr>
                <w:sz w:val="18"/>
                <w:szCs w:val="18"/>
              </w:rPr>
            </w:pPr>
            <w:r w:rsidRPr="00022BA7">
              <w:rPr>
                <w:sz w:val="18"/>
                <w:szCs w:val="18"/>
              </w:rPr>
              <w:t xml:space="preserve">Passenger Ship-Harbor Cruise Vessel-General (More Than 6, </w:t>
            </w:r>
            <w:r>
              <w:rPr>
                <w:sz w:val="18"/>
                <w:szCs w:val="18"/>
              </w:rPr>
              <w:t>GT</w:t>
            </w:r>
            <w:r w:rsidRPr="00022BA7">
              <w:rPr>
                <w:sz w:val="18"/>
                <w:szCs w:val="18"/>
              </w:rPr>
              <w:t xml:space="preserve"> &lt; 100)</w:t>
            </w:r>
          </w:p>
        </w:tc>
        <w:tc>
          <w:tcPr>
            <w:tcW w:w="2430" w:type="dxa"/>
            <w:noWrap/>
            <w:vAlign w:val="center"/>
            <w:hideMark/>
          </w:tcPr>
          <w:p w14:paraId="43F1FAC4" w14:textId="77777777" w:rsidR="00BC1F06" w:rsidRPr="00022BA7" w:rsidRDefault="00BC1F06" w:rsidP="00AA6375">
            <w:pPr>
              <w:rPr>
                <w:sz w:val="18"/>
                <w:szCs w:val="18"/>
              </w:rPr>
            </w:pPr>
            <w:r w:rsidRPr="00022BA7">
              <w:rPr>
                <w:sz w:val="18"/>
                <w:szCs w:val="18"/>
              </w:rPr>
              <w:t>Passenger</w:t>
            </w:r>
          </w:p>
        </w:tc>
      </w:tr>
      <w:tr w:rsidR="00BC1F06" w:rsidRPr="00022BA7" w14:paraId="41349700" w14:textId="77777777" w:rsidTr="00B60F61">
        <w:trPr>
          <w:trHeight w:val="300"/>
          <w:tblHeader/>
        </w:trPr>
        <w:tc>
          <w:tcPr>
            <w:tcW w:w="6925" w:type="dxa"/>
            <w:noWrap/>
            <w:vAlign w:val="center"/>
            <w:hideMark/>
          </w:tcPr>
          <w:p w14:paraId="43FA04B1" w14:textId="77777777" w:rsidR="00BC1F06" w:rsidRPr="00022BA7" w:rsidRDefault="00BC1F06" w:rsidP="00AA6375">
            <w:pPr>
              <w:rPr>
                <w:sz w:val="18"/>
                <w:szCs w:val="18"/>
              </w:rPr>
            </w:pPr>
            <w:r w:rsidRPr="00022BA7">
              <w:rPr>
                <w:sz w:val="18"/>
                <w:szCs w:val="18"/>
              </w:rPr>
              <w:t xml:space="preserve">Passenger Ship-Ocean Cruise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6992D64F" w14:textId="77777777" w:rsidR="00BC1F06" w:rsidRPr="00022BA7" w:rsidRDefault="00BC1F06" w:rsidP="00AA6375">
            <w:pPr>
              <w:rPr>
                <w:sz w:val="18"/>
                <w:szCs w:val="18"/>
              </w:rPr>
            </w:pPr>
            <w:r w:rsidRPr="00022BA7">
              <w:rPr>
                <w:sz w:val="18"/>
                <w:szCs w:val="18"/>
              </w:rPr>
              <w:t>Passenger</w:t>
            </w:r>
          </w:p>
        </w:tc>
      </w:tr>
      <w:tr w:rsidR="00BC1F06" w:rsidRPr="00022BA7" w14:paraId="1B4661CB" w14:textId="77777777" w:rsidTr="00B60F61">
        <w:trPr>
          <w:trHeight w:val="300"/>
          <w:tblHeader/>
        </w:trPr>
        <w:tc>
          <w:tcPr>
            <w:tcW w:w="6925" w:type="dxa"/>
            <w:noWrap/>
            <w:vAlign w:val="center"/>
            <w:hideMark/>
          </w:tcPr>
          <w:p w14:paraId="1991AFF9" w14:textId="77777777" w:rsidR="00BC1F06" w:rsidRPr="00022BA7" w:rsidRDefault="00BC1F06" w:rsidP="00AA6375">
            <w:pPr>
              <w:rPr>
                <w:sz w:val="18"/>
                <w:szCs w:val="18"/>
              </w:rPr>
            </w:pPr>
            <w:r w:rsidRPr="00022BA7">
              <w:rPr>
                <w:sz w:val="18"/>
                <w:szCs w:val="18"/>
              </w:rPr>
              <w:t xml:space="preserve">Passenger Ship-Ocean Cruise Vessel-General (More Than 6, </w:t>
            </w:r>
            <w:r>
              <w:rPr>
                <w:sz w:val="18"/>
                <w:szCs w:val="18"/>
              </w:rPr>
              <w:t>GT</w:t>
            </w:r>
            <w:r w:rsidRPr="00022BA7">
              <w:rPr>
                <w:sz w:val="18"/>
                <w:szCs w:val="18"/>
              </w:rPr>
              <w:t xml:space="preserve"> &lt; 100)</w:t>
            </w:r>
          </w:p>
        </w:tc>
        <w:tc>
          <w:tcPr>
            <w:tcW w:w="2430" w:type="dxa"/>
            <w:noWrap/>
            <w:vAlign w:val="center"/>
            <w:hideMark/>
          </w:tcPr>
          <w:p w14:paraId="05189630" w14:textId="77777777" w:rsidR="00BC1F06" w:rsidRPr="00022BA7" w:rsidRDefault="00BC1F06" w:rsidP="00AA6375">
            <w:pPr>
              <w:rPr>
                <w:sz w:val="18"/>
                <w:szCs w:val="18"/>
              </w:rPr>
            </w:pPr>
            <w:r w:rsidRPr="00022BA7">
              <w:rPr>
                <w:sz w:val="18"/>
                <w:szCs w:val="18"/>
              </w:rPr>
              <w:t>Passenger</w:t>
            </w:r>
          </w:p>
        </w:tc>
      </w:tr>
      <w:tr w:rsidR="00BC1F06" w:rsidRPr="00022BA7" w14:paraId="29394748" w14:textId="77777777" w:rsidTr="00B60F61">
        <w:trPr>
          <w:trHeight w:val="300"/>
          <w:tblHeader/>
        </w:trPr>
        <w:tc>
          <w:tcPr>
            <w:tcW w:w="6925" w:type="dxa"/>
            <w:noWrap/>
            <w:vAlign w:val="center"/>
            <w:hideMark/>
          </w:tcPr>
          <w:p w14:paraId="76225E9E" w14:textId="77777777" w:rsidR="00BC1F06" w:rsidRPr="00022BA7" w:rsidRDefault="00BC1F06" w:rsidP="00AA6375">
            <w:pPr>
              <w:rPr>
                <w:sz w:val="18"/>
                <w:szCs w:val="18"/>
              </w:rPr>
            </w:pPr>
            <w:r w:rsidRPr="00022BA7">
              <w:rPr>
                <w:sz w:val="18"/>
                <w:szCs w:val="18"/>
              </w:rPr>
              <w:t>Passenger Ship-Parasailing Vessel-General (6 or Fewer)</w:t>
            </w:r>
          </w:p>
        </w:tc>
        <w:tc>
          <w:tcPr>
            <w:tcW w:w="2430" w:type="dxa"/>
            <w:noWrap/>
            <w:vAlign w:val="center"/>
            <w:hideMark/>
          </w:tcPr>
          <w:p w14:paraId="1F94C43E" w14:textId="77777777" w:rsidR="00BC1F06" w:rsidRPr="00022BA7" w:rsidRDefault="00BC1F06" w:rsidP="00AA6375">
            <w:pPr>
              <w:rPr>
                <w:sz w:val="18"/>
                <w:szCs w:val="18"/>
              </w:rPr>
            </w:pPr>
            <w:r w:rsidRPr="00022BA7">
              <w:rPr>
                <w:sz w:val="18"/>
                <w:szCs w:val="18"/>
              </w:rPr>
              <w:t>Passenger</w:t>
            </w:r>
          </w:p>
        </w:tc>
      </w:tr>
      <w:tr w:rsidR="00BC1F06" w:rsidRPr="00022BA7" w14:paraId="32042F30" w14:textId="77777777" w:rsidTr="00B60F61">
        <w:trPr>
          <w:trHeight w:val="300"/>
          <w:tblHeader/>
        </w:trPr>
        <w:tc>
          <w:tcPr>
            <w:tcW w:w="6925" w:type="dxa"/>
            <w:noWrap/>
            <w:vAlign w:val="center"/>
            <w:hideMark/>
          </w:tcPr>
          <w:p w14:paraId="157056F2" w14:textId="77777777" w:rsidR="00BC1F06" w:rsidRPr="00022BA7" w:rsidRDefault="00BC1F06" w:rsidP="00AA6375">
            <w:pPr>
              <w:rPr>
                <w:sz w:val="18"/>
                <w:szCs w:val="18"/>
              </w:rPr>
            </w:pPr>
            <w:r w:rsidRPr="00022BA7">
              <w:rPr>
                <w:sz w:val="18"/>
                <w:szCs w:val="18"/>
              </w:rPr>
              <w:t>Passenger Ship-Parasailing Vessel-General (More Than 6)</w:t>
            </w:r>
          </w:p>
        </w:tc>
        <w:tc>
          <w:tcPr>
            <w:tcW w:w="2430" w:type="dxa"/>
            <w:noWrap/>
            <w:vAlign w:val="center"/>
            <w:hideMark/>
          </w:tcPr>
          <w:p w14:paraId="11C447D3" w14:textId="77777777" w:rsidR="00BC1F06" w:rsidRPr="00022BA7" w:rsidRDefault="00BC1F06" w:rsidP="00AA6375">
            <w:pPr>
              <w:rPr>
                <w:sz w:val="18"/>
                <w:szCs w:val="18"/>
              </w:rPr>
            </w:pPr>
            <w:r w:rsidRPr="00022BA7">
              <w:rPr>
                <w:sz w:val="18"/>
                <w:szCs w:val="18"/>
              </w:rPr>
              <w:t>Passenger</w:t>
            </w:r>
          </w:p>
        </w:tc>
      </w:tr>
      <w:tr w:rsidR="00BC1F06" w:rsidRPr="00022BA7" w14:paraId="300E161D" w14:textId="77777777" w:rsidTr="00B60F61">
        <w:trPr>
          <w:trHeight w:val="300"/>
          <w:tblHeader/>
        </w:trPr>
        <w:tc>
          <w:tcPr>
            <w:tcW w:w="6925" w:type="dxa"/>
            <w:noWrap/>
            <w:vAlign w:val="center"/>
            <w:hideMark/>
          </w:tcPr>
          <w:p w14:paraId="65930D7E" w14:textId="77777777" w:rsidR="00BC1F06" w:rsidRPr="00022BA7" w:rsidRDefault="00BC1F06" w:rsidP="00AA6375">
            <w:pPr>
              <w:rPr>
                <w:sz w:val="18"/>
                <w:szCs w:val="18"/>
              </w:rPr>
            </w:pPr>
            <w:r w:rsidRPr="00022BA7">
              <w:rPr>
                <w:sz w:val="18"/>
                <w:szCs w:val="18"/>
              </w:rPr>
              <w:t xml:space="preserve">Passenger Ship-Party/Head Boat (other than fish)-General (6 or Fewer, </w:t>
            </w:r>
            <w:r>
              <w:rPr>
                <w:sz w:val="18"/>
                <w:szCs w:val="18"/>
              </w:rPr>
              <w:t>GT</w:t>
            </w:r>
            <w:r w:rsidRPr="00022BA7">
              <w:rPr>
                <w:sz w:val="18"/>
                <w:szCs w:val="18"/>
              </w:rPr>
              <w:t xml:space="preserve"> &lt; 100)</w:t>
            </w:r>
          </w:p>
        </w:tc>
        <w:tc>
          <w:tcPr>
            <w:tcW w:w="2430" w:type="dxa"/>
            <w:noWrap/>
            <w:vAlign w:val="center"/>
            <w:hideMark/>
          </w:tcPr>
          <w:p w14:paraId="5579786F" w14:textId="77777777" w:rsidR="00BC1F06" w:rsidRPr="00022BA7" w:rsidRDefault="00BC1F06" w:rsidP="00AA6375">
            <w:pPr>
              <w:rPr>
                <w:sz w:val="18"/>
                <w:szCs w:val="18"/>
              </w:rPr>
            </w:pPr>
            <w:r w:rsidRPr="00022BA7">
              <w:rPr>
                <w:sz w:val="18"/>
                <w:szCs w:val="18"/>
              </w:rPr>
              <w:t>Passenger</w:t>
            </w:r>
          </w:p>
        </w:tc>
      </w:tr>
      <w:tr w:rsidR="00BC1F06" w:rsidRPr="00022BA7" w14:paraId="329295B2" w14:textId="77777777" w:rsidTr="00B60F61">
        <w:trPr>
          <w:trHeight w:val="300"/>
        </w:trPr>
        <w:tc>
          <w:tcPr>
            <w:tcW w:w="6925" w:type="dxa"/>
            <w:noWrap/>
            <w:vAlign w:val="center"/>
            <w:hideMark/>
          </w:tcPr>
          <w:p w14:paraId="27731D92" w14:textId="77777777" w:rsidR="00BC1F06" w:rsidRPr="00022BA7" w:rsidRDefault="00BC1F06" w:rsidP="00AA6375">
            <w:pPr>
              <w:rPr>
                <w:sz w:val="18"/>
                <w:szCs w:val="18"/>
              </w:rPr>
            </w:pPr>
            <w:r w:rsidRPr="00022BA7">
              <w:rPr>
                <w:sz w:val="18"/>
                <w:szCs w:val="18"/>
              </w:rPr>
              <w:t xml:space="preserve">Passenger Ship-Party/Head Boat (other than fish)-General (More Than 6, </w:t>
            </w:r>
            <w:r>
              <w:rPr>
                <w:sz w:val="18"/>
                <w:szCs w:val="18"/>
              </w:rPr>
              <w:t>GT</w:t>
            </w:r>
            <w:r w:rsidRPr="00022BA7">
              <w:rPr>
                <w:sz w:val="18"/>
                <w:szCs w:val="18"/>
              </w:rPr>
              <w:t xml:space="preserve"> &lt; 100)</w:t>
            </w:r>
          </w:p>
        </w:tc>
        <w:tc>
          <w:tcPr>
            <w:tcW w:w="2430" w:type="dxa"/>
            <w:noWrap/>
            <w:vAlign w:val="center"/>
            <w:hideMark/>
          </w:tcPr>
          <w:p w14:paraId="06422503" w14:textId="77777777" w:rsidR="00BC1F06" w:rsidRPr="00022BA7" w:rsidRDefault="00BC1F06" w:rsidP="00AA6375">
            <w:pPr>
              <w:rPr>
                <w:sz w:val="18"/>
                <w:szCs w:val="18"/>
              </w:rPr>
            </w:pPr>
            <w:r w:rsidRPr="00022BA7">
              <w:rPr>
                <w:sz w:val="18"/>
                <w:szCs w:val="18"/>
              </w:rPr>
              <w:t>Passenger</w:t>
            </w:r>
          </w:p>
        </w:tc>
      </w:tr>
      <w:tr w:rsidR="00BC1F06" w:rsidRPr="00022BA7" w14:paraId="3F82A45D" w14:textId="77777777" w:rsidTr="00B60F61">
        <w:trPr>
          <w:trHeight w:val="300"/>
        </w:trPr>
        <w:tc>
          <w:tcPr>
            <w:tcW w:w="6925" w:type="dxa"/>
            <w:noWrap/>
            <w:vAlign w:val="center"/>
            <w:hideMark/>
          </w:tcPr>
          <w:p w14:paraId="3C858A95" w14:textId="77777777" w:rsidR="00BC1F06" w:rsidRPr="00022BA7" w:rsidRDefault="00BC1F06" w:rsidP="00AA6375">
            <w:pPr>
              <w:rPr>
                <w:sz w:val="18"/>
                <w:szCs w:val="18"/>
              </w:rPr>
            </w:pPr>
            <w:r w:rsidRPr="00022BA7">
              <w:rPr>
                <w:sz w:val="18"/>
                <w:szCs w:val="18"/>
              </w:rPr>
              <w:t xml:space="preserve">Passenger Ship-River Cruise Vessel-General (6 or Fewer, </w:t>
            </w:r>
            <w:r>
              <w:rPr>
                <w:sz w:val="18"/>
                <w:szCs w:val="18"/>
              </w:rPr>
              <w:t>GT</w:t>
            </w:r>
            <w:r w:rsidRPr="00022BA7">
              <w:rPr>
                <w:sz w:val="18"/>
                <w:szCs w:val="18"/>
              </w:rPr>
              <w:t xml:space="preserve"> &lt; 100)</w:t>
            </w:r>
          </w:p>
        </w:tc>
        <w:tc>
          <w:tcPr>
            <w:tcW w:w="2430" w:type="dxa"/>
            <w:noWrap/>
            <w:vAlign w:val="center"/>
            <w:hideMark/>
          </w:tcPr>
          <w:p w14:paraId="6A224374" w14:textId="77777777" w:rsidR="00BC1F06" w:rsidRPr="00022BA7" w:rsidRDefault="00BC1F06" w:rsidP="00AA6375">
            <w:pPr>
              <w:rPr>
                <w:sz w:val="18"/>
                <w:szCs w:val="18"/>
              </w:rPr>
            </w:pPr>
            <w:r w:rsidRPr="00022BA7">
              <w:rPr>
                <w:sz w:val="18"/>
                <w:szCs w:val="18"/>
              </w:rPr>
              <w:t>Passenger</w:t>
            </w:r>
          </w:p>
        </w:tc>
      </w:tr>
      <w:tr w:rsidR="00BC1F06" w:rsidRPr="00022BA7" w14:paraId="7C97E18A" w14:textId="77777777" w:rsidTr="00B60F61">
        <w:trPr>
          <w:trHeight w:val="300"/>
        </w:trPr>
        <w:tc>
          <w:tcPr>
            <w:tcW w:w="6925" w:type="dxa"/>
            <w:noWrap/>
            <w:vAlign w:val="center"/>
            <w:hideMark/>
          </w:tcPr>
          <w:p w14:paraId="11E85ADB" w14:textId="77777777" w:rsidR="00BC1F06" w:rsidRPr="00022BA7" w:rsidRDefault="00BC1F06" w:rsidP="00AA6375">
            <w:pPr>
              <w:rPr>
                <w:sz w:val="18"/>
                <w:szCs w:val="18"/>
              </w:rPr>
            </w:pPr>
            <w:r w:rsidRPr="00022BA7">
              <w:rPr>
                <w:sz w:val="18"/>
                <w:szCs w:val="18"/>
              </w:rPr>
              <w:t xml:space="preserve">Passenger Ship-River Cruise Vessel-General (More Than 12, </w:t>
            </w:r>
            <w:r>
              <w:rPr>
                <w:sz w:val="18"/>
                <w:szCs w:val="18"/>
              </w:rPr>
              <w:t>GT</w:t>
            </w:r>
            <w:r w:rsidRPr="00022BA7">
              <w:rPr>
                <w:sz w:val="18"/>
                <w:szCs w:val="18"/>
              </w:rPr>
              <w:t xml:space="preserve"> </w:t>
            </w:r>
            <w:r>
              <w:rPr>
                <w:rFonts w:cs="Times New Roman"/>
                <w:sz w:val="18"/>
                <w:szCs w:val="18"/>
              </w:rPr>
              <w:t>≥</w:t>
            </w:r>
            <w:r w:rsidRPr="00022BA7">
              <w:rPr>
                <w:sz w:val="18"/>
                <w:szCs w:val="18"/>
              </w:rPr>
              <w:t xml:space="preserve"> 100)</w:t>
            </w:r>
          </w:p>
        </w:tc>
        <w:tc>
          <w:tcPr>
            <w:tcW w:w="2430" w:type="dxa"/>
            <w:noWrap/>
            <w:vAlign w:val="center"/>
            <w:hideMark/>
          </w:tcPr>
          <w:p w14:paraId="19F23996" w14:textId="77777777" w:rsidR="00BC1F06" w:rsidRPr="00022BA7" w:rsidRDefault="00BC1F06" w:rsidP="00AA6375">
            <w:pPr>
              <w:rPr>
                <w:sz w:val="18"/>
                <w:szCs w:val="18"/>
              </w:rPr>
            </w:pPr>
            <w:r w:rsidRPr="00022BA7">
              <w:rPr>
                <w:sz w:val="18"/>
                <w:szCs w:val="18"/>
              </w:rPr>
              <w:t>Passenger</w:t>
            </w:r>
          </w:p>
        </w:tc>
      </w:tr>
      <w:tr w:rsidR="00BC1F06" w:rsidRPr="00022BA7" w14:paraId="62375676" w14:textId="77777777" w:rsidTr="00B60F61">
        <w:trPr>
          <w:trHeight w:val="300"/>
        </w:trPr>
        <w:tc>
          <w:tcPr>
            <w:tcW w:w="6925" w:type="dxa"/>
            <w:noWrap/>
            <w:vAlign w:val="center"/>
            <w:hideMark/>
          </w:tcPr>
          <w:p w14:paraId="69B47838" w14:textId="77777777" w:rsidR="00BC1F06" w:rsidRPr="00022BA7" w:rsidRDefault="00BC1F06" w:rsidP="00AA6375">
            <w:pPr>
              <w:rPr>
                <w:sz w:val="18"/>
                <w:szCs w:val="18"/>
              </w:rPr>
            </w:pPr>
            <w:r w:rsidRPr="00022BA7">
              <w:rPr>
                <w:sz w:val="18"/>
                <w:szCs w:val="18"/>
              </w:rPr>
              <w:t xml:space="preserve">Passenger Ship-River Cruise Vessel-General (More Than 6, </w:t>
            </w:r>
            <w:r>
              <w:rPr>
                <w:sz w:val="18"/>
                <w:szCs w:val="18"/>
              </w:rPr>
              <w:t>GT</w:t>
            </w:r>
            <w:r w:rsidRPr="00022BA7">
              <w:rPr>
                <w:sz w:val="18"/>
                <w:szCs w:val="18"/>
              </w:rPr>
              <w:t xml:space="preserve"> &lt; 100)</w:t>
            </w:r>
          </w:p>
        </w:tc>
        <w:tc>
          <w:tcPr>
            <w:tcW w:w="2430" w:type="dxa"/>
            <w:noWrap/>
            <w:vAlign w:val="center"/>
            <w:hideMark/>
          </w:tcPr>
          <w:p w14:paraId="4B74FDBF" w14:textId="77777777" w:rsidR="00BC1F06" w:rsidRPr="00022BA7" w:rsidRDefault="00BC1F06" w:rsidP="00AA6375">
            <w:pPr>
              <w:rPr>
                <w:sz w:val="18"/>
                <w:szCs w:val="18"/>
              </w:rPr>
            </w:pPr>
            <w:r w:rsidRPr="00022BA7">
              <w:rPr>
                <w:sz w:val="18"/>
                <w:szCs w:val="18"/>
              </w:rPr>
              <w:t>Passenger</w:t>
            </w:r>
          </w:p>
        </w:tc>
      </w:tr>
      <w:tr w:rsidR="00BC1F06" w:rsidRPr="00022BA7" w14:paraId="2E0046E6" w14:textId="77777777" w:rsidTr="00B60F61">
        <w:trPr>
          <w:trHeight w:val="300"/>
        </w:trPr>
        <w:tc>
          <w:tcPr>
            <w:tcW w:w="6925" w:type="dxa"/>
            <w:noWrap/>
            <w:vAlign w:val="center"/>
            <w:hideMark/>
          </w:tcPr>
          <w:p w14:paraId="7FFCD10B" w14:textId="77777777" w:rsidR="00BC1F06" w:rsidRPr="00022BA7" w:rsidRDefault="00BC1F06" w:rsidP="00AA6375">
            <w:pPr>
              <w:rPr>
                <w:sz w:val="18"/>
                <w:szCs w:val="18"/>
              </w:rPr>
            </w:pPr>
            <w:r w:rsidRPr="00022BA7">
              <w:rPr>
                <w:sz w:val="18"/>
                <w:szCs w:val="18"/>
              </w:rPr>
              <w:t xml:space="preserve">Passenger Ship-Special Purpose Ship-General (6 or Fewer, </w:t>
            </w:r>
            <w:r>
              <w:rPr>
                <w:sz w:val="18"/>
                <w:szCs w:val="18"/>
              </w:rPr>
              <w:t>GT</w:t>
            </w:r>
            <w:r w:rsidRPr="00022BA7">
              <w:rPr>
                <w:sz w:val="18"/>
                <w:szCs w:val="18"/>
              </w:rPr>
              <w:t xml:space="preserve"> &lt; 100)</w:t>
            </w:r>
          </w:p>
        </w:tc>
        <w:tc>
          <w:tcPr>
            <w:tcW w:w="2430" w:type="dxa"/>
            <w:noWrap/>
            <w:vAlign w:val="center"/>
            <w:hideMark/>
          </w:tcPr>
          <w:p w14:paraId="20EC8D95" w14:textId="77777777" w:rsidR="00BC1F06" w:rsidRPr="00022BA7" w:rsidRDefault="00BC1F06" w:rsidP="00AA6375">
            <w:pPr>
              <w:rPr>
                <w:sz w:val="18"/>
                <w:szCs w:val="18"/>
              </w:rPr>
            </w:pPr>
            <w:r w:rsidRPr="00022BA7">
              <w:rPr>
                <w:sz w:val="18"/>
                <w:szCs w:val="18"/>
              </w:rPr>
              <w:t>Passenger</w:t>
            </w:r>
          </w:p>
        </w:tc>
      </w:tr>
      <w:tr w:rsidR="00BC1F06" w:rsidRPr="00022BA7" w14:paraId="0772E7AA" w14:textId="77777777" w:rsidTr="00B60F61">
        <w:trPr>
          <w:trHeight w:val="300"/>
        </w:trPr>
        <w:tc>
          <w:tcPr>
            <w:tcW w:w="6925" w:type="dxa"/>
            <w:noWrap/>
            <w:vAlign w:val="center"/>
            <w:hideMark/>
          </w:tcPr>
          <w:p w14:paraId="5BACC11E" w14:textId="77777777" w:rsidR="00BC1F06" w:rsidRPr="00022BA7" w:rsidRDefault="00BC1F06" w:rsidP="00AA6375">
            <w:pPr>
              <w:rPr>
                <w:sz w:val="18"/>
                <w:szCs w:val="18"/>
              </w:rPr>
            </w:pPr>
            <w:r w:rsidRPr="00022BA7">
              <w:rPr>
                <w:sz w:val="18"/>
                <w:szCs w:val="18"/>
              </w:rPr>
              <w:t xml:space="preserve">Passenger Ship-Special Purpose Ship-General (More Than 6, </w:t>
            </w:r>
            <w:r>
              <w:rPr>
                <w:sz w:val="18"/>
                <w:szCs w:val="18"/>
              </w:rPr>
              <w:t>GT</w:t>
            </w:r>
            <w:r w:rsidRPr="00022BA7">
              <w:rPr>
                <w:sz w:val="18"/>
                <w:szCs w:val="18"/>
              </w:rPr>
              <w:t xml:space="preserve"> &lt; 100)</w:t>
            </w:r>
          </w:p>
        </w:tc>
        <w:tc>
          <w:tcPr>
            <w:tcW w:w="2430" w:type="dxa"/>
            <w:noWrap/>
            <w:vAlign w:val="center"/>
            <w:hideMark/>
          </w:tcPr>
          <w:p w14:paraId="0D797464" w14:textId="77777777" w:rsidR="00BC1F06" w:rsidRPr="00022BA7" w:rsidRDefault="00BC1F06" w:rsidP="00AA6375">
            <w:pPr>
              <w:rPr>
                <w:sz w:val="18"/>
                <w:szCs w:val="18"/>
              </w:rPr>
            </w:pPr>
            <w:r w:rsidRPr="00022BA7">
              <w:rPr>
                <w:sz w:val="18"/>
                <w:szCs w:val="18"/>
              </w:rPr>
              <w:t>Passenger</w:t>
            </w:r>
          </w:p>
        </w:tc>
      </w:tr>
      <w:tr w:rsidR="00BC1F06" w:rsidRPr="00022BA7" w14:paraId="55AD545B" w14:textId="77777777" w:rsidTr="00B60F61">
        <w:trPr>
          <w:trHeight w:val="300"/>
        </w:trPr>
        <w:tc>
          <w:tcPr>
            <w:tcW w:w="6925" w:type="dxa"/>
            <w:noWrap/>
            <w:vAlign w:val="center"/>
            <w:hideMark/>
          </w:tcPr>
          <w:p w14:paraId="5E2E153C" w14:textId="77777777" w:rsidR="00BC1F06" w:rsidRPr="00022BA7" w:rsidRDefault="00BC1F06" w:rsidP="00AA6375">
            <w:pPr>
              <w:rPr>
                <w:sz w:val="18"/>
                <w:szCs w:val="18"/>
              </w:rPr>
            </w:pPr>
            <w:r w:rsidRPr="00022BA7">
              <w:rPr>
                <w:sz w:val="18"/>
                <w:szCs w:val="18"/>
              </w:rPr>
              <w:t>Passenger Ship-Submersible-Fully submersible (More Than 6)</w:t>
            </w:r>
          </w:p>
        </w:tc>
        <w:tc>
          <w:tcPr>
            <w:tcW w:w="2430" w:type="dxa"/>
            <w:noWrap/>
            <w:vAlign w:val="center"/>
            <w:hideMark/>
          </w:tcPr>
          <w:p w14:paraId="28F18CA5" w14:textId="77777777" w:rsidR="00BC1F06" w:rsidRPr="00022BA7" w:rsidRDefault="00BC1F06" w:rsidP="00AA6375">
            <w:pPr>
              <w:rPr>
                <w:sz w:val="18"/>
                <w:szCs w:val="18"/>
              </w:rPr>
            </w:pPr>
            <w:r w:rsidRPr="00022BA7">
              <w:rPr>
                <w:sz w:val="18"/>
                <w:szCs w:val="18"/>
              </w:rPr>
              <w:t>Passenger</w:t>
            </w:r>
          </w:p>
        </w:tc>
      </w:tr>
      <w:tr w:rsidR="00BC1F06" w:rsidRPr="00022BA7" w14:paraId="4CA2005E" w14:textId="77777777" w:rsidTr="00B60F61">
        <w:trPr>
          <w:trHeight w:val="300"/>
        </w:trPr>
        <w:tc>
          <w:tcPr>
            <w:tcW w:w="6925" w:type="dxa"/>
            <w:noWrap/>
            <w:vAlign w:val="center"/>
            <w:hideMark/>
          </w:tcPr>
          <w:p w14:paraId="758A0CA9" w14:textId="77777777" w:rsidR="00BC1F06" w:rsidRPr="00022BA7" w:rsidRDefault="00BC1F06" w:rsidP="00AA6375">
            <w:pPr>
              <w:rPr>
                <w:sz w:val="18"/>
                <w:szCs w:val="18"/>
              </w:rPr>
            </w:pPr>
            <w:r w:rsidRPr="00022BA7">
              <w:rPr>
                <w:sz w:val="18"/>
                <w:szCs w:val="18"/>
              </w:rPr>
              <w:t>Passenger Ship-Submersible-Semisubmersibles (glass bottom/sides)</w:t>
            </w:r>
            <w:r>
              <w:rPr>
                <w:sz w:val="18"/>
                <w:szCs w:val="18"/>
              </w:rPr>
              <w:t xml:space="preserve"> </w:t>
            </w:r>
            <w:r w:rsidRPr="00022BA7">
              <w:rPr>
                <w:sz w:val="18"/>
                <w:szCs w:val="18"/>
              </w:rPr>
              <w:t>(More Than 6)</w:t>
            </w:r>
          </w:p>
        </w:tc>
        <w:tc>
          <w:tcPr>
            <w:tcW w:w="2430" w:type="dxa"/>
            <w:noWrap/>
            <w:vAlign w:val="center"/>
            <w:hideMark/>
          </w:tcPr>
          <w:p w14:paraId="4C1494EC" w14:textId="77777777" w:rsidR="00BC1F06" w:rsidRPr="00022BA7" w:rsidRDefault="00BC1F06" w:rsidP="00AA6375">
            <w:pPr>
              <w:rPr>
                <w:sz w:val="18"/>
                <w:szCs w:val="18"/>
              </w:rPr>
            </w:pPr>
            <w:r w:rsidRPr="00022BA7">
              <w:rPr>
                <w:sz w:val="18"/>
                <w:szCs w:val="18"/>
              </w:rPr>
              <w:t>Passenger</w:t>
            </w:r>
          </w:p>
        </w:tc>
      </w:tr>
      <w:tr w:rsidR="00BC1F06" w:rsidRPr="00022BA7" w14:paraId="731F0A85" w14:textId="77777777" w:rsidTr="00B60F61">
        <w:trPr>
          <w:trHeight w:val="300"/>
        </w:trPr>
        <w:tc>
          <w:tcPr>
            <w:tcW w:w="6925" w:type="dxa"/>
            <w:noWrap/>
            <w:vAlign w:val="center"/>
            <w:hideMark/>
          </w:tcPr>
          <w:p w14:paraId="7DF4FFCB" w14:textId="77777777" w:rsidR="00BC1F06" w:rsidRPr="00022BA7" w:rsidRDefault="00BC1F06" w:rsidP="00AA6375">
            <w:pPr>
              <w:rPr>
                <w:sz w:val="18"/>
                <w:szCs w:val="18"/>
              </w:rPr>
            </w:pPr>
            <w:r w:rsidRPr="00022BA7">
              <w:rPr>
                <w:sz w:val="18"/>
                <w:szCs w:val="18"/>
              </w:rPr>
              <w:t>Passenger Ship-Water Taxi-General (6 or Fewer)</w:t>
            </w:r>
          </w:p>
        </w:tc>
        <w:tc>
          <w:tcPr>
            <w:tcW w:w="2430" w:type="dxa"/>
            <w:noWrap/>
            <w:vAlign w:val="center"/>
            <w:hideMark/>
          </w:tcPr>
          <w:p w14:paraId="3B06134B" w14:textId="77777777" w:rsidR="00BC1F06" w:rsidRPr="00022BA7" w:rsidRDefault="00BC1F06" w:rsidP="00AA6375">
            <w:pPr>
              <w:rPr>
                <w:sz w:val="18"/>
                <w:szCs w:val="18"/>
              </w:rPr>
            </w:pPr>
            <w:r w:rsidRPr="00022BA7">
              <w:rPr>
                <w:sz w:val="18"/>
                <w:szCs w:val="18"/>
              </w:rPr>
              <w:t>Passenger</w:t>
            </w:r>
          </w:p>
        </w:tc>
      </w:tr>
      <w:tr w:rsidR="00BC1F06" w:rsidRPr="00022BA7" w14:paraId="63E763B0" w14:textId="77777777" w:rsidTr="00B60F61">
        <w:trPr>
          <w:trHeight w:val="300"/>
        </w:trPr>
        <w:tc>
          <w:tcPr>
            <w:tcW w:w="6925" w:type="dxa"/>
            <w:noWrap/>
            <w:vAlign w:val="center"/>
            <w:hideMark/>
          </w:tcPr>
          <w:p w14:paraId="08E38E33" w14:textId="77777777" w:rsidR="00BC1F06" w:rsidRPr="00022BA7" w:rsidRDefault="00BC1F06" w:rsidP="00AA6375">
            <w:pPr>
              <w:rPr>
                <w:sz w:val="18"/>
                <w:szCs w:val="18"/>
              </w:rPr>
            </w:pPr>
            <w:r w:rsidRPr="00022BA7">
              <w:rPr>
                <w:sz w:val="18"/>
                <w:szCs w:val="18"/>
              </w:rPr>
              <w:t>Passenger Ship-Water Taxi-General (More Than 6)</w:t>
            </w:r>
          </w:p>
        </w:tc>
        <w:tc>
          <w:tcPr>
            <w:tcW w:w="2430" w:type="dxa"/>
            <w:noWrap/>
            <w:vAlign w:val="center"/>
            <w:hideMark/>
          </w:tcPr>
          <w:p w14:paraId="1CD2F400" w14:textId="77777777" w:rsidR="00BC1F06" w:rsidRPr="00022BA7" w:rsidRDefault="00BC1F06" w:rsidP="00AA6375">
            <w:pPr>
              <w:rPr>
                <w:sz w:val="18"/>
                <w:szCs w:val="18"/>
              </w:rPr>
            </w:pPr>
            <w:r w:rsidRPr="00022BA7">
              <w:rPr>
                <w:sz w:val="18"/>
                <w:szCs w:val="18"/>
              </w:rPr>
              <w:t>Passenger</w:t>
            </w:r>
          </w:p>
        </w:tc>
      </w:tr>
      <w:tr w:rsidR="00BC1F06" w:rsidRPr="00022BA7" w14:paraId="712E5208" w14:textId="77777777" w:rsidTr="00B60F61">
        <w:trPr>
          <w:trHeight w:val="300"/>
        </w:trPr>
        <w:tc>
          <w:tcPr>
            <w:tcW w:w="6925" w:type="dxa"/>
            <w:noWrap/>
            <w:vAlign w:val="center"/>
            <w:hideMark/>
          </w:tcPr>
          <w:p w14:paraId="3EE83FEA" w14:textId="77777777" w:rsidR="00BC1F06" w:rsidRPr="00022BA7" w:rsidRDefault="00BC1F06" w:rsidP="00AA6375">
            <w:pPr>
              <w:rPr>
                <w:sz w:val="18"/>
                <w:szCs w:val="18"/>
              </w:rPr>
            </w:pPr>
            <w:r w:rsidRPr="00022BA7">
              <w:rPr>
                <w:sz w:val="18"/>
                <w:szCs w:val="18"/>
              </w:rPr>
              <w:t>Passenger Ship-Waterskiing Vessel-General (More Than 6)</w:t>
            </w:r>
          </w:p>
        </w:tc>
        <w:tc>
          <w:tcPr>
            <w:tcW w:w="2430" w:type="dxa"/>
            <w:noWrap/>
            <w:vAlign w:val="center"/>
            <w:hideMark/>
          </w:tcPr>
          <w:p w14:paraId="6EE8B9D7" w14:textId="77777777" w:rsidR="00BC1F06" w:rsidRPr="00022BA7" w:rsidRDefault="00BC1F06" w:rsidP="00AA6375">
            <w:pPr>
              <w:rPr>
                <w:sz w:val="18"/>
                <w:szCs w:val="18"/>
              </w:rPr>
            </w:pPr>
            <w:r w:rsidRPr="00022BA7">
              <w:rPr>
                <w:sz w:val="18"/>
                <w:szCs w:val="18"/>
              </w:rPr>
              <w:t>Passenger</w:t>
            </w:r>
          </w:p>
        </w:tc>
      </w:tr>
      <w:tr w:rsidR="00BC1F06" w:rsidRPr="00022BA7" w14:paraId="5B5F5619" w14:textId="77777777" w:rsidTr="00B60F61">
        <w:trPr>
          <w:trHeight w:val="300"/>
        </w:trPr>
        <w:tc>
          <w:tcPr>
            <w:tcW w:w="6925" w:type="dxa"/>
            <w:noWrap/>
            <w:vAlign w:val="center"/>
            <w:hideMark/>
          </w:tcPr>
          <w:p w14:paraId="190DF086" w14:textId="77777777" w:rsidR="00BC1F06" w:rsidRPr="00022BA7" w:rsidRDefault="00BC1F06" w:rsidP="00AA6375">
            <w:pPr>
              <w:rPr>
                <w:sz w:val="18"/>
                <w:szCs w:val="18"/>
              </w:rPr>
            </w:pPr>
            <w:r w:rsidRPr="00022BA7">
              <w:rPr>
                <w:sz w:val="18"/>
                <w:szCs w:val="18"/>
              </w:rPr>
              <w:t>Ro-Ro Cargo Ship-General-General</w:t>
            </w:r>
          </w:p>
        </w:tc>
        <w:tc>
          <w:tcPr>
            <w:tcW w:w="2430" w:type="dxa"/>
            <w:noWrap/>
            <w:vAlign w:val="center"/>
            <w:hideMark/>
          </w:tcPr>
          <w:p w14:paraId="46D102A5" w14:textId="77777777" w:rsidR="00BC1F06" w:rsidRPr="00022BA7" w:rsidRDefault="00BC1F06" w:rsidP="00AA6375">
            <w:pPr>
              <w:rPr>
                <w:sz w:val="18"/>
                <w:szCs w:val="18"/>
              </w:rPr>
            </w:pPr>
            <w:r w:rsidRPr="00022BA7">
              <w:rPr>
                <w:sz w:val="18"/>
                <w:szCs w:val="18"/>
              </w:rPr>
              <w:t>Ro-Ro</w:t>
            </w:r>
          </w:p>
        </w:tc>
      </w:tr>
      <w:tr w:rsidR="00BC1F06" w:rsidRPr="00022BA7" w14:paraId="7DBCC703" w14:textId="77777777" w:rsidTr="00B60F61">
        <w:trPr>
          <w:trHeight w:val="300"/>
        </w:trPr>
        <w:tc>
          <w:tcPr>
            <w:tcW w:w="6925" w:type="dxa"/>
            <w:noWrap/>
            <w:vAlign w:val="center"/>
            <w:hideMark/>
          </w:tcPr>
          <w:p w14:paraId="7376D4F8" w14:textId="77777777" w:rsidR="00BC1F06" w:rsidRPr="00022BA7" w:rsidRDefault="00BC1F06" w:rsidP="00AA6375">
            <w:pPr>
              <w:rPr>
                <w:sz w:val="18"/>
                <w:szCs w:val="18"/>
              </w:rPr>
            </w:pPr>
            <w:r w:rsidRPr="00022BA7">
              <w:rPr>
                <w:sz w:val="18"/>
                <w:szCs w:val="18"/>
              </w:rPr>
              <w:t>Ro-Ro Cargo Ship-Ro-Ro/Container-General</w:t>
            </w:r>
          </w:p>
        </w:tc>
        <w:tc>
          <w:tcPr>
            <w:tcW w:w="2430" w:type="dxa"/>
            <w:noWrap/>
            <w:vAlign w:val="center"/>
            <w:hideMark/>
          </w:tcPr>
          <w:p w14:paraId="30D530C5" w14:textId="77777777" w:rsidR="00BC1F06" w:rsidRPr="00022BA7" w:rsidRDefault="00BC1F06" w:rsidP="00AA6375">
            <w:pPr>
              <w:rPr>
                <w:sz w:val="18"/>
                <w:szCs w:val="18"/>
              </w:rPr>
            </w:pPr>
            <w:r w:rsidRPr="00022BA7">
              <w:rPr>
                <w:sz w:val="18"/>
                <w:szCs w:val="18"/>
              </w:rPr>
              <w:t>Ro-Ro</w:t>
            </w:r>
          </w:p>
        </w:tc>
      </w:tr>
      <w:tr w:rsidR="00BC1F06" w:rsidRPr="00022BA7" w14:paraId="2E4131AA" w14:textId="77777777" w:rsidTr="00B60F61">
        <w:trPr>
          <w:trHeight w:val="300"/>
        </w:trPr>
        <w:tc>
          <w:tcPr>
            <w:tcW w:w="6925" w:type="dxa"/>
            <w:noWrap/>
            <w:vAlign w:val="center"/>
            <w:hideMark/>
          </w:tcPr>
          <w:p w14:paraId="4E2BA8F0" w14:textId="77777777" w:rsidR="00BC1F06" w:rsidRPr="00022BA7" w:rsidRDefault="00BC1F06" w:rsidP="00AA6375">
            <w:pPr>
              <w:rPr>
                <w:sz w:val="18"/>
                <w:szCs w:val="18"/>
              </w:rPr>
            </w:pPr>
            <w:r w:rsidRPr="00022BA7">
              <w:rPr>
                <w:sz w:val="18"/>
                <w:szCs w:val="18"/>
              </w:rPr>
              <w:t>Ro-Ro Cargo Ship-Vehicle Carrier-General</w:t>
            </w:r>
          </w:p>
        </w:tc>
        <w:tc>
          <w:tcPr>
            <w:tcW w:w="2430" w:type="dxa"/>
            <w:noWrap/>
            <w:vAlign w:val="center"/>
            <w:hideMark/>
          </w:tcPr>
          <w:p w14:paraId="7BFCD9EC" w14:textId="77777777" w:rsidR="00BC1F06" w:rsidRPr="00022BA7" w:rsidRDefault="00BC1F06" w:rsidP="00AA6375">
            <w:pPr>
              <w:rPr>
                <w:sz w:val="18"/>
                <w:szCs w:val="18"/>
              </w:rPr>
            </w:pPr>
            <w:r w:rsidRPr="00022BA7">
              <w:rPr>
                <w:sz w:val="18"/>
                <w:szCs w:val="18"/>
              </w:rPr>
              <w:t>Ro-Ro</w:t>
            </w:r>
          </w:p>
        </w:tc>
      </w:tr>
      <w:tr w:rsidR="00BC1F06" w:rsidRPr="00022BA7" w14:paraId="0D8A3AA0" w14:textId="77777777" w:rsidTr="00B60F61">
        <w:trPr>
          <w:trHeight w:val="300"/>
        </w:trPr>
        <w:tc>
          <w:tcPr>
            <w:tcW w:w="6925" w:type="dxa"/>
            <w:noWrap/>
            <w:vAlign w:val="center"/>
            <w:hideMark/>
          </w:tcPr>
          <w:p w14:paraId="161B1536" w14:textId="77777777" w:rsidR="00BC1F06" w:rsidRPr="00022BA7" w:rsidRDefault="00BC1F06" w:rsidP="00AA6375">
            <w:pPr>
              <w:rPr>
                <w:sz w:val="18"/>
                <w:szCs w:val="18"/>
              </w:rPr>
            </w:pPr>
            <w:r w:rsidRPr="00022BA7">
              <w:rPr>
                <w:sz w:val="18"/>
                <w:szCs w:val="18"/>
              </w:rPr>
              <w:t>Tank Ship-Chemical Tank Ship-Chemical Tank Ship</w:t>
            </w:r>
          </w:p>
        </w:tc>
        <w:tc>
          <w:tcPr>
            <w:tcW w:w="2430" w:type="dxa"/>
            <w:noWrap/>
            <w:vAlign w:val="center"/>
            <w:hideMark/>
          </w:tcPr>
          <w:p w14:paraId="280972EA" w14:textId="77777777" w:rsidR="00BC1F06" w:rsidRPr="00022BA7" w:rsidRDefault="00BC1F06" w:rsidP="00AA6375">
            <w:pPr>
              <w:rPr>
                <w:sz w:val="18"/>
                <w:szCs w:val="18"/>
              </w:rPr>
            </w:pPr>
            <w:r w:rsidRPr="00022BA7">
              <w:rPr>
                <w:sz w:val="18"/>
                <w:szCs w:val="18"/>
              </w:rPr>
              <w:t>Tanker</w:t>
            </w:r>
          </w:p>
        </w:tc>
      </w:tr>
      <w:tr w:rsidR="00BC1F06" w:rsidRPr="00022BA7" w14:paraId="44AFC4DF" w14:textId="77777777" w:rsidTr="00B60F61">
        <w:trPr>
          <w:trHeight w:val="300"/>
        </w:trPr>
        <w:tc>
          <w:tcPr>
            <w:tcW w:w="6925" w:type="dxa"/>
            <w:noWrap/>
            <w:vAlign w:val="center"/>
            <w:hideMark/>
          </w:tcPr>
          <w:p w14:paraId="0AF7C7C6" w14:textId="77777777" w:rsidR="00BC1F06" w:rsidRPr="00022BA7" w:rsidRDefault="00BC1F06" w:rsidP="00AA6375">
            <w:pPr>
              <w:rPr>
                <w:sz w:val="18"/>
                <w:szCs w:val="18"/>
              </w:rPr>
            </w:pPr>
            <w:r w:rsidRPr="00022BA7">
              <w:rPr>
                <w:sz w:val="18"/>
                <w:szCs w:val="18"/>
              </w:rPr>
              <w:t>Tank Ship-Chemical Tank Ship-Oil &amp; Chemical Tank Ship</w:t>
            </w:r>
          </w:p>
        </w:tc>
        <w:tc>
          <w:tcPr>
            <w:tcW w:w="2430" w:type="dxa"/>
            <w:noWrap/>
            <w:vAlign w:val="center"/>
            <w:hideMark/>
          </w:tcPr>
          <w:p w14:paraId="5EB79A85" w14:textId="77777777" w:rsidR="00BC1F06" w:rsidRPr="00022BA7" w:rsidRDefault="00BC1F06" w:rsidP="00AA6375">
            <w:pPr>
              <w:rPr>
                <w:sz w:val="18"/>
                <w:szCs w:val="18"/>
              </w:rPr>
            </w:pPr>
            <w:r w:rsidRPr="00022BA7">
              <w:rPr>
                <w:sz w:val="18"/>
                <w:szCs w:val="18"/>
              </w:rPr>
              <w:t>Tanker</w:t>
            </w:r>
          </w:p>
        </w:tc>
      </w:tr>
      <w:tr w:rsidR="00BC1F06" w:rsidRPr="00022BA7" w14:paraId="1DA3EB61" w14:textId="77777777" w:rsidTr="00B60F61">
        <w:trPr>
          <w:trHeight w:val="300"/>
        </w:trPr>
        <w:tc>
          <w:tcPr>
            <w:tcW w:w="6925" w:type="dxa"/>
            <w:noWrap/>
            <w:vAlign w:val="center"/>
            <w:hideMark/>
          </w:tcPr>
          <w:p w14:paraId="26206FB6" w14:textId="77777777" w:rsidR="00BC1F06" w:rsidRPr="00022BA7" w:rsidRDefault="00BC1F06" w:rsidP="00AA6375">
            <w:pPr>
              <w:rPr>
                <w:sz w:val="18"/>
                <w:szCs w:val="18"/>
              </w:rPr>
            </w:pPr>
            <w:r w:rsidRPr="00022BA7">
              <w:rPr>
                <w:sz w:val="18"/>
                <w:szCs w:val="18"/>
              </w:rPr>
              <w:t>Tank Ship-General-General</w:t>
            </w:r>
          </w:p>
        </w:tc>
        <w:tc>
          <w:tcPr>
            <w:tcW w:w="2430" w:type="dxa"/>
            <w:noWrap/>
            <w:vAlign w:val="center"/>
            <w:hideMark/>
          </w:tcPr>
          <w:p w14:paraId="456A64A5" w14:textId="77777777" w:rsidR="00BC1F06" w:rsidRPr="00022BA7" w:rsidRDefault="00BC1F06" w:rsidP="00AA6375">
            <w:pPr>
              <w:rPr>
                <w:sz w:val="18"/>
                <w:szCs w:val="18"/>
              </w:rPr>
            </w:pPr>
            <w:r w:rsidRPr="00022BA7">
              <w:rPr>
                <w:sz w:val="18"/>
                <w:szCs w:val="18"/>
              </w:rPr>
              <w:t>Tanker</w:t>
            </w:r>
          </w:p>
        </w:tc>
      </w:tr>
      <w:tr w:rsidR="00BC1F06" w:rsidRPr="00022BA7" w14:paraId="7F9C0C3C" w14:textId="77777777" w:rsidTr="00B60F61">
        <w:trPr>
          <w:trHeight w:val="300"/>
        </w:trPr>
        <w:tc>
          <w:tcPr>
            <w:tcW w:w="6925" w:type="dxa"/>
            <w:noWrap/>
            <w:vAlign w:val="center"/>
            <w:hideMark/>
          </w:tcPr>
          <w:p w14:paraId="3489AF1F" w14:textId="77777777" w:rsidR="00BC1F06" w:rsidRPr="00022BA7" w:rsidRDefault="00BC1F06" w:rsidP="00AA6375">
            <w:pPr>
              <w:rPr>
                <w:sz w:val="18"/>
                <w:szCs w:val="18"/>
              </w:rPr>
            </w:pPr>
            <w:r w:rsidRPr="00022BA7">
              <w:rPr>
                <w:sz w:val="18"/>
                <w:szCs w:val="18"/>
              </w:rPr>
              <w:t>Tank Ship-Petroleum Oil Tank Ship-Crude &amp; Products Tank Ship</w:t>
            </w:r>
          </w:p>
        </w:tc>
        <w:tc>
          <w:tcPr>
            <w:tcW w:w="2430" w:type="dxa"/>
            <w:noWrap/>
            <w:vAlign w:val="center"/>
            <w:hideMark/>
          </w:tcPr>
          <w:p w14:paraId="21100BA9" w14:textId="77777777" w:rsidR="00BC1F06" w:rsidRPr="00022BA7" w:rsidRDefault="00BC1F06" w:rsidP="00AA6375">
            <w:pPr>
              <w:rPr>
                <w:sz w:val="18"/>
                <w:szCs w:val="18"/>
              </w:rPr>
            </w:pPr>
            <w:r w:rsidRPr="00022BA7">
              <w:rPr>
                <w:sz w:val="18"/>
                <w:szCs w:val="18"/>
              </w:rPr>
              <w:t>Tanker</w:t>
            </w:r>
          </w:p>
        </w:tc>
      </w:tr>
      <w:tr w:rsidR="00BC1F06" w:rsidRPr="00022BA7" w14:paraId="1BF61210" w14:textId="77777777" w:rsidTr="00B60F61">
        <w:trPr>
          <w:trHeight w:val="300"/>
        </w:trPr>
        <w:tc>
          <w:tcPr>
            <w:tcW w:w="6925" w:type="dxa"/>
            <w:noWrap/>
            <w:vAlign w:val="center"/>
            <w:hideMark/>
          </w:tcPr>
          <w:p w14:paraId="208E62B1" w14:textId="77777777" w:rsidR="00BC1F06" w:rsidRPr="00022BA7" w:rsidRDefault="00BC1F06" w:rsidP="00AA6375">
            <w:pPr>
              <w:rPr>
                <w:sz w:val="18"/>
                <w:szCs w:val="18"/>
              </w:rPr>
            </w:pPr>
            <w:r w:rsidRPr="00022BA7">
              <w:rPr>
                <w:sz w:val="18"/>
                <w:szCs w:val="18"/>
              </w:rPr>
              <w:t>Tank Ship-Petroleum Oil Tank Ship-Crude Oil Tank Ship</w:t>
            </w:r>
          </w:p>
        </w:tc>
        <w:tc>
          <w:tcPr>
            <w:tcW w:w="2430" w:type="dxa"/>
            <w:noWrap/>
            <w:vAlign w:val="center"/>
            <w:hideMark/>
          </w:tcPr>
          <w:p w14:paraId="116CF4C0" w14:textId="77777777" w:rsidR="00BC1F06" w:rsidRPr="00022BA7" w:rsidRDefault="00BC1F06" w:rsidP="00AA6375">
            <w:pPr>
              <w:rPr>
                <w:sz w:val="18"/>
                <w:szCs w:val="18"/>
              </w:rPr>
            </w:pPr>
            <w:r w:rsidRPr="00022BA7">
              <w:rPr>
                <w:sz w:val="18"/>
                <w:szCs w:val="18"/>
              </w:rPr>
              <w:t>Tanker</w:t>
            </w:r>
          </w:p>
        </w:tc>
      </w:tr>
      <w:tr w:rsidR="00BC1F06" w:rsidRPr="00022BA7" w14:paraId="0C346F86" w14:textId="77777777" w:rsidTr="00B60F61">
        <w:trPr>
          <w:trHeight w:val="300"/>
        </w:trPr>
        <w:tc>
          <w:tcPr>
            <w:tcW w:w="6925" w:type="dxa"/>
            <w:noWrap/>
            <w:vAlign w:val="center"/>
            <w:hideMark/>
          </w:tcPr>
          <w:p w14:paraId="4A1FBF03" w14:textId="77777777" w:rsidR="00BC1F06" w:rsidRPr="00022BA7" w:rsidRDefault="00BC1F06" w:rsidP="00AA6375">
            <w:pPr>
              <w:rPr>
                <w:sz w:val="18"/>
                <w:szCs w:val="18"/>
              </w:rPr>
            </w:pPr>
            <w:r w:rsidRPr="00022BA7">
              <w:rPr>
                <w:sz w:val="18"/>
                <w:szCs w:val="18"/>
              </w:rPr>
              <w:t>Tank Ship-Petroleum Oil Tank Ship-General</w:t>
            </w:r>
          </w:p>
        </w:tc>
        <w:tc>
          <w:tcPr>
            <w:tcW w:w="2430" w:type="dxa"/>
            <w:noWrap/>
            <w:vAlign w:val="center"/>
            <w:hideMark/>
          </w:tcPr>
          <w:p w14:paraId="3EEFAFB4" w14:textId="77777777" w:rsidR="00BC1F06" w:rsidRPr="00022BA7" w:rsidRDefault="00BC1F06" w:rsidP="00AA6375">
            <w:pPr>
              <w:rPr>
                <w:sz w:val="18"/>
                <w:szCs w:val="18"/>
              </w:rPr>
            </w:pPr>
            <w:r w:rsidRPr="00022BA7">
              <w:rPr>
                <w:sz w:val="18"/>
                <w:szCs w:val="18"/>
              </w:rPr>
              <w:t>Tanker</w:t>
            </w:r>
          </w:p>
        </w:tc>
      </w:tr>
      <w:tr w:rsidR="00BC1F06" w:rsidRPr="00022BA7" w14:paraId="22A92BE6" w14:textId="77777777" w:rsidTr="00B60F61">
        <w:trPr>
          <w:trHeight w:val="300"/>
        </w:trPr>
        <w:tc>
          <w:tcPr>
            <w:tcW w:w="6925" w:type="dxa"/>
            <w:noWrap/>
            <w:vAlign w:val="center"/>
            <w:hideMark/>
          </w:tcPr>
          <w:p w14:paraId="52A72711" w14:textId="77777777" w:rsidR="00BC1F06" w:rsidRPr="00022BA7" w:rsidRDefault="00BC1F06" w:rsidP="00AA6375">
            <w:pPr>
              <w:rPr>
                <w:sz w:val="18"/>
                <w:szCs w:val="18"/>
              </w:rPr>
            </w:pPr>
            <w:r w:rsidRPr="00022BA7">
              <w:rPr>
                <w:sz w:val="18"/>
                <w:szCs w:val="18"/>
              </w:rPr>
              <w:t>Tank Ship-Petroleum Oil Tank Ship-Oil Products Tank Ship</w:t>
            </w:r>
          </w:p>
        </w:tc>
        <w:tc>
          <w:tcPr>
            <w:tcW w:w="2430" w:type="dxa"/>
            <w:noWrap/>
            <w:vAlign w:val="center"/>
            <w:hideMark/>
          </w:tcPr>
          <w:p w14:paraId="7192AAA3" w14:textId="77777777" w:rsidR="00BC1F06" w:rsidRPr="00022BA7" w:rsidRDefault="00BC1F06" w:rsidP="00AA6375">
            <w:pPr>
              <w:rPr>
                <w:sz w:val="18"/>
                <w:szCs w:val="18"/>
              </w:rPr>
            </w:pPr>
            <w:r w:rsidRPr="00022BA7">
              <w:rPr>
                <w:sz w:val="18"/>
                <w:szCs w:val="18"/>
              </w:rPr>
              <w:t>Tanker</w:t>
            </w:r>
          </w:p>
        </w:tc>
      </w:tr>
      <w:tr w:rsidR="00BC1F06" w:rsidRPr="00022BA7" w14:paraId="2EB50729" w14:textId="77777777" w:rsidTr="00B60F61">
        <w:trPr>
          <w:trHeight w:val="300"/>
        </w:trPr>
        <w:tc>
          <w:tcPr>
            <w:tcW w:w="6925" w:type="dxa"/>
            <w:noWrap/>
            <w:vAlign w:val="center"/>
            <w:hideMark/>
          </w:tcPr>
          <w:p w14:paraId="4F05D39F" w14:textId="77777777" w:rsidR="00BC1F06" w:rsidRPr="00022BA7" w:rsidRDefault="00BC1F06" w:rsidP="00AA6375">
            <w:pPr>
              <w:rPr>
                <w:sz w:val="18"/>
                <w:szCs w:val="18"/>
              </w:rPr>
            </w:pPr>
            <w:r w:rsidRPr="00022BA7">
              <w:rPr>
                <w:sz w:val="18"/>
                <w:szCs w:val="18"/>
              </w:rPr>
              <w:t>Towing Vessel-Articulated Tug and Barge (Tug)-General</w:t>
            </w:r>
          </w:p>
        </w:tc>
        <w:tc>
          <w:tcPr>
            <w:tcW w:w="2430" w:type="dxa"/>
            <w:noWrap/>
            <w:vAlign w:val="center"/>
            <w:hideMark/>
          </w:tcPr>
          <w:p w14:paraId="2D945607" w14:textId="77777777" w:rsidR="00BC1F06" w:rsidRPr="00022BA7" w:rsidRDefault="00BC1F06" w:rsidP="00AA6375">
            <w:pPr>
              <w:rPr>
                <w:sz w:val="18"/>
                <w:szCs w:val="18"/>
              </w:rPr>
            </w:pPr>
            <w:r w:rsidRPr="00022BA7">
              <w:rPr>
                <w:sz w:val="18"/>
                <w:szCs w:val="18"/>
              </w:rPr>
              <w:t>Tug (ATB)</w:t>
            </w:r>
          </w:p>
        </w:tc>
      </w:tr>
      <w:tr w:rsidR="00BC1F06" w:rsidRPr="00022BA7" w14:paraId="52A75282" w14:textId="77777777" w:rsidTr="00B60F61">
        <w:trPr>
          <w:trHeight w:val="300"/>
        </w:trPr>
        <w:tc>
          <w:tcPr>
            <w:tcW w:w="6925" w:type="dxa"/>
            <w:noWrap/>
            <w:vAlign w:val="center"/>
            <w:hideMark/>
          </w:tcPr>
          <w:p w14:paraId="71E087B5" w14:textId="77777777" w:rsidR="00BC1F06" w:rsidRPr="00022BA7" w:rsidRDefault="00BC1F06" w:rsidP="00AA6375">
            <w:pPr>
              <w:rPr>
                <w:sz w:val="18"/>
                <w:szCs w:val="18"/>
              </w:rPr>
            </w:pPr>
            <w:r w:rsidRPr="00022BA7">
              <w:rPr>
                <w:sz w:val="18"/>
                <w:szCs w:val="18"/>
              </w:rPr>
              <w:t>Towing Vessel-Assistance Tow-Other</w:t>
            </w:r>
          </w:p>
        </w:tc>
        <w:tc>
          <w:tcPr>
            <w:tcW w:w="2430" w:type="dxa"/>
            <w:noWrap/>
            <w:vAlign w:val="center"/>
            <w:hideMark/>
          </w:tcPr>
          <w:p w14:paraId="4DC32676" w14:textId="77777777" w:rsidR="00BC1F06" w:rsidRPr="00022BA7" w:rsidRDefault="00BC1F06" w:rsidP="00AA6375">
            <w:pPr>
              <w:rPr>
                <w:sz w:val="18"/>
                <w:szCs w:val="18"/>
              </w:rPr>
            </w:pPr>
            <w:r w:rsidRPr="00022BA7">
              <w:rPr>
                <w:sz w:val="18"/>
                <w:szCs w:val="18"/>
              </w:rPr>
              <w:t>Tug (Coastal-Harbor)</w:t>
            </w:r>
          </w:p>
        </w:tc>
      </w:tr>
      <w:tr w:rsidR="00BC1F06" w:rsidRPr="00022BA7" w14:paraId="69ACC9DA" w14:textId="77777777" w:rsidTr="00B60F61">
        <w:trPr>
          <w:trHeight w:val="300"/>
        </w:trPr>
        <w:tc>
          <w:tcPr>
            <w:tcW w:w="6925" w:type="dxa"/>
            <w:noWrap/>
            <w:vAlign w:val="center"/>
            <w:hideMark/>
          </w:tcPr>
          <w:p w14:paraId="781536AA" w14:textId="77777777" w:rsidR="00BC1F06" w:rsidRPr="00022BA7" w:rsidRDefault="00BC1F06" w:rsidP="00AA6375">
            <w:pPr>
              <w:rPr>
                <w:sz w:val="18"/>
                <w:szCs w:val="18"/>
              </w:rPr>
            </w:pPr>
            <w:r w:rsidRPr="00022BA7">
              <w:rPr>
                <w:sz w:val="18"/>
                <w:szCs w:val="18"/>
              </w:rPr>
              <w:t>Towing Vessel-Emergency Assist Tow Vessel-General</w:t>
            </w:r>
          </w:p>
        </w:tc>
        <w:tc>
          <w:tcPr>
            <w:tcW w:w="2430" w:type="dxa"/>
            <w:noWrap/>
            <w:vAlign w:val="center"/>
            <w:hideMark/>
          </w:tcPr>
          <w:p w14:paraId="60DF181C" w14:textId="77777777" w:rsidR="00BC1F06" w:rsidRPr="00022BA7" w:rsidRDefault="00BC1F06" w:rsidP="00AA6375">
            <w:pPr>
              <w:rPr>
                <w:sz w:val="18"/>
                <w:szCs w:val="18"/>
              </w:rPr>
            </w:pPr>
            <w:r w:rsidRPr="00022BA7">
              <w:rPr>
                <w:sz w:val="18"/>
                <w:szCs w:val="18"/>
              </w:rPr>
              <w:t>Tug (Coastal-Harbor)</w:t>
            </w:r>
          </w:p>
        </w:tc>
      </w:tr>
      <w:tr w:rsidR="00BC1F06" w:rsidRPr="00022BA7" w14:paraId="1368D77A" w14:textId="77777777" w:rsidTr="00B60F61">
        <w:trPr>
          <w:trHeight w:val="300"/>
        </w:trPr>
        <w:tc>
          <w:tcPr>
            <w:tcW w:w="6925" w:type="dxa"/>
            <w:noWrap/>
            <w:vAlign w:val="center"/>
            <w:hideMark/>
          </w:tcPr>
          <w:p w14:paraId="24C8AEAD" w14:textId="77777777" w:rsidR="00BC1F06" w:rsidRPr="00022BA7" w:rsidRDefault="00BC1F06" w:rsidP="00AA6375">
            <w:pPr>
              <w:rPr>
                <w:sz w:val="18"/>
                <w:szCs w:val="18"/>
              </w:rPr>
            </w:pPr>
            <w:r w:rsidRPr="00022BA7">
              <w:rPr>
                <w:sz w:val="18"/>
                <w:szCs w:val="18"/>
              </w:rPr>
              <w:t>Towing Vessel-Fleeting-Inland Service</w:t>
            </w:r>
          </w:p>
        </w:tc>
        <w:tc>
          <w:tcPr>
            <w:tcW w:w="2430" w:type="dxa"/>
            <w:noWrap/>
            <w:vAlign w:val="center"/>
            <w:hideMark/>
          </w:tcPr>
          <w:p w14:paraId="41E1EDB4" w14:textId="77777777" w:rsidR="00BC1F06" w:rsidRPr="00022BA7" w:rsidRDefault="00BC1F06" w:rsidP="00AA6375">
            <w:pPr>
              <w:rPr>
                <w:sz w:val="18"/>
                <w:szCs w:val="18"/>
              </w:rPr>
            </w:pPr>
            <w:r w:rsidRPr="00022BA7">
              <w:rPr>
                <w:sz w:val="18"/>
                <w:szCs w:val="18"/>
              </w:rPr>
              <w:t>Tug (Inland-Push Boats)</w:t>
            </w:r>
          </w:p>
        </w:tc>
      </w:tr>
      <w:tr w:rsidR="00BC1F06" w:rsidRPr="00022BA7" w14:paraId="16D62897" w14:textId="77777777" w:rsidTr="00B60F61">
        <w:trPr>
          <w:trHeight w:val="300"/>
        </w:trPr>
        <w:tc>
          <w:tcPr>
            <w:tcW w:w="6925" w:type="dxa"/>
            <w:noWrap/>
            <w:vAlign w:val="center"/>
            <w:hideMark/>
          </w:tcPr>
          <w:p w14:paraId="381F28EE" w14:textId="77777777" w:rsidR="00BC1F06" w:rsidRPr="00022BA7" w:rsidRDefault="00BC1F06" w:rsidP="00AA6375">
            <w:pPr>
              <w:rPr>
                <w:sz w:val="18"/>
                <w:szCs w:val="18"/>
              </w:rPr>
            </w:pPr>
            <w:r w:rsidRPr="00022BA7">
              <w:rPr>
                <w:sz w:val="18"/>
                <w:szCs w:val="18"/>
              </w:rPr>
              <w:t>Towing Vessel-Fleeting-Limited Geographic Area</w:t>
            </w:r>
          </w:p>
        </w:tc>
        <w:tc>
          <w:tcPr>
            <w:tcW w:w="2430" w:type="dxa"/>
            <w:noWrap/>
            <w:vAlign w:val="center"/>
            <w:hideMark/>
          </w:tcPr>
          <w:p w14:paraId="1E72027D" w14:textId="77777777" w:rsidR="00BC1F06" w:rsidRPr="00022BA7" w:rsidRDefault="00BC1F06" w:rsidP="00AA6375">
            <w:pPr>
              <w:rPr>
                <w:sz w:val="18"/>
                <w:szCs w:val="18"/>
              </w:rPr>
            </w:pPr>
            <w:r w:rsidRPr="00022BA7">
              <w:rPr>
                <w:sz w:val="18"/>
                <w:szCs w:val="18"/>
              </w:rPr>
              <w:t>Tug (Coastal-Harbor)</w:t>
            </w:r>
          </w:p>
        </w:tc>
      </w:tr>
      <w:tr w:rsidR="00BC1F06" w:rsidRPr="00022BA7" w14:paraId="62351F39" w14:textId="77777777" w:rsidTr="00B60F61">
        <w:trPr>
          <w:trHeight w:val="300"/>
        </w:trPr>
        <w:tc>
          <w:tcPr>
            <w:tcW w:w="6925" w:type="dxa"/>
            <w:noWrap/>
            <w:vAlign w:val="center"/>
            <w:hideMark/>
          </w:tcPr>
          <w:p w14:paraId="30DFDEA8" w14:textId="77777777" w:rsidR="00BC1F06" w:rsidRPr="00022BA7" w:rsidRDefault="00BC1F06" w:rsidP="00AA6375">
            <w:pPr>
              <w:rPr>
                <w:sz w:val="18"/>
                <w:szCs w:val="18"/>
              </w:rPr>
            </w:pPr>
            <w:r w:rsidRPr="00022BA7">
              <w:rPr>
                <w:sz w:val="18"/>
                <w:szCs w:val="18"/>
              </w:rPr>
              <w:t>Towing Vessel-Fleeting-Other</w:t>
            </w:r>
          </w:p>
        </w:tc>
        <w:tc>
          <w:tcPr>
            <w:tcW w:w="2430" w:type="dxa"/>
            <w:noWrap/>
            <w:vAlign w:val="center"/>
            <w:hideMark/>
          </w:tcPr>
          <w:p w14:paraId="176D968B" w14:textId="77777777" w:rsidR="00BC1F06" w:rsidRPr="00022BA7" w:rsidRDefault="00BC1F06" w:rsidP="00AA6375">
            <w:pPr>
              <w:rPr>
                <w:sz w:val="18"/>
                <w:szCs w:val="18"/>
              </w:rPr>
            </w:pPr>
            <w:r w:rsidRPr="00022BA7">
              <w:rPr>
                <w:sz w:val="18"/>
                <w:szCs w:val="18"/>
              </w:rPr>
              <w:t>Tug (Coastal-Harbor)</w:t>
            </w:r>
          </w:p>
        </w:tc>
      </w:tr>
      <w:tr w:rsidR="00BC1F06" w:rsidRPr="00022BA7" w14:paraId="1D9175CC" w14:textId="77777777" w:rsidTr="00B60F61">
        <w:trPr>
          <w:trHeight w:val="300"/>
        </w:trPr>
        <w:tc>
          <w:tcPr>
            <w:tcW w:w="6925" w:type="dxa"/>
            <w:noWrap/>
            <w:vAlign w:val="center"/>
            <w:hideMark/>
          </w:tcPr>
          <w:p w14:paraId="2AFBA78C" w14:textId="77777777" w:rsidR="00BC1F06" w:rsidRPr="00022BA7" w:rsidRDefault="00BC1F06" w:rsidP="00AA6375">
            <w:pPr>
              <w:rPr>
                <w:sz w:val="18"/>
                <w:szCs w:val="18"/>
              </w:rPr>
            </w:pPr>
            <w:r w:rsidRPr="00022BA7">
              <w:rPr>
                <w:sz w:val="18"/>
                <w:szCs w:val="18"/>
              </w:rPr>
              <w:t>Towing Vessel-General-General</w:t>
            </w:r>
          </w:p>
        </w:tc>
        <w:tc>
          <w:tcPr>
            <w:tcW w:w="2430" w:type="dxa"/>
            <w:noWrap/>
            <w:vAlign w:val="center"/>
            <w:hideMark/>
          </w:tcPr>
          <w:p w14:paraId="13577789" w14:textId="77777777" w:rsidR="00BC1F06" w:rsidRPr="00022BA7" w:rsidRDefault="00BC1F06" w:rsidP="00AA6375">
            <w:pPr>
              <w:rPr>
                <w:sz w:val="18"/>
                <w:szCs w:val="18"/>
              </w:rPr>
            </w:pPr>
            <w:r w:rsidRPr="00022BA7">
              <w:rPr>
                <w:sz w:val="18"/>
                <w:szCs w:val="18"/>
              </w:rPr>
              <w:t>Tug (Coastal-Harbor)</w:t>
            </w:r>
          </w:p>
        </w:tc>
      </w:tr>
      <w:tr w:rsidR="00BC1F06" w:rsidRPr="00022BA7" w14:paraId="6488E1B0" w14:textId="77777777" w:rsidTr="00B60F61">
        <w:trPr>
          <w:trHeight w:val="300"/>
        </w:trPr>
        <w:tc>
          <w:tcPr>
            <w:tcW w:w="6925" w:type="dxa"/>
            <w:noWrap/>
            <w:vAlign w:val="center"/>
            <w:hideMark/>
          </w:tcPr>
          <w:p w14:paraId="7060E155" w14:textId="77777777" w:rsidR="00BC1F06" w:rsidRPr="00022BA7" w:rsidRDefault="00BC1F06" w:rsidP="00AA6375">
            <w:pPr>
              <w:rPr>
                <w:sz w:val="18"/>
                <w:szCs w:val="18"/>
              </w:rPr>
            </w:pPr>
            <w:r w:rsidRPr="00022BA7">
              <w:rPr>
                <w:sz w:val="18"/>
                <w:szCs w:val="18"/>
              </w:rPr>
              <w:t>Towing Vessel-Harbor/Ship Assist (Tug)-General</w:t>
            </w:r>
          </w:p>
        </w:tc>
        <w:tc>
          <w:tcPr>
            <w:tcW w:w="2430" w:type="dxa"/>
            <w:noWrap/>
            <w:vAlign w:val="center"/>
            <w:hideMark/>
          </w:tcPr>
          <w:p w14:paraId="4FB16BFE" w14:textId="77777777" w:rsidR="00BC1F06" w:rsidRPr="00022BA7" w:rsidRDefault="00BC1F06" w:rsidP="00AA6375">
            <w:pPr>
              <w:rPr>
                <w:sz w:val="18"/>
                <w:szCs w:val="18"/>
              </w:rPr>
            </w:pPr>
            <w:r w:rsidRPr="00022BA7">
              <w:rPr>
                <w:sz w:val="18"/>
                <w:szCs w:val="18"/>
              </w:rPr>
              <w:t>Tug (Coastal-Harbor)</w:t>
            </w:r>
          </w:p>
        </w:tc>
      </w:tr>
      <w:tr w:rsidR="00BC1F06" w:rsidRPr="00022BA7" w14:paraId="02A593C1" w14:textId="77777777" w:rsidTr="00B60F61">
        <w:trPr>
          <w:trHeight w:val="300"/>
        </w:trPr>
        <w:tc>
          <w:tcPr>
            <w:tcW w:w="6925" w:type="dxa"/>
            <w:noWrap/>
            <w:vAlign w:val="center"/>
            <w:hideMark/>
          </w:tcPr>
          <w:p w14:paraId="724704C9" w14:textId="77777777" w:rsidR="00BC1F06" w:rsidRPr="00022BA7" w:rsidRDefault="00BC1F06" w:rsidP="00AA6375">
            <w:pPr>
              <w:rPr>
                <w:sz w:val="18"/>
                <w:szCs w:val="18"/>
              </w:rPr>
            </w:pPr>
            <w:r w:rsidRPr="00022BA7">
              <w:rPr>
                <w:sz w:val="18"/>
                <w:szCs w:val="18"/>
              </w:rPr>
              <w:t>Towing Vessel-Harbor/Ship Assist (Tug)-Harbor</w:t>
            </w:r>
          </w:p>
        </w:tc>
        <w:tc>
          <w:tcPr>
            <w:tcW w:w="2430" w:type="dxa"/>
            <w:noWrap/>
            <w:vAlign w:val="center"/>
            <w:hideMark/>
          </w:tcPr>
          <w:p w14:paraId="298F89C8" w14:textId="77777777" w:rsidR="00BC1F06" w:rsidRPr="00022BA7" w:rsidRDefault="00BC1F06" w:rsidP="00AA6375">
            <w:pPr>
              <w:rPr>
                <w:sz w:val="18"/>
                <w:szCs w:val="18"/>
              </w:rPr>
            </w:pPr>
            <w:r w:rsidRPr="00022BA7">
              <w:rPr>
                <w:sz w:val="18"/>
                <w:szCs w:val="18"/>
              </w:rPr>
              <w:t>Tug (Coastal-Harbor)</w:t>
            </w:r>
          </w:p>
        </w:tc>
      </w:tr>
      <w:tr w:rsidR="00BC1F06" w:rsidRPr="00022BA7" w14:paraId="6E89D5F1" w14:textId="77777777" w:rsidTr="00B60F61">
        <w:trPr>
          <w:trHeight w:val="300"/>
        </w:trPr>
        <w:tc>
          <w:tcPr>
            <w:tcW w:w="6925" w:type="dxa"/>
            <w:noWrap/>
            <w:vAlign w:val="center"/>
            <w:hideMark/>
          </w:tcPr>
          <w:p w14:paraId="2521FB47" w14:textId="77777777" w:rsidR="00BC1F06" w:rsidRPr="00022BA7" w:rsidRDefault="00BC1F06" w:rsidP="00AA6375">
            <w:pPr>
              <w:rPr>
                <w:sz w:val="18"/>
                <w:szCs w:val="18"/>
              </w:rPr>
            </w:pPr>
            <w:r w:rsidRPr="00022BA7">
              <w:rPr>
                <w:sz w:val="18"/>
                <w:szCs w:val="18"/>
              </w:rPr>
              <w:t>Towing Vessel-Integrated Tug and Barge (Tug)-General</w:t>
            </w:r>
          </w:p>
        </w:tc>
        <w:tc>
          <w:tcPr>
            <w:tcW w:w="2430" w:type="dxa"/>
            <w:noWrap/>
            <w:vAlign w:val="center"/>
            <w:hideMark/>
          </w:tcPr>
          <w:p w14:paraId="23B1940F" w14:textId="77777777" w:rsidR="00BC1F06" w:rsidRPr="00022BA7" w:rsidRDefault="00BC1F06" w:rsidP="00AA6375">
            <w:pPr>
              <w:rPr>
                <w:sz w:val="18"/>
                <w:szCs w:val="18"/>
              </w:rPr>
            </w:pPr>
            <w:r w:rsidRPr="00022BA7">
              <w:rPr>
                <w:sz w:val="18"/>
                <w:szCs w:val="18"/>
              </w:rPr>
              <w:t>Tug (ATB)</w:t>
            </w:r>
          </w:p>
        </w:tc>
      </w:tr>
      <w:tr w:rsidR="00BC1F06" w:rsidRPr="00022BA7" w14:paraId="4C87AA2D" w14:textId="77777777" w:rsidTr="00B60F61">
        <w:trPr>
          <w:trHeight w:val="300"/>
        </w:trPr>
        <w:tc>
          <w:tcPr>
            <w:tcW w:w="6925" w:type="dxa"/>
            <w:noWrap/>
            <w:vAlign w:val="center"/>
            <w:hideMark/>
          </w:tcPr>
          <w:p w14:paraId="38E17E3B" w14:textId="77777777" w:rsidR="00BC1F06" w:rsidRPr="00022BA7" w:rsidRDefault="00BC1F06" w:rsidP="00AA6375">
            <w:pPr>
              <w:rPr>
                <w:sz w:val="18"/>
                <w:szCs w:val="18"/>
              </w:rPr>
            </w:pPr>
            <w:r w:rsidRPr="00022BA7">
              <w:rPr>
                <w:sz w:val="18"/>
                <w:szCs w:val="18"/>
              </w:rPr>
              <w:t>Towing Vessel-Other-Inland Service</w:t>
            </w:r>
          </w:p>
        </w:tc>
        <w:tc>
          <w:tcPr>
            <w:tcW w:w="2430" w:type="dxa"/>
            <w:noWrap/>
            <w:vAlign w:val="center"/>
            <w:hideMark/>
          </w:tcPr>
          <w:p w14:paraId="3DB464B1" w14:textId="77777777" w:rsidR="00BC1F06" w:rsidRPr="00022BA7" w:rsidRDefault="00BC1F06" w:rsidP="00AA6375">
            <w:pPr>
              <w:rPr>
                <w:sz w:val="18"/>
                <w:szCs w:val="18"/>
              </w:rPr>
            </w:pPr>
            <w:r w:rsidRPr="00022BA7">
              <w:rPr>
                <w:sz w:val="18"/>
                <w:szCs w:val="18"/>
              </w:rPr>
              <w:t>Tug (Inland-Push Boats)</w:t>
            </w:r>
          </w:p>
        </w:tc>
      </w:tr>
      <w:tr w:rsidR="00BC1F06" w:rsidRPr="00022BA7" w14:paraId="4C963556" w14:textId="77777777" w:rsidTr="00B60F61">
        <w:trPr>
          <w:trHeight w:val="300"/>
        </w:trPr>
        <w:tc>
          <w:tcPr>
            <w:tcW w:w="6925" w:type="dxa"/>
            <w:noWrap/>
            <w:vAlign w:val="center"/>
            <w:hideMark/>
          </w:tcPr>
          <w:p w14:paraId="0B984BF4" w14:textId="77777777" w:rsidR="00BC1F06" w:rsidRPr="00022BA7" w:rsidRDefault="00BC1F06" w:rsidP="00AA6375">
            <w:pPr>
              <w:rPr>
                <w:sz w:val="18"/>
                <w:szCs w:val="18"/>
              </w:rPr>
            </w:pPr>
            <w:r w:rsidRPr="00022BA7">
              <w:rPr>
                <w:sz w:val="18"/>
                <w:szCs w:val="18"/>
              </w:rPr>
              <w:t>Towing Vessel-Other-Limited Geographic Area</w:t>
            </w:r>
          </w:p>
        </w:tc>
        <w:tc>
          <w:tcPr>
            <w:tcW w:w="2430" w:type="dxa"/>
            <w:noWrap/>
            <w:vAlign w:val="center"/>
            <w:hideMark/>
          </w:tcPr>
          <w:p w14:paraId="6CA68DAE" w14:textId="77777777" w:rsidR="00BC1F06" w:rsidRPr="00022BA7" w:rsidRDefault="00BC1F06" w:rsidP="00AA6375">
            <w:pPr>
              <w:rPr>
                <w:sz w:val="18"/>
                <w:szCs w:val="18"/>
              </w:rPr>
            </w:pPr>
            <w:r w:rsidRPr="00022BA7">
              <w:rPr>
                <w:sz w:val="18"/>
                <w:szCs w:val="18"/>
              </w:rPr>
              <w:t>Tug (Coastal-Harbor)</w:t>
            </w:r>
          </w:p>
        </w:tc>
      </w:tr>
      <w:tr w:rsidR="00BC1F06" w:rsidRPr="00022BA7" w14:paraId="2AA3751C" w14:textId="77777777" w:rsidTr="00B60F61">
        <w:trPr>
          <w:trHeight w:val="300"/>
        </w:trPr>
        <w:tc>
          <w:tcPr>
            <w:tcW w:w="6925" w:type="dxa"/>
            <w:noWrap/>
            <w:vAlign w:val="center"/>
            <w:hideMark/>
          </w:tcPr>
          <w:p w14:paraId="3988F816" w14:textId="77777777" w:rsidR="00BC1F06" w:rsidRPr="00022BA7" w:rsidRDefault="00BC1F06" w:rsidP="00AA6375">
            <w:pPr>
              <w:rPr>
                <w:sz w:val="18"/>
                <w:szCs w:val="18"/>
              </w:rPr>
            </w:pPr>
            <w:r w:rsidRPr="00022BA7">
              <w:rPr>
                <w:sz w:val="18"/>
                <w:szCs w:val="18"/>
              </w:rPr>
              <w:t>Towing Vessel-Other-Near Coastal/Great Lakes</w:t>
            </w:r>
          </w:p>
        </w:tc>
        <w:tc>
          <w:tcPr>
            <w:tcW w:w="2430" w:type="dxa"/>
            <w:noWrap/>
            <w:vAlign w:val="center"/>
            <w:hideMark/>
          </w:tcPr>
          <w:p w14:paraId="56A247A5" w14:textId="77777777" w:rsidR="00BC1F06" w:rsidRPr="00022BA7" w:rsidRDefault="00BC1F06" w:rsidP="00AA6375">
            <w:pPr>
              <w:rPr>
                <w:sz w:val="18"/>
                <w:szCs w:val="18"/>
              </w:rPr>
            </w:pPr>
            <w:r w:rsidRPr="00022BA7">
              <w:rPr>
                <w:sz w:val="18"/>
                <w:szCs w:val="18"/>
              </w:rPr>
              <w:t>Tug (Coastal-Harbor)</w:t>
            </w:r>
          </w:p>
        </w:tc>
      </w:tr>
      <w:tr w:rsidR="00BC1F06" w:rsidRPr="00022BA7" w14:paraId="2317B1EF" w14:textId="77777777" w:rsidTr="00B60F61">
        <w:trPr>
          <w:trHeight w:val="300"/>
        </w:trPr>
        <w:tc>
          <w:tcPr>
            <w:tcW w:w="6925" w:type="dxa"/>
            <w:noWrap/>
            <w:vAlign w:val="center"/>
            <w:hideMark/>
          </w:tcPr>
          <w:p w14:paraId="5BD089CA" w14:textId="77777777" w:rsidR="00BC1F06" w:rsidRPr="00022BA7" w:rsidRDefault="00BC1F06" w:rsidP="00AA6375">
            <w:pPr>
              <w:rPr>
                <w:sz w:val="18"/>
                <w:szCs w:val="18"/>
              </w:rPr>
            </w:pPr>
            <w:r w:rsidRPr="00022BA7">
              <w:rPr>
                <w:sz w:val="18"/>
                <w:szCs w:val="18"/>
              </w:rPr>
              <w:t>Towing Vessel-Other-Oceans Service</w:t>
            </w:r>
          </w:p>
        </w:tc>
        <w:tc>
          <w:tcPr>
            <w:tcW w:w="2430" w:type="dxa"/>
            <w:noWrap/>
            <w:vAlign w:val="center"/>
            <w:hideMark/>
          </w:tcPr>
          <w:p w14:paraId="6A42E352" w14:textId="77777777" w:rsidR="00BC1F06" w:rsidRPr="00022BA7" w:rsidRDefault="00BC1F06" w:rsidP="00AA6375">
            <w:pPr>
              <w:rPr>
                <w:sz w:val="18"/>
                <w:szCs w:val="18"/>
              </w:rPr>
            </w:pPr>
            <w:r w:rsidRPr="00022BA7">
              <w:rPr>
                <w:sz w:val="18"/>
                <w:szCs w:val="18"/>
              </w:rPr>
              <w:t>Tug (Coastal-Harbor)</w:t>
            </w:r>
          </w:p>
        </w:tc>
      </w:tr>
      <w:tr w:rsidR="00BC1F06" w:rsidRPr="00022BA7" w14:paraId="76D977CD" w14:textId="77777777" w:rsidTr="00B60F61">
        <w:trPr>
          <w:trHeight w:val="300"/>
        </w:trPr>
        <w:tc>
          <w:tcPr>
            <w:tcW w:w="6925" w:type="dxa"/>
            <w:noWrap/>
            <w:vAlign w:val="center"/>
            <w:hideMark/>
          </w:tcPr>
          <w:p w14:paraId="5F11DBF0" w14:textId="77777777" w:rsidR="00BC1F06" w:rsidRPr="00022BA7" w:rsidRDefault="00BC1F06" w:rsidP="00AA6375">
            <w:pPr>
              <w:rPr>
                <w:sz w:val="18"/>
                <w:szCs w:val="18"/>
              </w:rPr>
            </w:pPr>
            <w:r w:rsidRPr="00022BA7">
              <w:rPr>
                <w:sz w:val="18"/>
                <w:szCs w:val="18"/>
              </w:rPr>
              <w:t>Towing Vessel-Other-Other</w:t>
            </w:r>
          </w:p>
        </w:tc>
        <w:tc>
          <w:tcPr>
            <w:tcW w:w="2430" w:type="dxa"/>
            <w:noWrap/>
            <w:vAlign w:val="center"/>
            <w:hideMark/>
          </w:tcPr>
          <w:p w14:paraId="4B2F7648" w14:textId="77777777" w:rsidR="00BC1F06" w:rsidRPr="00022BA7" w:rsidRDefault="00BC1F06" w:rsidP="00AA6375">
            <w:pPr>
              <w:rPr>
                <w:sz w:val="18"/>
                <w:szCs w:val="18"/>
              </w:rPr>
            </w:pPr>
            <w:r w:rsidRPr="00022BA7">
              <w:rPr>
                <w:sz w:val="18"/>
                <w:szCs w:val="18"/>
              </w:rPr>
              <w:t>Tug (Coastal-Harbor)</w:t>
            </w:r>
          </w:p>
        </w:tc>
      </w:tr>
      <w:tr w:rsidR="00BC1F06" w:rsidRPr="00022BA7" w14:paraId="6EA421BE" w14:textId="77777777" w:rsidTr="00B60F61">
        <w:trPr>
          <w:trHeight w:val="300"/>
        </w:trPr>
        <w:tc>
          <w:tcPr>
            <w:tcW w:w="6925" w:type="dxa"/>
            <w:noWrap/>
            <w:vAlign w:val="center"/>
            <w:hideMark/>
          </w:tcPr>
          <w:p w14:paraId="0FD5F6E6" w14:textId="77777777" w:rsidR="00BC1F06" w:rsidRPr="00022BA7" w:rsidRDefault="00BC1F06" w:rsidP="00AA6375">
            <w:pPr>
              <w:rPr>
                <w:sz w:val="18"/>
                <w:szCs w:val="18"/>
              </w:rPr>
            </w:pPr>
            <w:r w:rsidRPr="00022BA7">
              <w:rPr>
                <w:sz w:val="18"/>
                <w:szCs w:val="18"/>
              </w:rPr>
              <w:t>Towing Vessel-Other-Regulated Barge Service</w:t>
            </w:r>
          </w:p>
        </w:tc>
        <w:tc>
          <w:tcPr>
            <w:tcW w:w="2430" w:type="dxa"/>
            <w:noWrap/>
            <w:vAlign w:val="center"/>
            <w:hideMark/>
          </w:tcPr>
          <w:p w14:paraId="1E6DA01C" w14:textId="77777777" w:rsidR="00BC1F06" w:rsidRPr="00022BA7" w:rsidRDefault="00BC1F06" w:rsidP="00AA6375">
            <w:pPr>
              <w:rPr>
                <w:sz w:val="18"/>
                <w:szCs w:val="18"/>
              </w:rPr>
            </w:pPr>
            <w:r w:rsidRPr="00022BA7">
              <w:rPr>
                <w:sz w:val="18"/>
                <w:szCs w:val="18"/>
              </w:rPr>
              <w:t>Tug (Coastal-Harbor)</w:t>
            </w:r>
          </w:p>
        </w:tc>
      </w:tr>
      <w:tr w:rsidR="00BC1F06" w:rsidRPr="00022BA7" w14:paraId="686963C0" w14:textId="77777777" w:rsidTr="00B60F61">
        <w:trPr>
          <w:trHeight w:val="300"/>
        </w:trPr>
        <w:tc>
          <w:tcPr>
            <w:tcW w:w="6925" w:type="dxa"/>
            <w:noWrap/>
            <w:vAlign w:val="center"/>
            <w:hideMark/>
          </w:tcPr>
          <w:p w14:paraId="29AF727B" w14:textId="77777777" w:rsidR="00BC1F06" w:rsidRPr="00022BA7" w:rsidRDefault="00BC1F06" w:rsidP="00AA6375">
            <w:pPr>
              <w:rPr>
                <w:sz w:val="18"/>
                <w:szCs w:val="18"/>
              </w:rPr>
            </w:pPr>
            <w:r w:rsidRPr="00022BA7">
              <w:rPr>
                <w:sz w:val="18"/>
                <w:szCs w:val="18"/>
              </w:rPr>
              <w:t>Towing Vessel-Pollution Response-Other</w:t>
            </w:r>
          </w:p>
        </w:tc>
        <w:tc>
          <w:tcPr>
            <w:tcW w:w="2430" w:type="dxa"/>
            <w:noWrap/>
            <w:vAlign w:val="center"/>
            <w:hideMark/>
          </w:tcPr>
          <w:p w14:paraId="4AC7A748" w14:textId="77777777" w:rsidR="00BC1F06" w:rsidRPr="00022BA7" w:rsidRDefault="00BC1F06" w:rsidP="00AA6375">
            <w:pPr>
              <w:rPr>
                <w:sz w:val="18"/>
                <w:szCs w:val="18"/>
              </w:rPr>
            </w:pPr>
            <w:r w:rsidRPr="00022BA7">
              <w:rPr>
                <w:sz w:val="18"/>
                <w:szCs w:val="18"/>
              </w:rPr>
              <w:t>Tug (Coastal-Harbor)</w:t>
            </w:r>
          </w:p>
        </w:tc>
      </w:tr>
      <w:tr w:rsidR="00BC1F06" w:rsidRPr="00022BA7" w14:paraId="47B2C6BF" w14:textId="77777777" w:rsidTr="00B60F61">
        <w:trPr>
          <w:trHeight w:val="300"/>
        </w:trPr>
        <w:tc>
          <w:tcPr>
            <w:tcW w:w="6925" w:type="dxa"/>
            <w:noWrap/>
            <w:vAlign w:val="center"/>
            <w:hideMark/>
          </w:tcPr>
          <w:p w14:paraId="2E249A7D" w14:textId="77777777" w:rsidR="00BC1F06" w:rsidRPr="00022BA7" w:rsidRDefault="00BC1F06" w:rsidP="00AA6375">
            <w:pPr>
              <w:rPr>
                <w:sz w:val="18"/>
                <w:szCs w:val="18"/>
              </w:rPr>
            </w:pPr>
            <w:r w:rsidRPr="00022BA7">
              <w:rPr>
                <w:sz w:val="18"/>
                <w:szCs w:val="18"/>
              </w:rPr>
              <w:t>Towing Vessel-Pushing Ahead (Towboat)-Canal</w:t>
            </w:r>
          </w:p>
        </w:tc>
        <w:tc>
          <w:tcPr>
            <w:tcW w:w="2430" w:type="dxa"/>
            <w:noWrap/>
            <w:vAlign w:val="center"/>
            <w:hideMark/>
          </w:tcPr>
          <w:p w14:paraId="4D4769CD" w14:textId="77777777" w:rsidR="00BC1F06" w:rsidRPr="00022BA7" w:rsidRDefault="00BC1F06" w:rsidP="00AA6375">
            <w:pPr>
              <w:rPr>
                <w:sz w:val="18"/>
                <w:szCs w:val="18"/>
              </w:rPr>
            </w:pPr>
            <w:r w:rsidRPr="00022BA7">
              <w:rPr>
                <w:sz w:val="18"/>
                <w:szCs w:val="18"/>
              </w:rPr>
              <w:t>Tug (Inland-Push Boats)</w:t>
            </w:r>
          </w:p>
        </w:tc>
      </w:tr>
      <w:tr w:rsidR="00BC1F06" w:rsidRPr="00022BA7" w14:paraId="5A39D9EE" w14:textId="77777777" w:rsidTr="00B60F61">
        <w:trPr>
          <w:trHeight w:val="300"/>
        </w:trPr>
        <w:tc>
          <w:tcPr>
            <w:tcW w:w="6925" w:type="dxa"/>
            <w:noWrap/>
            <w:vAlign w:val="center"/>
            <w:hideMark/>
          </w:tcPr>
          <w:p w14:paraId="307F6F18" w14:textId="77777777" w:rsidR="00BC1F06" w:rsidRPr="00022BA7" w:rsidRDefault="00BC1F06" w:rsidP="00AA6375">
            <w:pPr>
              <w:rPr>
                <w:sz w:val="18"/>
                <w:szCs w:val="18"/>
              </w:rPr>
            </w:pPr>
            <w:r w:rsidRPr="00022BA7">
              <w:rPr>
                <w:sz w:val="18"/>
                <w:szCs w:val="18"/>
              </w:rPr>
              <w:t>Towing Vessel-Pushing Ahead (Towboat)-Fleeting</w:t>
            </w:r>
          </w:p>
        </w:tc>
        <w:tc>
          <w:tcPr>
            <w:tcW w:w="2430" w:type="dxa"/>
            <w:noWrap/>
            <w:vAlign w:val="center"/>
            <w:hideMark/>
          </w:tcPr>
          <w:p w14:paraId="23D5C02A" w14:textId="77777777" w:rsidR="00BC1F06" w:rsidRPr="00022BA7" w:rsidRDefault="00BC1F06" w:rsidP="00AA6375">
            <w:pPr>
              <w:rPr>
                <w:sz w:val="18"/>
                <w:szCs w:val="18"/>
              </w:rPr>
            </w:pPr>
            <w:r w:rsidRPr="00022BA7">
              <w:rPr>
                <w:sz w:val="18"/>
                <w:szCs w:val="18"/>
              </w:rPr>
              <w:t>Tug (Inland-Push Boats)</w:t>
            </w:r>
          </w:p>
        </w:tc>
      </w:tr>
      <w:tr w:rsidR="00BC1F06" w:rsidRPr="00022BA7" w14:paraId="687A8EE0" w14:textId="77777777" w:rsidTr="00B60F61">
        <w:trPr>
          <w:trHeight w:val="300"/>
        </w:trPr>
        <w:tc>
          <w:tcPr>
            <w:tcW w:w="6925" w:type="dxa"/>
            <w:noWrap/>
            <w:vAlign w:val="center"/>
            <w:hideMark/>
          </w:tcPr>
          <w:p w14:paraId="786A7505" w14:textId="77777777" w:rsidR="00BC1F06" w:rsidRPr="00022BA7" w:rsidRDefault="00BC1F06" w:rsidP="00AA6375">
            <w:pPr>
              <w:rPr>
                <w:sz w:val="18"/>
                <w:szCs w:val="18"/>
              </w:rPr>
            </w:pPr>
            <w:r w:rsidRPr="00022BA7">
              <w:rPr>
                <w:sz w:val="18"/>
                <w:szCs w:val="18"/>
              </w:rPr>
              <w:t>Towing Vessel-Pushing Ahead (Towboat)-Fuel Barge</w:t>
            </w:r>
          </w:p>
        </w:tc>
        <w:tc>
          <w:tcPr>
            <w:tcW w:w="2430" w:type="dxa"/>
            <w:noWrap/>
            <w:vAlign w:val="center"/>
            <w:hideMark/>
          </w:tcPr>
          <w:p w14:paraId="271840CC" w14:textId="77777777" w:rsidR="00BC1F06" w:rsidRPr="00022BA7" w:rsidRDefault="00BC1F06" w:rsidP="00AA6375">
            <w:pPr>
              <w:rPr>
                <w:sz w:val="18"/>
                <w:szCs w:val="18"/>
              </w:rPr>
            </w:pPr>
            <w:r w:rsidRPr="00022BA7">
              <w:rPr>
                <w:sz w:val="18"/>
                <w:szCs w:val="18"/>
              </w:rPr>
              <w:t>Tug (Inland-Push Boats)</w:t>
            </w:r>
          </w:p>
        </w:tc>
      </w:tr>
      <w:tr w:rsidR="00BC1F06" w:rsidRPr="00022BA7" w14:paraId="5487E0AC" w14:textId="77777777" w:rsidTr="00B60F61">
        <w:trPr>
          <w:trHeight w:val="300"/>
        </w:trPr>
        <w:tc>
          <w:tcPr>
            <w:tcW w:w="6925" w:type="dxa"/>
            <w:noWrap/>
            <w:vAlign w:val="center"/>
            <w:hideMark/>
          </w:tcPr>
          <w:p w14:paraId="40C80D21" w14:textId="77777777" w:rsidR="00BC1F06" w:rsidRPr="00022BA7" w:rsidRDefault="00BC1F06" w:rsidP="00AA6375">
            <w:pPr>
              <w:rPr>
                <w:sz w:val="18"/>
                <w:szCs w:val="18"/>
              </w:rPr>
            </w:pPr>
            <w:r w:rsidRPr="00022BA7">
              <w:rPr>
                <w:sz w:val="18"/>
                <w:szCs w:val="18"/>
              </w:rPr>
              <w:t>Towing Vessel-Pushing Ahead (Towboat)-General</w:t>
            </w:r>
          </w:p>
        </w:tc>
        <w:tc>
          <w:tcPr>
            <w:tcW w:w="2430" w:type="dxa"/>
            <w:noWrap/>
            <w:vAlign w:val="center"/>
            <w:hideMark/>
          </w:tcPr>
          <w:p w14:paraId="55AC7817" w14:textId="77777777" w:rsidR="00BC1F06" w:rsidRPr="00022BA7" w:rsidRDefault="00BC1F06" w:rsidP="00AA6375">
            <w:pPr>
              <w:rPr>
                <w:sz w:val="18"/>
                <w:szCs w:val="18"/>
              </w:rPr>
            </w:pPr>
            <w:r w:rsidRPr="00022BA7">
              <w:rPr>
                <w:sz w:val="18"/>
                <w:szCs w:val="18"/>
              </w:rPr>
              <w:t>Tug (Inland-Push Boats)</w:t>
            </w:r>
          </w:p>
        </w:tc>
      </w:tr>
      <w:tr w:rsidR="00BC1F06" w:rsidRPr="00022BA7" w14:paraId="794F0732" w14:textId="77777777" w:rsidTr="00B60F61">
        <w:trPr>
          <w:trHeight w:val="300"/>
        </w:trPr>
        <w:tc>
          <w:tcPr>
            <w:tcW w:w="6925" w:type="dxa"/>
            <w:noWrap/>
            <w:vAlign w:val="center"/>
            <w:hideMark/>
          </w:tcPr>
          <w:p w14:paraId="7BC309E9" w14:textId="77777777" w:rsidR="00BC1F06" w:rsidRPr="00022BA7" w:rsidRDefault="00BC1F06" w:rsidP="00AA6375">
            <w:pPr>
              <w:rPr>
                <w:sz w:val="18"/>
                <w:szCs w:val="18"/>
              </w:rPr>
            </w:pPr>
            <w:r w:rsidRPr="00022BA7">
              <w:rPr>
                <w:sz w:val="18"/>
                <w:szCs w:val="18"/>
              </w:rPr>
              <w:t>Towing Vessel-Pushing Ahead (Towboat)-Linehaul</w:t>
            </w:r>
          </w:p>
        </w:tc>
        <w:tc>
          <w:tcPr>
            <w:tcW w:w="2430" w:type="dxa"/>
            <w:noWrap/>
            <w:vAlign w:val="center"/>
            <w:hideMark/>
          </w:tcPr>
          <w:p w14:paraId="04603146" w14:textId="77777777" w:rsidR="00BC1F06" w:rsidRPr="00022BA7" w:rsidRDefault="00BC1F06" w:rsidP="00AA6375">
            <w:pPr>
              <w:rPr>
                <w:sz w:val="18"/>
                <w:szCs w:val="18"/>
              </w:rPr>
            </w:pPr>
            <w:r w:rsidRPr="00022BA7">
              <w:rPr>
                <w:sz w:val="18"/>
                <w:szCs w:val="18"/>
              </w:rPr>
              <w:t>Tug (Inland-Push Boats)</w:t>
            </w:r>
          </w:p>
        </w:tc>
      </w:tr>
      <w:tr w:rsidR="00BC1F06" w:rsidRPr="00022BA7" w14:paraId="2A4A0A04" w14:textId="77777777" w:rsidTr="00B60F61">
        <w:trPr>
          <w:trHeight w:val="300"/>
        </w:trPr>
        <w:tc>
          <w:tcPr>
            <w:tcW w:w="6925" w:type="dxa"/>
            <w:noWrap/>
            <w:vAlign w:val="center"/>
            <w:hideMark/>
          </w:tcPr>
          <w:p w14:paraId="67D3EEEA" w14:textId="77777777" w:rsidR="00BC1F06" w:rsidRPr="00022BA7" w:rsidRDefault="00BC1F06" w:rsidP="00AA6375">
            <w:pPr>
              <w:rPr>
                <w:sz w:val="18"/>
                <w:szCs w:val="18"/>
              </w:rPr>
            </w:pPr>
            <w:r w:rsidRPr="00022BA7">
              <w:rPr>
                <w:sz w:val="18"/>
                <w:szCs w:val="18"/>
              </w:rPr>
              <w:t>Towing Vessel-Pushing Ahead (Towboat)-Locking River</w:t>
            </w:r>
          </w:p>
        </w:tc>
        <w:tc>
          <w:tcPr>
            <w:tcW w:w="2430" w:type="dxa"/>
            <w:noWrap/>
            <w:vAlign w:val="center"/>
            <w:hideMark/>
          </w:tcPr>
          <w:p w14:paraId="48817A9F" w14:textId="77777777" w:rsidR="00BC1F06" w:rsidRPr="00022BA7" w:rsidRDefault="00BC1F06" w:rsidP="00AA6375">
            <w:pPr>
              <w:rPr>
                <w:sz w:val="18"/>
                <w:szCs w:val="18"/>
              </w:rPr>
            </w:pPr>
            <w:r w:rsidRPr="00022BA7">
              <w:rPr>
                <w:sz w:val="18"/>
                <w:szCs w:val="18"/>
              </w:rPr>
              <w:t>Tug (Inland-Push Boats)</w:t>
            </w:r>
          </w:p>
        </w:tc>
      </w:tr>
      <w:tr w:rsidR="00BC1F06" w:rsidRPr="00022BA7" w14:paraId="27AD15CB" w14:textId="77777777" w:rsidTr="00B60F61">
        <w:trPr>
          <w:trHeight w:val="300"/>
        </w:trPr>
        <w:tc>
          <w:tcPr>
            <w:tcW w:w="6925" w:type="dxa"/>
            <w:noWrap/>
            <w:vAlign w:val="center"/>
            <w:hideMark/>
          </w:tcPr>
          <w:p w14:paraId="756F16A3" w14:textId="77777777" w:rsidR="00BC1F06" w:rsidRPr="00022BA7" w:rsidRDefault="00BC1F06" w:rsidP="00AA6375">
            <w:pPr>
              <w:rPr>
                <w:sz w:val="18"/>
                <w:szCs w:val="18"/>
              </w:rPr>
            </w:pPr>
            <w:r w:rsidRPr="00022BA7">
              <w:rPr>
                <w:sz w:val="18"/>
                <w:szCs w:val="18"/>
              </w:rPr>
              <w:t>Towing Vessel-Pushing Ahead (Towboat)-Passenger Barge</w:t>
            </w:r>
          </w:p>
        </w:tc>
        <w:tc>
          <w:tcPr>
            <w:tcW w:w="2430" w:type="dxa"/>
            <w:noWrap/>
            <w:vAlign w:val="center"/>
            <w:hideMark/>
          </w:tcPr>
          <w:p w14:paraId="41C46D97" w14:textId="77777777" w:rsidR="00BC1F06" w:rsidRPr="00022BA7" w:rsidRDefault="00BC1F06" w:rsidP="00AA6375">
            <w:pPr>
              <w:rPr>
                <w:sz w:val="18"/>
                <w:szCs w:val="18"/>
              </w:rPr>
            </w:pPr>
            <w:r w:rsidRPr="00022BA7">
              <w:rPr>
                <w:sz w:val="18"/>
                <w:szCs w:val="18"/>
              </w:rPr>
              <w:t>Tug (Inland-Push Boats)</w:t>
            </w:r>
          </w:p>
        </w:tc>
      </w:tr>
      <w:tr w:rsidR="00BC1F06" w:rsidRPr="00022BA7" w14:paraId="440073C1" w14:textId="77777777" w:rsidTr="00B60F61">
        <w:trPr>
          <w:trHeight w:val="300"/>
        </w:trPr>
        <w:tc>
          <w:tcPr>
            <w:tcW w:w="6925" w:type="dxa"/>
            <w:noWrap/>
            <w:vAlign w:val="center"/>
            <w:hideMark/>
          </w:tcPr>
          <w:p w14:paraId="3629E1B7" w14:textId="77777777" w:rsidR="00BC1F06" w:rsidRPr="00022BA7" w:rsidRDefault="00BC1F06" w:rsidP="00AA6375">
            <w:pPr>
              <w:rPr>
                <w:sz w:val="18"/>
                <w:szCs w:val="18"/>
              </w:rPr>
            </w:pPr>
            <w:r w:rsidRPr="00022BA7">
              <w:rPr>
                <w:sz w:val="18"/>
                <w:szCs w:val="18"/>
              </w:rPr>
              <w:t>Towing Vessel-Pushing Ahead/hauling alongside-Inland Service</w:t>
            </w:r>
          </w:p>
        </w:tc>
        <w:tc>
          <w:tcPr>
            <w:tcW w:w="2430" w:type="dxa"/>
            <w:noWrap/>
            <w:vAlign w:val="center"/>
            <w:hideMark/>
          </w:tcPr>
          <w:p w14:paraId="7FC50291" w14:textId="77777777" w:rsidR="00BC1F06" w:rsidRPr="00022BA7" w:rsidRDefault="00BC1F06" w:rsidP="00AA6375">
            <w:pPr>
              <w:rPr>
                <w:sz w:val="18"/>
                <w:szCs w:val="18"/>
              </w:rPr>
            </w:pPr>
            <w:r w:rsidRPr="00022BA7">
              <w:rPr>
                <w:sz w:val="18"/>
                <w:szCs w:val="18"/>
              </w:rPr>
              <w:t>Tug (Inland-Push Boats)</w:t>
            </w:r>
          </w:p>
        </w:tc>
      </w:tr>
      <w:tr w:rsidR="00BC1F06" w:rsidRPr="00022BA7" w14:paraId="357998F4" w14:textId="77777777" w:rsidTr="00B60F61">
        <w:trPr>
          <w:trHeight w:val="300"/>
        </w:trPr>
        <w:tc>
          <w:tcPr>
            <w:tcW w:w="6925" w:type="dxa"/>
            <w:noWrap/>
            <w:vAlign w:val="center"/>
            <w:hideMark/>
          </w:tcPr>
          <w:p w14:paraId="60658F59" w14:textId="77777777" w:rsidR="00BC1F06" w:rsidRPr="00022BA7" w:rsidRDefault="00BC1F06" w:rsidP="00AA6375">
            <w:pPr>
              <w:rPr>
                <w:sz w:val="18"/>
                <w:szCs w:val="18"/>
              </w:rPr>
            </w:pPr>
            <w:r w:rsidRPr="00022BA7">
              <w:rPr>
                <w:sz w:val="18"/>
                <w:szCs w:val="18"/>
              </w:rPr>
              <w:t>Towing Vessel-Pushing Ahead/hauling alongside-International Voyage</w:t>
            </w:r>
          </w:p>
        </w:tc>
        <w:tc>
          <w:tcPr>
            <w:tcW w:w="2430" w:type="dxa"/>
            <w:noWrap/>
            <w:vAlign w:val="center"/>
            <w:hideMark/>
          </w:tcPr>
          <w:p w14:paraId="33393A2D" w14:textId="77777777" w:rsidR="00BC1F06" w:rsidRPr="00022BA7" w:rsidRDefault="00BC1F06" w:rsidP="00AA6375">
            <w:pPr>
              <w:rPr>
                <w:sz w:val="18"/>
                <w:szCs w:val="18"/>
              </w:rPr>
            </w:pPr>
            <w:r w:rsidRPr="00022BA7">
              <w:rPr>
                <w:sz w:val="18"/>
                <w:szCs w:val="18"/>
              </w:rPr>
              <w:t>Tug (Inland-Push Boats)</w:t>
            </w:r>
          </w:p>
        </w:tc>
      </w:tr>
      <w:tr w:rsidR="00BC1F06" w:rsidRPr="00022BA7" w14:paraId="7D82FFE6" w14:textId="77777777" w:rsidTr="00B60F61">
        <w:trPr>
          <w:trHeight w:val="300"/>
        </w:trPr>
        <w:tc>
          <w:tcPr>
            <w:tcW w:w="6925" w:type="dxa"/>
            <w:noWrap/>
            <w:vAlign w:val="center"/>
            <w:hideMark/>
          </w:tcPr>
          <w:p w14:paraId="14EDA2DB" w14:textId="77777777" w:rsidR="00BC1F06" w:rsidRPr="00022BA7" w:rsidRDefault="00BC1F06" w:rsidP="00AA6375">
            <w:pPr>
              <w:rPr>
                <w:sz w:val="18"/>
                <w:szCs w:val="18"/>
              </w:rPr>
            </w:pPr>
            <w:r w:rsidRPr="00022BA7">
              <w:rPr>
                <w:sz w:val="18"/>
                <w:szCs w:val="18"/>
              </w:rPr>
              <w:t>Towing Vessel-Pushing Ahead/hauling alongside-Limited Geographic Area</w:t>
            </w:r>
          </w:p>
        </w:tc>
        <w:tc>
          <w:tcPr>
            <w:tcW w:w="2430" w:type="dxa"/>
            <w:noWrap/>
            <w:vAlign w:val="center"/>
            <w:hideMark/>
          </w:tcPr>
          <w:p w14:paraId="7B8D79B5" w14:textId="77777777" w:rsidR="00BC1F06" w:rsidRPr="00022BA7" w:rsidRDefault="00BC1F06" w:rsidP="00AA6375">
            <w:pPr>
              <w:rPr>
                <w:sz w:val="18"/>
                <w:szCs w:val="18"/>
              </w:rPr>
            </w:pPr>
            <w:r w:rsidRPr="00022BA7">
              <w:rPr>
                <w:sz w:val="18"/>
                <w:szCs w:val="18"/>
              </w:rPr>
              <w:t>Tug (Inland-Push Boats)</w:t>
            </w:r>
          </w:p>
        </w:tc>
      </w:tr>
      <w:tr w:rsidR="00BC1F06" w:rsidRPr="00022BA7" w14:paraId="31D6B710" w14:textId="77777777" w:rsidTr="00B60F61">
        <w:trPr>
          <w:trHeight w:val="300"/>
        </w:trPr>
        <w:tc>
          <w:tcPr>
            <w:tcW w:w="6925" w:type="dxa"/>
            <w:noWrap/>
            <w:vAlign w:val="center"/>
            <w:hideMark/>
          </w:tcPr>
          <w:p w14:paraId="25A0112B" w14:textId="77777777" w:rsidR="00BC1F06" w:rsidRPr="00022BA7" w:rsidRDefault="00BC1F06" w:rsidP="00AA6375">
            <w:pPr>
              <w:rPr>
                <w:sz w:val="18"/>
                <w:szCs w:val="18"/>
              </w:rPr>
            </w:pPr>
            <w:r w:rsidRPr="00022BA7">
              <w:rPr>
                <w:sz w:val="18"/>
                <w:szCs w:val="18"/>
              </w:rPr>
              <w:t>Towing Vessel-Pushing Ahead/hauling alongside-Near Coastal/Great Lakes</w:t>
            </w:r>
          </w:p>
        </w:tc>
        <w:tc>
          <w:tcPr>
            <w:tcW w:w="2430" w:type="dxa"/>
            <w:noWrap/>
            <w:vAlign w:val="center"/>
            <w:hideMark/>
          </w:tcPr>
          <w:p w14:paraId="08BF66C8" w14:textId="77777777" w:rsidR="00BC1F06" w:rsidRPr="00022BA7" w:rsidRDefault="00BC1F06" w:rsidP="00AA6375">
            <w:pPr>
              <w:rPr>
                <w:sz w:val="18"/>
                <w:szCs w:val="18"/>
              </w:rPr>
            </w:pPr>
            <w:r w:rsidRPr="00022BA7">
              <w:rPr>
                <w:sz w:val="18"/>
                <w:szCs w:val="18"/>
              </w:rPr>
              <w:t>Tug (Inland-Push Boats)</w:t>
            </w:r>
          </w:p>
        </w:tc>
      </w:tr>
      <w:tr w:rsidR="00BC1F06" w:rsidRPr="00022BA7" w14:paraId="0B9695F4" w14:textId="77777777" w:rsidTr="00B60F61">
        <w:trPr>
          <w:trHeight w:val="300"/>
        </w:trPr>
        <w:tc>
          <w:tcPr>
            <w:tcW w:w="6925" w:type="dxa"/>
            <w:noWrap/>
            <w:vAlign w:val="center"/>
            <w:hideMark/>
          </w:tcPr>
          <w:p w14:paraId="1539A154" w14:textId="77777777" w:rsidR="00BC1F06" w:rsidRPr="00022BA7" w:rsidRDefault="00BC1F06" w:rsidP="00AA6375">
            <w:pPr>
              <w:rPr>
                <w:sz w:val="18"/>
                <w:szCs w:val="18"/>
              </w:rPr>
            </w:pPr>
            <w:r w:rsidRPr="00022BA7">
              <w:rPr>
                <w:sz w:val="18"/>
                <w:szCs w:val="18"/>
              </w:rPr>
              <w:t>Towing Vessel-Pushing Ahead/hauling alongside-Oceans Service</w:t>
            </w:r>
          </w:p>
        </w:tc>
        <w:tc>
          <w:tcPr>
            <w:tcW w:w="2430" w:type="dxa"/>
            <w:noWrap/>
            <w:vAlign w:val="center"/>
            <w:hideMark/>
          </w:tcPr>
          <w:p w14:paraId="5EEED60D" w14:textId="77777777" w:rsidR="00BC1F06" w:rsidRPr="00022BA7" w:rsidRDefault="00BC1F06" w:rsidP="00AA6375">
            <w:pPr>
              <w:rPr>
                <w:sz w:val="18"/>
                <w:szCs w:val="18"/>
              </w:rPr>
            </w:pPr>
            <w:r w:rsidRPr="00022BA7">
              <w:rPr>
                <w:sz w:val="18"/>
                <w:szCs w:val="18"/>
              </w:rPr>
              <w:t>Tug (Inland-Push Boats)</w:t>
            </w:r>
          </w:p>
        </w:tc>
      </w:tr>
      <w:tr w:rsidR="00BC1F06" w:rsidRPr="00022BA7" w14:paraId="165E0F3C" w14:textId="77777777" w:rsidTr="00B60F61">
        <w:trPr>
          <w:trHeight w:val="300"/>
        </w:trPr>
        <w:tc>
          <w:tcPr>
            <w:tcW w:w="6925" w:type="dxa"/>
            <w:noWrap/>
            <w:vAlign w:val="center"/>
            <w:hideMark/>
          </w:tcPr>
          <w:p w14:paraId="2B037454" w14:textId="77777777" w:rsidR="00BC1F06" w:rsidRPr="00022BA7" w:rsidRDefault="00BC1F06" w:rsidP="00AA6375">
            <w:pPr>
              <w:rPr>
                <w:sz w:val="18"/>
                <w:szCs w:val="18"/>
              </w:rPr>
            </w:pPr>
            <w:r w:rsidRPr="00022BA7">
              <w:rPr>
                <w:sz w:val="18"/>
                <w:szCs w:val="18"/>
              </w:rPr>
              <w:t>Towing Vessel-Pushing Ahead/hauling alongside-Other</w:t>
            </w:r>
          </w:p>
        </w:tc>
        <w:tc>
          <w:tcPr>
            <w:tcW w:w="2430" w:type="dxa"/>
            <w:noWrap/>
            <w:vAlign w:val="center"/>
            <w:hideMark/>
          </w:tcPr>
          <w:p w14:paraId="3E928751" w14:textId="77777777" w:rsidR="00BC1F06" w:rsidRPr="00022BA7" w:rsidRDefault="00BC1F06" w:rsidP="00AA6375">
            <w:pPr>
              <w:rPr>
                <w:sz w:val="18"/>
                <w:szCs w:val="18"/>
              </w:rPr>
            </w:pPr>
            <w:r w:rsidRPr="00022BA7">
              <w:rPr>
                <w:sz w:val="18"/>
                <w:szCs w:val="18"/>
              </w:rPr>
              <w:t>Tug (Inland-Push Boats)</w:t>
            </w:r>
          </w:p>
        </w:tc>
      </w:tr>
      <w:tr w:rsidR="00BC1F06" w:rsidRPr="00022BA7" w14:paraId="6F3DA7C8" w14:textId="77777777" w:rsidTr="00B60F61">
        <w:trPr>
          <w:trHeight w:val="300"/>
        </w:trPr>
        <w:tc>
          <w:tcPr>
            <w:tcW w:w="6925" w:type="dxa"/>
            <w:noWrap/>
            <w:vAlign w:val="center"/>
            <w:hideMark/>
          </w:tcPr>
          <w:p w14:paraId="317B3E59" w14:textId="77777777" w:rsidR="00BC1F06" w:rsidRPr="00022BA7" w:rsidRDefault="00BC1F06" w:rsidP="00AA6375">
            <w:pPr>
              <w:rPr>
                <w:sz w:val="18"/>
                <w:szCs w:val="18"/>
              </w:rPr>
            </w:pPr>
            <w:r w:rsidRPr="00022BA7">
              <w:rPr>
                <w:sz w:val="18"/>
                <w:szCs w:val="18"/>
              </w:rPr>
              <w:t>Towing Vessel-Pushing Ahead/hauling alongside-Regulated Barge Service</w:t>
            </w:r>
          </w:p>
        </w:tc>
        <w:tc>
          <w:tcPr>
            <w:tcW w:w="2430" w:type="dxa"/>
            <w:noWrap/>
            <w:vAlign w:val="center"/>
            <w:hideMark/>
          </w:tcPr>
          <w:p w14:paraId="6013B618" w14:textId="77777777" w:rsidR="00BC1F06" w:rsidRPr="00022BA7" w:rsidRDefault="00BC1F06" w:rsidP="00AA6375">
            <w:pPr>
              <w:rPr>
                <w:sz w:val="18"/>
                <w:szCs w:val="18"/>
              </w:rPr>
            </w:pPr>
            <w:r w:rsidRPr="00022BA7">
              <w:rPr>
                <w:sz w:val="18"/>
                <w:szCs w:val="18"/>
              </w:rPr>
              <w:t>Tug (Inland-Push Boats)</w:t>
            </w:r>
          </w:p>
        </w:tc>
      </w:tr>
      <w:tr w:rsidR="00BC1F06" w:rsidRPr="00022BA7" w14:paraId="7396E53F" w14:textId="77777777" w:rsidTr="00B60F61">
        <w:trPr>
          <w:trHeight w:val="300"/>
        </w:trPr>
        <w:tc>
          <w:tcPr>
            <w:tcW w:w="6925" w:type="dxa"/>
            <w:noWrap/>
            <w:vAlign w:val="center"/>
            <w:hideMark/>
          </w:tcPr>
          <w:p w14:paraId="2B5AA788" w14:textId="77777777" w:rsidR="00BC1F06" w:rsidRPr="00022BA7" w:rsidRDefault="00BC1F06" w:rsidP="00AA6375">
            <w:pPr>
              <w:rPr>
                <w:sz w:val="18"/>
                <w:szCs w:val="18"/>
              </w:rPr>
            </w:pPr>
            <w:r w:rsidRPr="00022BA7">
              <w:rPr>
                <w:sz w:val="18"/>
                <w:szCs w:val="18"/>
              </w:rPr>
              <w:t>Towing Vessel-Salvage Tug-General</w:t>
            </w:r>
          </w:p>
        </w:tc>
        <w:tc>
          <w:tcPr>
            <w:tcW w:w="2430" w:type="dxa"/>
            <w:noWrap/>
            <w:vAlign w:val="center"/>
            <w:hideMark/>
          </w:tcPr>
          <w:p w14:paraId="4FD9DA42" w14:textId="77777777" w:rsidR="00BC1F06" w:rsidRPr="00022BA7" w:rsidRDefault="00BC1F06" w:rsidP="00AA6375">
            <w:pPr>
              <w:rPr>
                <w:sz w:val="18"/>
                <w:szCs w:val="18"/>
              </w:rPr>
            </w:pPr>
            <w:r w:rsidRPr="00022BA7">
              <w:rPr>
                <w:sz w:val="18"/>
                <w:szCs w:val="18"/>
              </w:rPr>
              <w:t>Tug (Coastal-Harbor)</w:t>
            </w:r>
          </w:p>
        </w:tc>
      </w:tr>
      <w:tr w:rsidR="00BC1F06" w:rsidRPr="00022BA7" w14:paraId="27B8E60A" w14:textId="77777777" w:rsidTr="00B60F61">
        <w:trPr>
          <w:trHeight w:val="300"/>
        </w:trPr>
        <w:tc>
          <w:tcPr>
            <w:tcW w:w="6925" w:type="dxa"/>
            <w:noWrap/>
            <w:vAlign w:val="center"/>
            <w:hideMark/>
          </w:tcPr>
          <w:p w14:paraId="7EE5A8D4" w14:textId="77777777" w:rsidR="00BC1F06" w:rsidRPr="00022BA7" w:rsidRDefault="00BC1F06" w:rsidP="00AA6375">
            <w:pPr>
              <w:rPr>
                <w:sz w:val="18"/>
                <w:szCs w:val="18"/>
              </w:rPr>
            </w:pPr>
            <w:r w:rsidRPr="00022BA7">
              <w:rPr>
                <w:sz w:val="18"/>
                <w:szCs w:val="18"/>
              </w:rPr>
              <w:t>Towing Vessel-Ship/Harbor Assist-Inland Service</w:t>
            </w:r>
          </w:p>
        </w:tc>
        <w:tc>
          <w:tcPr>
            <w:tcW w:w="2430" w:type="dxa"/>
            <w:noWrap/>
            <w:vAlign w:val="center"/>
            <w:hideMark/>
          </w:tcPr>
          <w:p w14:paraId="4B8AD276" w14:textId="77777777" w:rsidR="00BC1F06" w:rsidRPr="00022BA7" w:rsidRDefault="00BC1F06" w:rsidP="00AA6375">
            <w:pPr>
              <w:rPr>
                <w:sz w:val="18"/>
                <w:szCs w:val="18"/>
              </w:rPr>
            </w:pPr>
            <w:r w:rsidRPr="00022BA7">
              <w:rPr>
                <w:sz w:val="18"/>
                <w:szCs w:val="18"/>
              </w:rPr>
              <w:t>Tug (Inland-Push Boats)</w:t>
            </w:r>
          </w:p>
        </w:tc>
      </w:tr>
      <w:tr w:rsidR="00BC1F06" w:rsidRPr="00022BA7" w14:paraId="7B7E9585" w14:textId="77777777" w:rsidTr="00B60F61">
        <w:trPr>
          <w:trHeight w:val="300"/>
        </w:trPr>
        <w:tc>
          <w:tcPr>
            <w:tcW w:w="6925" w:type="dxa"/>
            <w:noWrap/>
            <w:vAlign w:val="center"/>
            <w:hideMark/>
          </w:tcPr>
          <w:p w14:paraId="7B5DDA0E" w14:textId="77777777" w:rsidR="00BC1F06" w:rsidRPr="00022BA7" w:rsidRDefault="00BC1F06" w:rsidP="00AA6375">
            <w:pPr>
              <w:rPr>
                <w:sz w:val="18"/>
                <w:szCs w:val="18"/>
              </w:rPr>
            </w:pPr>
            <w:r w:rsidRPr="00022BA7">
              <w:rPr>
                <w:sz w:val="18"/>
                <w:szCs w:val="18"/>
              </w:rPr>
              <w:t>Towing Vessel-Ship/Harbor Assist-Limited Geographic Area</w:t>
            </w:r>
          </w:p>
        </w:tc>
        <w:tc>
          <w:tcPr>
            <w:tcW w:w="2430" w:type="dxa"/>
            <w:noWrap/>
            <w:vAlign w:val="center"/>
            <w:hideMark/>
          </w:tcPr>
          <w:p w14:paraId="5A8355C7" w14:textId="77777777" w:rsidR="00BC1F06" w:rsidRPr="00022BA7" w:rsidRDefault="00BC1F06" w:rsidP="00AA6375">
            <w:pPr>
              <w:rPr>
                <w:sz w:val="18"/>
                <w:szCs w:val="18"/>
              </w:rPr>
            </w:pPr>
            <w:r w:rsidRPr="00022BA7">
              <w:rPr>
                <w:sz w:val="18"/>
                <w:szCs w:val="18"/>
              </w:rPr>
              <w:t>Tug (Coastal-Harbor)</w:t>
            </w:r>
          </w:p>
        </w:tc>
      </w:tr>
      <w:tr w:rsidR="00BC1F06" w:rsidRPr="00022BA7" w14:paraId="7A5763B6" w14:textId="77777777" w:rsidTr="00B60F61">
        <w:trPr>
          <w:trHeight w:val="300"/>
        </w:trPr>
        <w:tc>
          <w:tcPr>
            <w:tcW w:w="6925" w:type="dxa"/>
            <w:noWrap/>
            <w:vAlign w:val="center"/>
            <w:hideMark/>
          </w:tcPr>
          <w:p w14:paraId="423B148A" w14:textId="77777777" w:rsidR="00BC1F06" w:rsidRPr="00022BA7" w:rsidRDefault="00BC1F06" w:rsidP="00AA6375">
            <w:pPr>
              <w:rPr>
                <w:sz w:val="18"/>
                <w:szCs w:val="18"/>
              </w:rPr>
            </w:pPr>
            <w:r w:rsidRPr="00022BA7">
              <w:rPr>
                <w:sz w:val="18"/>
                <w:szCs w:val="18"/>
              </w:rPr>
              <w:t>Towing Vessel-Ship/Harbor Assist-Near Coastal/Great Lakes</w:t>
            </w:r>
          </w:p>
        </w:tc>
        <w:tc>
          <w:tcPr>
            <w:tcW w:w="2430" w:type="dxa"/>
            <w:noWrap/>
            <w:vAlign w:val="center"/>
            <w:hideMark/>
          </w:tcPr>
          <w:p w14:paraId="6F8FCA78" w14:textId="77777777" w:rsidR="00BC1F06" w:rsidRPr="00022BA7" w:rsidRDefault="00BC1F06" w:rsidP="00AA6375">
            <w:pPr>
              <w:rPr>
                <w:sz w:val="18"/>
                <w:szCs w:val="18"/>
              </w:rPr>
            </w:pPr>
            <w:r w:rsidRPr="00022BA7">
              <w:rPr>
                <w:sz w:val="18"/>
                <w:szCs w:val="18"/>
              </w:rPr>
              <w:t>Tug (Inland-Push Boats)</w:t>
            </w:r>
          </w:p>
        </w:tc>
      </w:tr>
      <w:tr w:rsidR="00BC1F06" w:rsidRPr="00022BA7" w14:paraId="3B69E441" w14:textId="77777777" w:rsidTr="00B60F61">
        <w:trPr>
          <w:trHeight w:val="300"/>
        </w:trPr>
        <w:tc>
          <w:tcPr>
            <w:tcW w:w="6925" w:type="dxa"/>
            <w:noWrap/>
            <w:vAlign w:val="center"/>
            <w:hideMark/>
          </w:tcPr>
          <w:p w14:paraId="059942B8" w14:textId="77777777" w:rsidR="00BC1F06" w:rsidRPr="00022BA7" w:rsidRDefault="00BC1F06" w:rsidP="00AA6375">
            <w:pPr>
              <w:rPr>
                <w:sz w:val="18"/>
                <w:szCs w:val="18"/>
              </w:rPr>
            </w:pPr>
            <w:r w:rsidRPr="00022BA7">
              <w:rPr>
                <w:sz w:val="18"/>
                <w:szCs w:val="18"/>
              </w:rPr>
              <w:t>Towing Vessel-Ship/Harbor Assist-Oceans Service</w:t>
            </w:r>
          </w:p>
        </w:tc>
        <w:tc>
          <w:tcPr>
            <w:tcW w:w="2430" w:type="dxa"/>
            <w:noWrap/>
            <w:vAlign w:val="center"/>
            <w:hideMark/>
          </w:tcPr>
          <w:p w14:paraId="63A13B39" w14:textId="77777777" w:rsidR="00BC1F06" w:rsidRPr="00022BA7" w:rsidRDefault="00BC1F06" w:rsidP="00AA6375">
            <w:pPr>
              <w:rPr>
                <w:sz w:val="18"/>
                <w:szCs w:val="18"/>
              </w:rPr>
            </w:pPr>
            <w:r w:rsidRPr="00022BA7">
              <w:rPr>
                <w:sz w:val="18"/>
                <w:szCs w:val="18"/>
              </w:rPr>
              <w:t>Tug (Coastal-Harbor)</w:t>
            </w:r>
          </w:p>
        </w:tc>
      </w:tr>
      <w:tr w:rsidR="00BC1F06" w:rsidRPr="00022BA7" w14:paraId="78619A8C" w14:textId="77777777" w:rsidTr="00B60F61">
        <w:trPr>
          <w:trHeight w:val="300"/>
        </w:trPr>
        <w:tc>
          <w:tcPr>
            <w:tcW w:w="6925" w:type="dxa"/>
            <w:noWrap/>
            <w:vAlign w:val="center"/>
            <w:hideMark/>
          </w:tcPr>
          <w:p w14:paraId="686676B0" w14:textId="77777777" w:rsidR="00BC1F06" w:rsidRPr="00022BA7" w:rsidRDefault="00BC1F06" w:rsidP="00AA6375">
            <w:pPr>
              <w:rPr>
                <w:sz w:val="18"/>
                <w:szCs w:val="18"/>
              </w:rPr>
            </w:pPr>
            <w:r w:rsidRPr="00022BA7">
              <w:rPr>
                <w:sz w:val="18"/>
                <w:szCs w:val="18"/>
              </w:rPr>
              <w:t>Towing Vessel-Ship/Harbor Assist-Other</w:t>
            </w:r>
          </w:p>
        </w:tc>
        <w:tc>
          <w:tcPr>
            <w:tcW w:w="2430" w:type="dxa"/>
            <w:noWrap/>
            <w:vAlign w:val="center"/>
            <w:hideMark/>
          </w:tcPr>
          <w:p w14:paraId="3DE43F6A" w14:textId="77777777" w:rsidR="00BC1F06" w:rsidRPr="00022BA7" w:rsidRDefault="00BC1F06" w:rsidP="00AA6375">
            <w:pPr>
              <w:rPr>
                <w:sz w:val="18"/>
                <w:szCs w:val="18"/>
              </w:rPr>
            </w:pPr>
            <w:r w:rsidRPr="00022BA7">
              <w:rPr>
                <w:sz w:val="18"/>
                <w:szCs w:val="18"/>
              </w:rPr>
              <w:t>Tug (Coastal-Harbor)</w:t>
            </w:r>
          </w:p>
        </w:tc>
      </w:tr>
      <w:tr w:rsidR="00BC1F06" w:rsidRPr="00022BA7" w14:paraId="23DF931B" w14:textId="77777777" w:rsidTr="00B60F61">
        <w:trPr>
          <w:trHeight w:val="300"/>
        </w:trPr>
        <w:tc>
          <w:tcPr>
            <w:tcW w:w="6925" w:type="dxa"/>
            <w:noWrap/>
            <w:vAlign w:val="center"/>
            <w:hideMark/>
          </w:tcPr>
          <w:p w14:paraId="5372F348" w14:textId="77777777" w:rsidR="00BC1F06" w:rsidRPr="00022BA7" w:rsidRDefault="00BC1F06" w:rsidP="00AA6375">
            <w:pPr>
              <w:rPr>
                <w:sz w:val="18"/>
                <w:szCs w:val="18"/>
              </w:rPr>
            </w:pPr>
            <w:r w:rsidRPr="00022BA7">
              <w:rPr>
                <w:sz w:val="18"/>
                <w:szCs w:val="18"/>
              </w:rPr>
              <w:t>Towing Vessel-Single/Dual Mode ITB-Foreign Voyage</w:t>
            </w:r>
          </w:p>
        </w:tc>
        <w:tc>
          <w:tcPr>
            <w:tcW w:w="2430" w:type="dxa"/>
            <w:noWrap/>
            <w:vAlign w:val="center"/>
            <w:hideMark/>
          </w:tcPr>
          <w:p w14:paraId="7BEBE5E6" w14:textId="77777777" w:rsidR="00BC1F06" w:rsidRPr="00022BA7" w:rsidRDefault="00BC1F06" w:rsidP="00AA6375">
            <w:pPr>
              <w:rPr>
                <w:sz w:val="18"/>
                <w:szCs w:val="18"/>
              </w:rPr>
            </w:pPr>
            <w:r w:rsidRPr="00022BA7">
              <w:rPr>
                <w:sz w:val="18"/>
                <w:szCs w:val="18"/>
              </w:rPr>
              <w:t>Tug (ATB)</w:t>
            </w:r>
          </w:p>
        </w:tc>
      </w:tr>
      <w:tr w:rsidR="00BC1F06" w:rsidRPr="00022BA7" w14:paraId="18AF6093" w14:textId="77777777" w:rsidTr="00B60F61">
        <w:trPr>
          <w:trHeight w:val="300"/>
        </w:trPr>
        <w:tc>
          <w:tcPr>
            <w:tcW w:w="6925" w:type="dxa"/>
            <w:noWrap/>
            <w:vAlign w:val="center"/>
            <w:hideMark/>
          </w:tcPr>
          <w:p w14:paraId="531B31AC" w14:textId="77777777" w:rsidR="00BC1F06" w:rsidRPr="00022BA7" w:rsidRDefault="00BC1F06" w:rsidP="00AA6375">
            <w:pPr>
              <w:rPr>
                <w:sz w:val="18"/>
                <w:szCs w:val="18"/>
              </w:rPr>
            </w:pPr>
            <w:r w:rsidRPr="00022BA7">
              <w:rPr>
                <w:sz w:val="18"/>
                <w:szCs w:val="18"/>
              </w:rPr>
              <w:t>Towing Vessel-Single/Dual Mode ITB-International Voyage</w:t>
            </w:r>
          </w:p>
        </w:tc>
        <w:tc>
          <w:tcPr>
            <w:tcW w:w="2430" w:type="dxa"/>
            <w:noWrap/>
            <w:vAlign w:val="center"/>
            <w:hideMark/>
          </w:tcPr>
          <w:p w14:paraId="554D7C88" w14:textId="77777777" w:rsidR="00BC1F06" w:rsidRPr="00022BA7" w:rsidRDefault="00BC1F06" w:rsidP="00AA6375">
            <w:pPr>
              <w:rPr>
                <w:sz w:val="18"/>
                <w:szCs w:val="18"/>
              </w:rPr>
            </w:pPr>
            <w:r w:rsidRPr="00022BA7">
              <w:rPr>
                <w:sz w:val="18"/>
                <w:szCs w:val="18"/>
              </w:rPr>
              <w:t>Tug (ATB)</w:t>
            </w:r>
          </w:p>
        </w:tc>
      </w:tr>
      <w:tr w:rsidR="00BC1F06" w:rsidRPr="00022BA7" w14:paraId="48F1BC5E" w14:textId="77777777" w:rsidTr="00B60F61">
        <w:trPr>
          <w:trHeight w:val="300"/>
        </w:trPr>
        <w:tc>
          <w:tcPr>
            <w:tcW w:w="6925" w:type="dxa"/>
            <w:noWrap/>
            <w:vAlign w:val="center"/>
            <w:hideMark/>
          </w:tcPr>
          <w:p w14:paraId="1B18A1D9" w14:textId="77777777" w:rsidR="00BC1F06" w:rsidRPr="00022BA7" w:rsidRDefault="00BC1F06" w:rsidP="00AA6375">
            <w:pPr>
              <w:rPr>
                <w:sz w:val="18"/>
                <w:szCs w:val="18"/>
              </w:rPr>
            </w:pPr>
            <w:r w:rsidRPr="00022BA7">
              <w:rPr>
                <w:sz w:val="18"/>
                <w:szCs w:val="18"/>
              </w:rPr>
              <w:t>Towing Vessel-Single/Dual Mode ITB-Near Coastal/Great Lakes</w:t>
            </w:r>
          </w:p>
        </w:tc>
        <w:tc>
          <w:tcPr>
            <w:tcW w:w="2430" w:type="dxa"/>
            <w:noWrap/>
            <w:vAlign w:val="center"/>
            <w:hideMark/>
          </w:tcPr>
          <w:p w14:paraId="1B05CF63" w14:textId="77777777" w:rsidR="00BC1F06" w:rsidRPr="00022BA7" w:rsidRDefault="00BC1F06" w:rsidP="00AA6375">
            <w:pPr>
              <w:rPr>
                <w:sz w:val="18"/>
                <w:szCs w:val="18"/>
              </w:rPr>
            </w:pPr>
            <w:r w:rsidRPr="00022BA7">
              <w:rPr>
                <w:sz w:val="18"/>
                <w:szCs w:val="18"/>
              </w:rPr>
              <w:t>Tug (ATB)</w:t>
            </w:r>
          </w:p>
        </w:tc>
      </w:tr>
      <w:tr w:rsidR="00BC1F06" w:rsidRPr="00022BA7" w14:paraId="37F4E19B" w14:textId="77777777" w:rsidTr="00B60F61">
        <w:trPr>
          <w:trHeight w:val="300"/>
        </w:trPr>
        <w:tc>
          <w:tcPr>
            <w:tcW w:w="6925" w:type="dxa"/>
            <w:noWrap/>
            <w:vAlign w:val="center"/>
            <w:hideMark/>
          </w:tcPr>
          <w:p w14:paraId="7CD42CD9" w14:textId="77777777" w:rsidR="00BC1F06" w:rsidRPr="00022BA7" w:rsidRDefault="00BC1F06" w:rsidP="00AA6375">
            <w:pPr>
              <w:rPr>
                <w:sz w:val="18"/>
                <w:szCs w:val="18"/>
              </w:rPr>
            </w:pPr>
            <w:r w:rsidRPr="00022BA7">
              <w:rPr>
                <w:sz w:val="18"/>
                <w:szCs w:val="18"/>
              </w:rPr>
              <w:t>Towing Vessel-Single/Dual Mode ITB-Oceans Service</w:t>
            </w:r>
          </w:p>
        </w:tc>
        <w:tc>
          <w:tcPr>
            <w:tcW w:w="2430" w:type="dxa"/>
            <w:noWrap/>
            <w:vAlign w:val="center"/>
            <w:hideMark/>
          </w:tcPr>
          <w:p w14:paraId="72C984B4" w14:textId="77777777" w:rsidR="00BC1F06" w:rsidRPr="00022BA7" w:rsidRDefault="00BC1F06" w:rsidP="00AA6375">
            <w:pPr>
              <w:rPr>
                <w:sz w:val="18"/>
                <w:szCs w:val="18"/>
              </w:rPr>
            </w:pPr>
            <w:r w:rsidRPr="00022BA7">
              <w:rPr>
                <w:sz w:val="18"/>
                <w:szCs w:val="18"/>
              </w:rPr>
              <w:t>Tug (ATB)</w:t>
            </w:r>
          </w:p>
        </w:tc>
      </w:tr>
      <w:tr w:rsidR="00BC1F06" w:rsidRPr="00022BA7" w14:paraId="1A70E905" w14:textId="77777777" w:rsidTr="00B60F61">
        <w:trPr>
          <w:trHeight w:val="300"/>
        </w:trPr>
        <w:tc>
          <w:tcPr>
            <w:tcW w:w="6925" w:type="dxa"/>
            <w:noWrap/>
            <w:vAlign w:val="center"/>
            <w:hideMark/>
          </w:tcPr>
          <w:p w14:paraId="487FC6A8" w14:textId="77777777" w:rsidR="00BC1F06" w:rsidRPr="00022BA7" w:rsidRDefault="00BC1F06" w:rsidP="00AA6375">
            <w:pPr>
              <w:rPr>
                <w:sz w:val="18"/>
                <w:szCs w:val="18"/>
              </w:rPr>
            </w:pPr>
            <w:r w:rsidRPr="00022BA7">
              <w:rPr>
                <w:sz w:val="18"/>
                <w:szCs w:val="18"/>
              </w:rPr>
              <w:t>Towing Vessel-Towing Astern-Foreign Voyage</w:t>
            </w:r>
          </w:p>
        </w:tc>
        <w:tc>
          <w:tcPr>
            <w:tcW w:w="2430" w:type="dxa"/>
            <w:noWrap/>
            <w:vAlign w:val="center"/>
            <w:hideMark/>
          </w:tcPr>
          <w:p w14:paraId="68F50294" w14:textId="77777777" w:rsidR="00BC1F06" w:rsidRPr="00022BA7" w:rsidRDefault="00BC1F06" w:rsidP="00AA6375">
            <w:pPr>
              <w:rPr>
                <w:sz w:val="18"/>
                <w:szCs w:val="18"/>
              </w:rPr>
            </w:pPr>
            <w:r w:rsidRPr="00022BA7">
              <w:rPr>
                <w:sz w:val="18"/>
                <w:szCs w:val="18"/>
              </w:rPr>
              <w:t>Tug (Coastal-Harbor)</w:t>
            </w:r>
          </w:p>
        </w:tc>
      </w:tr>
      <w:tr w:rsidR="00BC1F06" w:rsidRPr="00022BA7" w14:paraId="0F2FE65C" w14:textId="77777777" w:rsidTr="00B60F61">
        <w:trPr>
          <w:trHeight w:val="300"/>
        </w:trPr>
        <w:tc>
          <w:tcPr>
            <w:tcW w:w="6925" w:type="dxa"/>
            <w:noWrap/>
            <w:vAlign w:val="center"/>
            <w:hideMark/>
          </w:tcPr>
          <w:p w14:paraId="78A824F4" w14:textId="77777777" w:rsidR="00BC1F06" w:rsidRPr="00022BA7" w:rsidRDefault="00BC1F06" w:rsidP="00AA6375">
            <w:pPr>
              <w:rPr>
                <w:sz w:val="18"/>
                <w:szCs w:val="18"/>
              </w:rPr>
            </w:pPr>
            <w:r w:rsidRPr="00022BA7">
              <w:rPr>
                <w:sz w:val="18"/>
                <w:szCs w:val="18"/>
              </w:rPr>
              <w:t>Towing Vessel-Towing Astern-Inland Service</w:t>
            </w:r>
          </w:p>
        </w:tc>
        <w:tc>
          <w:tcPr>
            <w:tcW w:w="2430" w:type="dxa"/>
            <w:noWrap/>
            <w:vAlign w:val="center"/>
            <w:hideMark/>
          </w:tcPr>
          <w:p w14:paraId="659E910F" w14:textId="77777777" w:rsidR="00BC1F06" w:rsidRPr="00022BA7" w:rsidRDefault="00BC1F06" w:rsidP="00AA6375">
            <w:pPr>
              <w:rPr>
                <w:sz w:val="18"/>
                <w:szCs w:val="18"/>
              </w:rPr>
            </w:pPr>
            <w:r w:rsidRPr="00022BA7">
              <w:rPr>
                <w:sz w:val="18"/>
                <w:szCs w:val="18"/>
              </w:rPr>
              <w:t>Tug (Inland-Push Boats)</w:t>
            </w:r>
          </w:p>
        </w:tc>
      </w:tr>
      <w:tr w:rsidR="00BC1F06" w:rsidRPr="00022BA7" w14:paraId="5F9A01D4" w14:textId="77777777" w:rsidTr="00B60F61">
        <w:trPr>
          <w:trHeight w:val="300"/>
        </w:trPr>
        <w:tc>
          <w:tcPr>
            <w:tcW w:w="6925" w:type="dxa"/>
            <w:noWrap/>
            <w:vAlign w:val="center"/>
            <w:hideMark/>
          </w:tcPr>
          <w:p w14:paraId="3BA51F34" w14:textId="77777777" w:rsidR="00BC1F06" w:rsidRPr="00022BA7" w:rsidRDefault="00BC1F06" w:rsidP="00AA6375">
            <w:pPr>
              <w:rPr>
                <w:sz w:val="18"/>
                <w:szCs w:val="18"/>
              </w:rPr>
            </w:pPr>
            <w:r w:rsidRPr="00022BA7">
              <w:rPr>
                <w:sz w:val="18"/>
                <w:szCs w:val="18"/>
              </w:rPr>
              <w:t>Towing Vessel-Towing Astern-International Voyage</w:t>
            </w:r>
          </w:p>
        </w:tc>
        <w:tc>
          <w:tcPr>
            <w:tcW w:w="2430" w:type="dxa"/>
            <w:noWrap/>
            <w:vAlign w:val="center"/>
            <w:hideMark/>
          </w:tcPr>
          <w:p w14:paraId="48AAE82E" w14:textId="77777777" w:rsidR="00BC1F06" w:rsidRPr="00022BA7" w:rsidRDefault="00BC1F06" w:rsidP="00AA6375">
            <w:pPr>
              <w:rPr>
                <w:sz w:val="18"/>
                <w:szCs w:val="18"/>
              </w:rPr>
            </w:pPr>
            <w:r w:rsidRPr="00022BA7">
              <w:rPr>
                <w:sz w:val="18"/>
                <w:szCs w:val="18"/>
              </w:rPr>
              <w:t>Tug (Coastal-Harbor)</w:t>
            </w:r>
          </w:p>
        </w:tc>
      </w:tr>
      <w:tr w:rsidR="00BC1F06" w:rsidRPr="00022BA7" w14:paraId="3BBCC795" w14:textId="77777777" w:rsidTr="00B60F61">
        <w:trPr>
          <w:trHeight w:val="300"/>
        </w:trPr>
        <w:tc>
          <w:tcPr>
            <w:tcW w:w="6925" w:type="dxa"/>
            <w:noWrap/>
            <w:vAlign w:val="center"/>
            <w:hideMark/>
          </w:tcPr>
          <w:p w14:paraId="3245090B" w14:textId="77777777" w:rsidR="00BC1F06" w:rsidRPr="00022BA7" w:rsidRDefault="00BC1F06" w:rsidP="00AA6375">
            <w:pPr>
              <w:rPr>
                <w:sz w:val="18"/>
                <w:szCs w:val="18"/>
              </w:rPr>
            </w:pPr>
            <w:r w:rsidRPr="00022BA7">
              <w:rPr>
                <w:sz w:val="18"/>
                <w:szCs w:val="18"/>
              </w:rPr>
              <w:t>Towing Vessel-Towing Astern-Near Coastal/Great Lakes</w:t>
            </w:r>
          </w:p>
        </w:tc>
        <w:tc>
          <w:tcPr>
            <w:tcW w:w="2430" w:type="dxa"/>
            <w:noWrap/>
            <w:vAlign w:val="center"/>
            <w:hideMark/>
          </w:tcPr>
          <w:p w14:paraId="1D78BB79" w14:textId="77777777" w:rsidR="00BC1F06" w:rsidRPr="00022BA7" w:rsidRDefault="00BC1F06" w:rsidP="00AA6375">
            <w:pPr>
              <w:rPr>
                <w:sz w:val="18"/>
                <w:szCs w:val="18"/>
              </w:rPr>
            </w:pPr>
            <w:r w:rsidRPr="00022BA7">
              <w:rPr>
                <w:sz w:val="18"/>
                <w:szCs w:val="18"/>
              </w:rPr>
              <w:t>Tug (Inland-Push Boats)</w:t>
            </w:r>
          </w:p>
        </w:tc>
      </w:tr>
      <w:tr w:rsidR="00BC1F06" w:rsidRPr="00022BA7" w14:paraId="2055F249" w14:textId="77777777" w:rsidTr="00B60F61">
        <w:trPr>
          <w:trHeight w:val="300"/>
        </w:trPr>
        <w:tc>
          <w:tcPr>
            <w:tcW w:w="6925" w:type="dxa"/>
            <w:noWrap/>
            <w:vAlign w:val="center"/>
            <w:hideMark/>
          </w:tcPr>
          <w:p w14:paraId="54416290" w14:textId="77777777" w:rsidR="00BC1F06" w:rsidRPr="00022BA7" w:rsidRDefault="00BC1F06" w:rsidP="00AA6375">
            <w:pPr>
              <w:rPr>
                <w:sz w:val="18"/>
                <w:szCs w:val="18"/>
              </w:rPr>
            </w:pPr>
            <w:r w:rsidRPr="00022BA7">
              <w:rPr>
                <w:sz w:val="18"/>
                <w:szCs w:val="18"/>
              </w:rPr>
              <w:t>Towing Vessel-Towing Astern-Oceans Service</w:t>
            </w:r>
          </w:p>
        </w:tc>
        <w:tc>
          <w:tcPr>
            <w:tcW w:w="2430" w:type="dxa"/>
            <w:noWrap/>
            <w:vAlign w:val="center"/>
            <w:hideMark/>
          </w:tcPr>
          <w:p w14:paraId="6B6F1A6F" w14:textId="77777777" w:rsidR="00BC1F06" w:rsidRPr="00022BA7" w:rsidRDefault="00BC1F06" w:rsidP="00AA6375">
            <w:pPr>
              <w:rPr>
                <w:sz w:val="18"/>
                <w:szCs w:val="18"/>
              </w:rPr>
            </w:pPr>
            <w:r w:rsidRPr="00022BA7">
              <w:rPr>
                <w:sz w:val="18"/>
                <w:szCs w:val="18"/>
              </w:rPr>
              <w:t>Tug (Coastal-Harbor)</w:t>
            </w:r>
          </w:p>
        </w:tc>
      </w:tr>
      <w:tr w:rsidR="00BC1F06" w:rsidRPr="00022BA7" w14:paraId="707BC15A" w14:textId="77777777" w:rsidTr="00B60F61">
        <w:trPr>
          <w:trHeight w:val="300"/>
        </w:trPr>
        <w:tc>
          <w:tcPr>
            <w:tcW w:w="6925" w:type="dxa"/>
            <w:noWrap/>
            <w:vAlign w:val="center"/>
            <w:hideMark/>
          </w:tcPr>
          <w:p w14:paraId="1C3CABF8" w14:textId="77777777" w:rsidR="00BC1F06" w:rsidRPr="00022BA7" w:rsidRDefault="00BC1F06" w:rsidP="00AA6375">
            <w:pPr>
              <w:rPr>
                <w:sz w:val="18"/>
                <w:szCs w:val="18"/>
              </w:rPr>
            </w:pPr>
            <w:r w:rsidRPr="00022BA7">
              <w:rPr>
                <w:sz w:val="18"/>
                <w:szCs w:val="18"/>
              </w:rPr>
              <w:t>Towing Vessel-Towing Astern-Other</w:t>
            </w:r>
          </w:p>
        </w:tc>
        <w:tc>
          <w:tcPr>
            <w:tcW w:w="2430" w:type="dxa"/>
            <w:noWrap/>
            <w:vAlign w:val="center"/>
            <w:hideMark/>
          </w:tcPr>
          <w:p w14:paraId="5E9E0D94" w14:textId="77777777" w:rsidR="00BC1F06" w:rsidRPr="00022BA7" w:rsidRDefault="00BC1F06" w:rsidP="00AA6375">
            <w:pPr>
              <w:rPr>
                <w:sz w:val="18"/>
                <w:szCs w:val="18"/>
              </w:rPr>
            </w:pPr>
            <w:r w:rsidRPr="00022BA7">
              <w:rPr>
                <w:sz w:val="18"/>
                <w:szCs w:val="18"/>
              </w:rPr>
              <w:t>Tug (Coastal-Harbor)</w:t>
            </w:r>
          </w:p>
        </w:tc>
      </w:tr>
      <w:tr w:rsidR="00BC1F06" w:rsidRPr="00022BA7" w14:paraId="5BCD38A7" w14:textId="77777777" w:rsidTr="00B60F61">
        <w:trPr>
          <w:trHeight w:val="300"/>
        </w:trPr>
        <w:tc>
          <w:tcPr>
            <w:tcW w:w="6925" w:type="dxa"/>
            <w:noWrap/>
            <w:vAlign w:val="center"/>
            <w:hideMark/>
          </w:tcPr>
          <w:p w14:paraId="56B58AB0" w14:textId="77777777" w:rsidR="00BC1F06" w:rsidRPr="00022BA7" w:rsidRDefault="00BC1F06" w:rsidP="00AA6375">
            <w:pPr>
              <w:rPr>
                <w:sz w:val="18"/>
                <w:szCs w:val="18"/>
              </w:rPr>
            </w:pPr>
            <w:r w:rsidRPr="00022BA7">
              <w:rPr>
                <w:sz w:val="18"/>
                <w:szCs w:val="18"/>
              </w:rPr>
              <w:t>Towing Vessel-Towing Behind (Tug)-Coastwise</w:t>
            </w:r>
          </w:p>
        </w:tc>
        <w:tc>
          <w:tcPr>
            <w:tcW w:w="2430" w:type="dxa"/>
            <w:noWrap/>
            <w:vAlign w:val="center"/>
            <w:hideMark/>
          </w:tcPr>
          <w:p w14:paraId="0D96587C" w14:textId="77777777" w:rsidR="00BC1F06" w:rsidRPr="00022BA7" w:rsidRDefault="00BC1F06" w:rsidP="00AA6375">
            <w:pPr>
              <w:rPr>
                <w:sz w:val="18"/>
                <w:szCs w:val="18"/>
              </w:rPr>
            </w:pPr>
            <w:r w:rsidRPr="00022BA7">
              <w:rPr>
                <w:sz w:val="18"/>
                <w:szCs w:val="18"/>
              </w:rPr>
              <w:t>Tug (Coastal-Harbor)</w:t>
            </w:r>
          </w:p>
        </w:tc>
      </w:tr>
      <w:tr w:rsidR="00BC1F06" w:rsidRPr="00022BA7" w14:paraId="17BD48EE" w14:textId="77777777" w:rsidTr="00B60F61">
        <w:trPr>
          <w:trHeight w:val="300"/>
        </w:trPr>
        <w:tc>
          <w:tcPr>
            <w:tcW w:w="6925" w:type="dxa"/>
            <w:noWrap/>
            <w:vAlign w:val="center"/>
            <w:hideMark/>
          </w:tcPr>
          <w:p w14:paraId="6B0353EE" w14:textId="77777777" w:rsidR="00BC1F06" w:rsidRPr="00022BA7" w:rsidRDefault="00BC1F06" w:rsidP="00AA6375">
            <w:pPr>
              <w:rPr>
                <w:sz w:val="18"/>
                <w:szCs w:val="18"/>
              </w:rPr>
            </w:pPr>
            <w:r w:rsidRPr="00022BA7">
              <w:rPr>
                <w:sz w:val="18"/>
                <w:szCs w:val="18"/>
              </w:rPr>
              <w:t>Towing Vessel-Towing Behind (Tug)-General</w:t>
            </w:r>
          </w:p>
        </w:tc>
        <w:tc>
          <w:tcPr>
            <w:tcW w:w="2430" w:type="dxa"/>
            <w:noWrap/>
            <w:vAlign w:val="center"/>
            <w:hideMark/>
          </w:tcPr>
          <w:p w14:paraId="79B7B590" w14:textId="77777777" w:rsidR="00BC1F06" w:rsidRPr="00022BA7" w:rsidRDefault="00BC1F06" w:rsidP="00AA6375">
            <w:pPr>
              <w:rPr>
                <w:sz w:val="18"/>
                <w:szCs w:val="18"/>
              </w:rPr>
            </w:pPr>
            <w:r w:rsidRPr="00022BA7">
              <w:rPr>
                <w:sz w:val="18"/>
                <w:szCs w:val="18"/>
              </w:rPr>
              <w:t>Tug (Coastal-Harbor)</w:t>
            </w:r>
          </w:p>
        </w:tc>
      </w:tr>
      <w:tr w:rsidR="00BC1F06" w:rsidRPr="00022BA7" w14:paraId="27ACCF02" w14:textId="77777777" w:rsidTr="00B60F61">
        <w:trPr>
          <w:trHeight w:val="300"/>
        </w:trPr>
        <w:tc>
          <w:tcPr>
            <w:tcW w:w="6925" w:type="dxa"/>
            <w:noWrap/>
            <w:vAlign w:val="center"/>
            <w:hideMark/>
          </w:tcPr>
          <w:p w14:paraId="53A3906D" w14:textId="77777777" w:rsidR="00BC1F06" w:rsidRPr="00022BA7" w:rsidRDefault="00BC1F06" w:rsidP="00AA6375">
            <w:pPr>
              <w:rPr>
                <w:sz w:val="18"/>
                <w:szCs w:val="18"/>
              </w:rPr>
            </w:pPr>
            <w:r w:rsidRPr="00022BA7">
              <w:rPr>
                <w:sz w:val="18"/>
                <w:szCs w:val="18"/>
              </w:rPr>
              <w:t>Towing Vessel-Towing Behind (Tug)-Inland</w:t>
            </w:r>
          </w:p>
        </w:tc>
        <w:tc>
          <w:tcPr>
            <w:tcW w:w="2430" w:type="dxa"/>
            <w:noWrap/>
            <w:vAlign w:val="center"/>
            <w:hideMark/>
          </w:tcPr>
          <w:p w14:paraId="44E887C1" w14:textId="77777777" w:rsidR="00BC1F06" w:rsidRPr="00022BA7" w:rsidRDefault="00BC1F06" w:rsidP="00AA6375">
            <w:pPr>
              <w:rPr>
                <w:sz w:val="18"/>
                <w:szCs w:val="18"/>
              </w:rPr>
            </w:pPr>
            <w:r w:rsidRPr="00022BA7">
              <w:rPr>
                <w:sz w:val="18"/>
                <w:szCs w:val="18"/>
              </w:rPr>
              <w:t>Tug (Inland-Push Boats)</w:t>
            </w:r>
          </w:p>
        </w:tc>
      </w:tr>
      <w:tr w:rsidR="00BC1F06" w:rsidRPr="00022BA7" w14:paraId="7327CB17" w14:textId="77777777" w:rsidTr="00B60F61">
        <w:trPr>
          <w:trHeight w:val="300"/>
        </w:trPr>
        <w:tc>
          <w:tcPr>
            <w:tcW w:w="6925" w:type="dxa"/>
            <w:noWrap/>
            <w:vAlign w:val="center"/>
            <w:hideMark/>
          </w:tcPr>
          <w:p w14:paraId="2B8E35AD" w14:textId="77777777" w:rsidR="00BC1F06" w:rsidRPr="00022BA7" w:rsidRDefault="00BC1F06" w:rsidP="00AA6375">
            <w:pPr>
              <w:rPr>
                <w:sz w:val="18"/>
                <w:szCs w:val="18"/>
              </w:rPr>
            </w:pPr>
            <w:r w:rsidRPr="00022BA7">
              <w:rPr>
                <w:sz w:val="18"/>
                <w:szCs w:val="18"/>
              </w:rPr>
              <w:t>Towing Vessel-Towing Behind (Tug)-Oceans</w:t>
            </w:r>
          </w:p>
        </w:tc>
        <w:tc>
          <w:tcPr>
            <w:tcW w:w="2430" w:type="dxa"/>
            <w:noWrap/>
            <w:vAlign w:val="center"/>
            <w:hideMark/>
          </w:tcPr>
          <w:p w14:paraId="09ADFF4C" w14:textId="77777777" w:rsidR="00BC1F06" w:rsidRPr="00022BA7" w:rsidRDefault="00BC1F06" w:rsidP="00AA6375">
            <w:pPr>
              <w:rPr>
                <w:sz w:val="18"/>
                <w:szCs w:val="18"/>
              </w:rPr>
            </w:pPr>
            <w:r w:rsidRPr="00022BA7">
              <w:rPr>
                <w:sz w:val="18"/>
                <w:szCs w:val="18"/>
              </w:rPr>
              <w:t>Tug (Coastal-Harbor)</w:t>
            </w:r>
          </w:p>
        </w:tc>
      </w:tr>
      <w:tr w:rsidR="00BC1F06" w:rsidRPr="00022BA7" w14:paraId="74250BED" w14:textId="77777777" w:rsidTr="00B60F61">
        <w:trPr>
          <w:trHeight w:val="300"/>
        </w:trPr>
        <w:tc>
          <w:tcPr>
            <w:tcW w:w="6925" w:type="dxa"/>
            <w:noWrap/>
            <w:vAlign w:val="center"/>
            <w:hideMark/>
          </w:tcPr>
          <w:p w14:paraId="58A7324E" w14:textId="77777777" w:rsidR="00BC1F06" w:rsidRPr="00022BA7" w:rsidRDefault="00BC1F06" w:rsidP="00AA6375">
            <w:pPr>
              <w:rPr>
                <w:sz w:val="18"/>
                <w:szCs w:val="18"/>
              </w:rPr>
            </w:pPr>
            <w:r w:rsidRPr="00022BA7">
              <w:rPr>
                <w:sz w:val="18"/>
                <w:szCs w:val="18"/>
              </w:rPr>
              <w:t>General Dry Cargo Ship-General-General 2</w:t>
            </w:r>
          </w:p>
        </w:tc>
        <w:tc>
          <w:tcPr>
            <w:tcW w:w="2430" w:type="dxa"/>
            <w:noWrap/>
            <w:vAlign w:val="center"/>
            <w:hideMark/>
          </w:tcPr>
          <w:p w14:paraId="2141CB68" w14:textId="77777777" w:rsidR="00BC1F06" w:rsidRPr="00022BA7" w:rsidRDefault="00BC1F06" w:rsidP="00AA6375">
            <w:pPr>
              <w:rPr>
                <w:sz w:val="18"/>
                <w:szCs w:val="18"/>
              </w:rPr>
            </w:pPr>
            <w:r w:rsidRPr="00022BA7">
              <w:rPr>
                <w:sz w:val="18"/>
                <w:szCs w:val="18"/>
              </w:rPr>
              <w:t>General Cargo</w:t>
            </w:r>
          </w:p>
        </w:tc>
      </w:tr>
      <w:tr w:rsidR="00BC1F06" w:rsidRPr="00022BA7" w14:paraId="115E2EB3" w14:textId="77777777" w:rsidTr="00B60F61">
        <w:trPr>
          <w:trHeight w:val="300"/>
        </w:trPr>
        <w:tc>
          <w:tcPr>
            <w:tcW w:w="6925" w:type="dxa"/>
            <w:noWrap/>
            <w:vAlign w:val="center"/>
            <w:hideMark/>
          </w:tcPr>
          <w:p w14:paraId="4C477750" w14:textId="77777777" w:rsidR="00BC1F06" w:rsidRPr="00022BA7" w:rsidRDefault="00BC1F06" w:rsidP="00AA6375">
            <w:pPr>
              <w:rPr>
                <w:sz w:val="18"/>
                <w:szCs w:val="18"/>
              </w:rPr>
            </w:pPr>
            <w:r w:rsidRPr="00022BA7">
              <w:rPr>
                <w:sz w:val="18"/>
                <w:szCs w:val="18"/>
              </w:rPr>
              <w:t>General Dry Cargo Ship-Pallets Carrier-General</w:t>
            </w:r>
          </w:p>
        </w:tc>
        <w:tc>
          <w:tcPr>
            <w:tcW w:w="2430" w:type="dxa"/>
            <w:noWrap/>
            <w:vAlign w:val="center"/>
            <w:hideMark/>
          </w:tcPr>
          <w:p w14:paraId="6CB90769" w14:textId="77777777" w:rsidR="00BC1F06" w:rsidRPr="00022BA7" w:rsidRDefault="00BC1F06" w:rsidP="00AA6375">
            <w:pPr>
              <w:rPr>
                <w:sz w:val="18"/>
                <w:szCs w:val="18"/>
              </w:rPr>
            </w:pPr>
            <w:r w:rsidRPr="00022BA7">
              <w:rPr>
                <w:sz w:val="18"/>
                <w:szCs w:val="18"/>
              </w:rPr>
              <w:t>General Cargo</w:t>
            </w:r>
          </w:p>
        </w:tc>
      </w:tr>
      <w:tr w:rsidR="00BC1F06" w:rsidRPr="00022BA7" w14:paraId="6E96E968" w14:textId="77777777" w:rsidTr="00B60F61">
        <w:trPr>
          <w:trHeight w:val="300"/>
        </w:trPr>
        <w:tc>
          <w:tcPr>
            <w:tcW w:w="6925" w:type="dxa"/>
            <w:noWrap/>
            <w:vAlign w:val="center"/>
            <w:hideMark/>
          </w:tcPr>
          <w:p w14:paraId="65323DB3" w14:textId="77777777" w:rsidR="00BC1F06" w:rsidRPr="00022BA7" w:rsidRDefault="00BC1F06" w:rsidP="00AA6375">
            <w:pPr>
              <w:rPr>
                <w:sz w:val="18"/>
                <w:szCs w:val="18"/>
              </w:rPr>
            </w:pPr>
            <w:r w:rsidRPr="00022BA7">
              <w:rPr>
                <w:sz w:val="18"/>
                <w:szCs w:val="18"/>
              </w:rPr>
              <w:t>General Dry Cargo Ship-Container Ship-General Cargo/Container</w:t>
            </w:r>
          </w:p>
        </w:tc>
        <w:tc>
          <w:tcPr>
            <w:tcW w:w="2430" w:type="dxa"/>
            <w:noWrap/>
            <w:vAlign w:val="center"/>
            <w:hideMark/>
          </w:tcPr>
          <w:p w14:paraId="5375F077" w14:textId="77777777" w:rsidR="00BC1F06" w:rsidRPr="00022BA7" w:rsidRDefault="00BC1F06" w:rsidP="00AA6375">
            <w:pPr>
              <w:rPr>
                <w:sz w:val="18"/>
                <w:szCs w:val="18"/>
              </w:rPr>
            </w:pPr>
            <w:r w:rsidRPr="00022BA7">
              <w:rPr>
                <w:sz w:val="18"/>
                <w:szCs w:val="18"/>
              </w:rPr>
              <w:t>Container</w:t>
            </w:r>
          </w:p>
        </w:tc>
      </w:tr>
      <w:tr w:rsidR="00BC1F06" w:rsidRPr="00022BA7" w14:paraId="585EE2EF" w14:textId="77777777" w:rsidTr="00B60F61">
        <w:trPr>
          <w:trHeight w:val="300"/>
        </w:trPr>
        <w:tc>
          <w:tcPr>
            <w:tcW w:w="6925" w:type="dxa"/>
            <w:noWrap/>
            <w:vAlign w:val="center"/>
            <w:hideMark/>
          </w:tcPr>
          <w:p w14:paraId="2E85355E" w14:textId="77777777" w:rsidR="00BC1F06" w:rsidRPr="00022BA7" w:rsidRDefault="00BC1F06" w:rsidP="00AA6375">
            <w:pPr>
              <w:rPr>
                <w:sz w:val="18"/>
                <w:szCs w:val="18"/>
              </w:rPr>
            </w:pPr>
            <w:r w:rsidRPr="00022BA7">
              <w:rPr>
                <w:sz w:val="18"/>
                <w:szCs w:val="18"/>
              </w:rPr>
              <w:t>General Dry Cargo Ship-General-General</w:t>
            </w:r>
          </w:p>
        </w:tc>
        <w:tc>
          <w:tcPr>
            <w:tcW w:w="2430" w:type="dxa"/>
            <w:noWrap/>
            <w:vAlign w:val="center"/>
            <w:hideMark/>
          </w:tcPr>
          <w:p w14:paraId="475D10EB" w14:textId="77777777" w:rsidR="00BC1F06" w:rsidRPr="00022BA7" w:rsidRDefault="00BC1F06" w:rsidP="00AA6375">
            <w:pPr>
              <w:rPr>
                <w:sz w:val="18"/>
                <w:szCs w:val="18"/>
              </w:rPr>
            </w:pPr>
            <w:r w:rsidRPr="00022BA7">
              <w:rPr>
                <w:sz w:val="18"/>
                <w:szCs w:val="18"/>
              </w:rPr>
              <w:t>General Cargo</w:t>
            </w:r>
          </w:p>
        </w:tc>
      </w:tr>
      <w:tr w:rsidR="00BC1F06" w:rsidRPr="00022BA7" w14:paraId="23570652" w14:textId="77777777" w:rsidTr="00B60F61">
        <w:trPr>
          <w:trHeight w:val="300"/>
        </w:trPr>
        <w:tc>
          <w:tcPr>
            <w:tcW w:w="6925" w:type="dxa"/>
            <w:noWrap/>
            <w:vAlign w:val="center"/>
            <w:hideMark/>
          </w:tcPr>
          <w:p w14:paraId="4B34C350" w14:textId="77777777" w:rsidR="00BC1F06" w:rsidRPr="00022BA7" w:rsidRDefault="00BC1F06" w:rsidP="00AA6375">
            <w:pPr>
              <w:rPr>
                <w:sz w:val="18"/>
                <w:szCs w:val="18"/>
              </w:rPr>
            </w:pPr>
            <w:r w:rsidRPr="00022BA7">
              <w:rPr>
                <w:sz w:val="18"/>
                <w:szCs w:val="18"/>
              </w:rPr>
              <w:t>General Dry Cargo Ship-Container Ship-Bulk/Container Carrier</w:t>
            </w:r>
          </w:p>
        </w:tc>
        <w:tc>
          <w:tcPr>
            <w:tcW w:w="2430" w:type="dxa"/>
            <w:noWrap/>
            <w:vAlign w:val="center"/>
            <w:hideMark/>
          </w:tcPr>
          <w:p w14:paraId="4235C1C2" w14:textId="77777777" w:rsidR="00BC1F06" w:rsidRPr="00022BA7" w:rsidRDefault="00BC1F06" w:rsidP="00AA6375">
            <w:pPr>
              <w:rPr>
                <w:sz w:val="18"/>
                <w:szCs w:val="18"/>
              </w:rPr>
            </w:pPr>
            <w:r w:rsidRPr="00022BA7">
              <w:rPr>
                <w:sz w:val="18"/>
                <w:szCs w:val="18"/>
              </w:rPr>
              <w:t>Container</w:t>
            </w:r>
          </w:p>
        </w:tc>
      </w:tr>
      <w:tr w:rsidR="00BC1F06" w:rsidRPr="00022BA7" w14:paraId="7BFE2A11" w14:textId="77777777" w:rsidTr="00B60F61">
        <w:trPr>
          <w:trHeight w:val="300"/>
        </w:trPr>
        <w:tc>
          <w:tcPr>
            <w:tcW w:w="6925" w:type="dxa"/>
            <w:noWrap/>
            <w:vAlign w:val="center"/>
            <w:hideMark/>
          </w:tcPr>
          <w:p w14:paraId="5C9A3F45" w14:textId="77777777" w:rsidR="00BC1F06" w:rsidRPr="00022BA7" w:rsidRDefault="00BC1F06" w:rsidP="00AA6375">
            <w:pPr>
              <w:rPr>
                <w:sz w:val="18"/>
                <w:szCs w:val="18"/>
              </w:rPr>
            </w:pPr>
            <w:r w:rsidRPr="00022BA7">
              <w:rPr>
                <w:sz w:val="18"/>
                <w:szCs w:val="18"/>
              </w:rPr>
              <w:t>General Dry Cargo Ship-Container Ship-General</w:t>
            </w:r>
          </w:p>
        </w:tc>
        <w:tc>
          <w:tcPr>
            <w:tcW w:w="2430" w:type="dxa"/>
            <w:noWrap/>
            <w:vAlign w:val="center"/>
            <w:hideMark/>
          </w:tcPr>
          <w:p w14:paraId="247A1ED9" w14:textId="77777777" w:rsidR="00BC1F06" w:rsidRPr="00022BA7" w:rsidRDefault="00BC1F06" w:rsidP="00AA6375">
            <w:pPr>
              <w:rPr>
                <w:sz w:val="18"/>
                <w:szCs w:val="18"/>
              </w:rPr>
            </w:pPr>
            <w:r w:rsidRPr="00022BA7">
              <w:rPr>
                <w:sz w:val="18"/>
                <w:szCs w:val="18"/>
              </w:rPr>
              <w:t>Container</w:t>
            </w:r>
          </w:p>
        </w:tc>
      </w:tr>
      <w:tr w:rsidR="00BC1F06" w:rsidRPr="00022BA7" w14:paraId="7EBE9AD8" w14:textId="77777777" w:rsidTr="00B60F61">
        <w:trPr>
          <w:trHeight w:val="300"/>
        </w:trPr>
        <w:tc>
          <w:tcPr>
            <w:tcW w:w="6925" w:type="dxa"/>
            <w:noWrap/>
            <w:vAlign w:val="center"/>
            <w:hideMark/>
          </w:tcPr>
          <w:p w14:paraId="60A0DA11" w14:textId="77777777" w:rsidR="00BC1F06" w:rsidRPr="00022BA7" w:rsidRDefault="00BC1F06" w:rsidP="00AA6375">
            <w:pPr>
              <w:rPr>
                <w:sz w:val="18"/>
                <w:szCs w:val="18"/>
              </w:rPr>
            </w:pPr>
            <w:r w:rsidRPr="00022BA7">
              <w:rPr>
                <w:sz w:val="18"/>
                <w:szCs w:val="18"/>
              </w:rPr>
              <w:t>General Dry Cargo Ship-Heavy Load Carrier-General</w:t>
            </w:r>
          </w:p>
        </w:tc>
        <w:tc>
          <w:tcPr>
            <w:tcW w:w="2430" w:type="dxa"/>
            <w:noWrap/>
            <w:vAlign w:val="center"/>
            <w:hideMark/>
          </w:tcPr>
          <w:p w14:paraId="15DA9CD0" w14:textId="77777777" w:rsidR="00BC1F06" w:rsidRPr="00022BA7" w:rsidRDefault="00BC1F06" w:rsidP="00AA6375">
            <w:pPr>
              <w:rPr>
                <w:sz w:val="18"/>
                <w:szCs w:val="18"/>
              </w:rPr>
            </w:pPr>
            <w:r w:rsidRPr="00022BA7">
              <w:rPr>
                <w:sz w:val="18"/>
                <w:szCs w:val="18"/>
              </w:rPr>
              <w:t>General Cargo</w:t>
            </w:r>
          </w:p>
        </w:tc>
      </w:tr>
      <w:tr w:rsidR="00BC1F06" w:rsidRPr="00022BA7" w14:paraId="75ACBD86" w14:textId="77777777" w:rsidTr="00B60F61">
        <w:trPr>
          <w:trHeight w:val="300"/>
        </w:trPr>
        <w:tc>
          <w:tcPr>
            <w:tcW w:w="6925" w:type="dxa"/>
            <w:noWrap/>
            <w:vAlign w:val="center"/>
            <w:hideMark/>
          </w:tcPr>
          <w:p w14:paraId="71475504" w14:textId="77777777" w:rsidR="00BC1F06" w:rsidRPr="00022BA7" w:rsidRDefault="00BC1F06" w:rsidP="00AA6375">
            <w:pPr>
              <w:rPr>
                <w:sz w:val="18"/>
                <w:szCs w:val="18"/>
              </w:rPr>
            </w:pPr>
            <w:r w:rsidRPr="00022BA7">
              <w:rPr>
                <w:sz w:val="18"/>
                <w:szCs w:val="18"/>
              </w:rPr>
              <w:t>Bulk Carrier-General-Self-Discharging</w:t>
            </w:r>
          </w:p>
        </w:tc>
        <w:tc>
          <w:tcPr>
            <w:tcW w:w="2430" w:type="dxa"/>
            <w:noWrap/>
            <w:vAlign w:val="center"/>
            <w:hideMark/>
          </w:tcPr>
          <w:p w14:paraId="589560BB" w14:textId="77777777" w:rsidR="00BC1F06" w:rsidRPr="00022BA7" w:rsidRDefault="00BC1F06" w:rsidP="00AA6375">
            <w:pPr>
              <w:rPr>
                <w:sz w:val="18"/>
                <w:szCs w:val="18"/>
              </w:rPr>
            </w:pPr>
            <w:r w:rsidRPr="00022BA7">
              <w:rPr>
                <w:sz w:val="18"/>
                <w:szCs w:val="18"/>
              </w:rPr>
              <w:t>Bulk Carrier</w:t>
            </w:r>
          </w:p>
        </w:tc>
      </w:tr>
      <w:tr w:rsidR="00BC1F06" w:rsidRPr="00022BA7" w14:paraId="0DA04476" w14:textId="77777777" w:rsidTr="00B60F61">
        <w:trPr>
          <w:trHeight w:val="300"/>
        </w:trPr>
        <w:tc>
          <w:tcPr>
            <w:tcW w:w="6925" w:type="dxa"/>
            <w:noWrap/>
            <w:vAlign w:val="center"/>
            <w:hideMark/>
          </w:tcPr>
          <w:p w14:paraId="7EEFA47A" w14:textId="77777777" w:rsidR="00BC1F06" w:rsidRPr="00022BA7" w:rsidRDefault="00BC1F06" w:rsidP="00AA6375">
            <w:pPr>
              <w:rPr>
                <w:sz w:val="18"/>
                <w:szCs w:val="18"/>
              </w:rPr>
            </w:pPr>
            <w:r w:rsidRPr="00022BA7">
              <w:rPr>
                <w:sz w:val="18"/>
                <w:szCs w:val="18"/>
              </w:rPr>
              <w:t>Bulk Carrier-General-General</w:t>
            </w:r>
          </w:p>
        </w:tc>
        <w:tc>
          <w:tcPr>
            <w:tcW w:w="2430" w:type="dxa"/>
            <w:noWrap/>
            <w:vAlign w:val="center"/>
            <w:hideMark/>
          </w:tcPr>
          <w:p w14:paraId="4A85E49D" w14:textId="77777777" w:rsidR="00BC1F06" w:rsidRPr="00022BA7" w:rsidRDefault="00BC1F06" w:rsidP="00AA6375">
            <w:pPr>
              <w:rPr>
                <w:sz w:val="18"/>
                <w:szCs w:val="18"/>
              </w:rPr>
            </w:pPr>
            <w:r w:rsidRPr="00022BA7">
              <w:rPr>
                <w:sz w:val="18"/>
                <w:szCs w:val="18"/>
              </w:rPr>
              <w:t>Bulk Carrier</w:t>
            </w:r>
          </w:p>
        </w:tc>
      </w:tr>
      <w:tr w:rsidR="00BC1F06" w:rsidRPr="00022BA7" w14:paraId="063E6E28" w14:textId="77777777" w:rsidTr="00B60F61">
        <w:trPr>
          <w:trHeight w:val="300"/>
        </w:trPr>
        <w:tc>
          <w:tcPr>
            <w:tcW w:w="6925" w:type="dxa"/>
            <w:noWrap/>
            <w:vAlign w:val="center"/>
            <w:hideMark/>
          </w:tcPr>
          <w:p w14:paraId="586F2C25" w14:textId="77777777" w:rsidR="00BC1F06" w:rsidRPr="00022BA7" w:rsidRDefault="00BC1F06" w:rsidP="00AA6375">
            <w:pPr>
              <w:rPr>
                <w:sz w:val="18"/>
                <w:szCs w:val="18"/>
              </w:rPr>
            </w:pPr>
            <w:r w:rsidRPr="00022BA7">
              <w:rPr>
                <w:sz w:val="18"/>
                <w:szCs w:val="18"/>
              </w:rPr>
              <w:t>Bulk Carrier-Ore Carrier-Self-Discharging</w:t>
            </w:r>
          </w:p>
        </w:tc>
        <w:tc>
          <w:tcPr>
            <w:tcW w:w="2430" w:type="dxa"/>
            <w:noWrap/>
            <w:vAlign w:val="center"/>
            <w:hideMark/>
          </w:tcPr>
          <w:p w14:paraId="3BFD7A02" w14:textId="77777777" w:rsidR="00BC1F06" w:rsidRPr="00022BA7" w:rsidRDefault="00BC1F06" w:rsidP="00AA6375">
            <w:pPr>
              <w:rPr>
                <w:sz w:val="18"/>
                <w:szCs w:val="18"/>
              </w:rPr>
            </w:pPr>
            <w:r w:rsidRPr="00022BA7">
              <w:rPr>
                <w:sz w:val="18"/>
                <w:szCs w:val="18"/>
              </w:rPr>
              <w:t>Bulk Carrier</w:t>
            </w:r>
          </w:p>
        </w:tc>
      </w:tr>
    </w:tbl>
    <w:p w14:paraId="24149653" w14:textId="77777777" w:rsidR="00BC1F06" w:rsidRPr="00CF49C4" w:rsidRDefault="00BC1F06" w:rsidP="00BC1F06">
      <w:pPr>
        <w:rPr>
          <w:sz w:val="16"/>
          <w:szCs w:val="16"/>
        </w:rPr>
      </w:pPr>
      <w:r w:rsidRPr="00CF49C4">
        <w:rPr>
          <w:sz w:val="16"/>
          <w:szCs w:val="16"/>
        </w:rPr>
        <w:t xml:space="preserve">* </w:t>
      </w:r>
      <w:r>
        <w:rPr>
          <w:sz w:val="16"/>
          <w:szCs w:val="16"/>
        </w:rPr>
        <w:t>S</w:t>
      </w:r>
      <w:r w:rsidRPr="00CF49C4">
        <w:rPr>
          <w:sz w:val="16"/>
          <w:szCs w:val="16"/>
        </w:rPr>
        <w:t>hip types such as offshore or fishing ships that are out of scope of this study are not included in the list</w:t>
      </w:r>
    </w:p>
    <w:p w14:paraId="259083C0" w14:textId="3B0B1438" w:rsidR="00BC1F06" w:rsidRDefault="00BC1F06">
      <w:pPr>
        <w:widowControl/>
        <w:spacing w:line="240" w:lineRule="auto"/>
        <w:rPr>
          <w:rFonts w:eastAsiaTheme="majorEastAsia" w:cstheme="majorBidi"/>
          <w:b/>
          <w:sz w:val="24"/>
        </w:rPr>
      </w:pPr>
    </w:p>
    <w:p w14:paraId="331379F1" w14:textId="77777777" w:rsidR="00BC1F06" w:rsidRDefault="00BC1F06">
      <w:pPr>
        <w:widowControl/>
        <w:spacing w:line="240" w:lineRule="auto"/>
        <w:rPr>
          <w:rFonts w:eastAsiaTheme="majorEastAsia" w:cstheme="majorBidi"/>
          <w:b/>
          <w:sz w:val="24"/>
        </w:rPr>
      </w:pPr>
    </w:p>
    <w:p w14:paraId="44D6E8ED" w14:textId="77777777" w:rsidR="00721F39" w:rsidRDefault="00721F39">
      <w:pPr>
        <w:widowControl/>
        <w:spacing w:line="240" w:lineRule="auto"/>
        <w:rPr>
          <w:rFonts w:cs="Times New Roman"/>
          <w:b/>
          <w:szCs w:val="20"/>
        </w:rPr>
      </w:pPr>
      <w:bookmarkStart w:id="98" w:name="_Ref141671650"/>
      <w:bookmarkStart w:id="99" w:name="_Toc138986333"/>
      <w:r>
        <w:br w:type="page"/>
      </w:r>
    </w:p>
    <w:p w14:paraId="4C6ACE4F" w14:textId="6DABF956" w:rsidR="00D47FCA" w:rsidRDefault="005C380B" w:rsidP="00BC1F06">
      <w:pPr>
        <w:pStyle w:val="Caption"/>
        <w:keepNext/>
        <w:spacing w:line="240" w:lineRule="auto"/>
      </w:pPr>
      <w:bookmarkStart w:id="100" w:name="_Ref146542157"/>
      <w:bookmarkStart w:id="101" w:name="_Toc146723127"/>
      <w:r>
        <w:t xml:space="preserve">Supplementary </w:t>
      </w:r>
      <w:r w:rsidR="00BC1F06" w:rsidRPr="00022BA7">
        <w:t xml:space="preserve">Table </w:t>
      </w:r>
      <w:r w:rsidR="00590C69">
        <w:fldChar w:fldCharType="begin"/>
      </w:r>
      <w:r w:rsidR="00590C69">
        <w:instrText xml:space="preserve"> SEQ Table \* ARABIC </w:instrText>
      </w:r>
      <w:r w:rsidR="00590C69">
        <w:fldChar w:fldCharType="separate"/>
      </w:r>
      <w:r w:rsidR="00C661AC">
        <w:rPr>
          <w:noProof/>
        </w:rPr>
        <w:t>2</w:t>
      </w:r>
      <w:r w:rsidR="00590C69">
        <w:rPr>
          <w:noProof/>
        </w:rPr>
        <w:fldChar w:fldCharType="end"/>
      </w:r>
      <w:bookmarkEnd w:id="98"/>
      <w:bookmarkEnd w:id="100"/>
      <w:r w:rsidR="00BC1F06" w:rsidRPr="00022BA7">
        <w:t xml:space="preserve">. </w:t>
      </w:r>
      <w:bookmarkStart w:id="102" w:name="_Ref146647027"/>
      <w:r w:rsidR="00BC1F06" w:rsidRPr="0082101F">
        <w:t>Mapping IHS Vessel Types to Study-Specific Vessel Categories</w:t>
      </w:r>
      <w:r>
        <w:t>.</w:t>
      </w:r>
      <w:bookmarkEnd w:id="101"/>
      <w:bookmarkEnd w:id="102"/>
      <w:r>
        <w:t xml:space="preserve"> </w:t>
      </w:r>
    </w:p>
    <w:p w14:paraId="37F35A37" w14:textId="2CDD30A8" w:rsidR="00844792" w:rsidRDefault="00844792" w:rsidP="00D47FCA">
      <w:r w:rsidRPr="002838F7">
        <w:t>We merged ship lists from the U.S. Coast Guard</w:t>
      </w:r>
      <w:r>
        <w:fldChar w:fldCharType="begin"/>
      </w:r>
      <w:r w:rsidR="00720E96">
        <w:instrText xml:space="preserve"> ADDIN ZOTERO_ITEM CSL_CITATION {"citationID":"lCj8Acz9","properties":{"formattedCitation":"\\super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fldChar w:fldCharType="separate"/>
      </w:r>
      <w:r w:rsidRPr="00D015ED">
        <w:rPr>
          <w:rFonts w:cs="Times New Roman"/>
          <w:szCs w:val="24"/>
          <w:vertAlign w:val="superscript"/>
        </w:rPr>
        <w:t>1</w:t>
      </w:r>
      <w:r>
        <w:fldChar w:fldCharType="end"/>
      </w:r>
      <w:r w:rsidRPr="002838F7">
        <w:t>, IHS Markit</w:t>
      </w:r>
      <w:r>
        <w:fldChar w:fldCharType="begin"/>
      </w:r>
      <w:r w:rsidR="00720E96">
        <w:instrText xml:space="preserve"> ADDIN ZOTERO_ITEM CSL_CITATION {"citationID":"Xh1rtORt","properties":{"formattedCitation":"\\super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fldChar w:fldCharType="separate"/>
      </w:r>
      <w:r w:rsidRPr="00D015ED">
        <w:rPr>
          <w:rFonts w:cs="Times New Roman"/>
          <w:szCs w:val="24"/>
          <w:vertAlign w:val="superscript"/>
        </w:rPr>
        <w:t>3</w:t>
      </w:r>
      <w:r>
        <w:fldChar w:fldCharType="end"/>
      </w:r>
      <w:r w:rsidRPr="002838F7">
        <w:t>, and U.S. Army Corps of Engineers</w:t>
      </w:r>
      <w:r>
        <w:fldChar w:fldCharType="begin"/>
      </w:r>
      <w:r w:rsidR="00720E96">
        <w:instrText xml:space="preserve"> ADDIN ZOTERO_ITEM CSL_CITATION {"citationID":"10JuMA51","properties":{"formattedCitation":"\\super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fldChar w:fldCharType="separate"/>
      </w:r>
      <w:r w:rsidRPr="004149F3">
        <w:rPr>
          <w:rFonts w:cs="Times New Roman"/>
          <w:szCs w:val="24"/>
          <w:vertAlign w:val="superscript"/>
        </w:rPr>
        <w:t>2</w:t>
      </w:r>
      <w:r>
        <w:fldChar w:fldCharType="end"/>
      </w:r>
      <w:r w:rsidRPr="002838F7">
        <w:t xml:space="preserve"> into a single integrated ship list. Among these lists, USCG</w:t>
      </w:r>
      <w:r>
        <w:fldChar w:fldCharType="begin"/>
      </w:r>
      <w:r w:rsidR="00720E96">
        <w:instrText xml:space="preserve"> ADDIN ZOTERO_ITEM CSL_CITATION {"citationID":"2LDfavp9","properties":{"formattedCitation":"\\super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fldChar w:fldCharType="separate"/>
      </w:r>
      <w:r w:rsidRPr="00D015ED">
        <w:rPr>
          <w:rFonts w:cs="Times New Roman"/>
          <w:szCs w:val="24"/>
          <w:vertAlign w:val="superscript"/>
        </w:rPr>
        <w:t>1</w:t>
      </w:r>
      <w:r>
        <w:fldChar w:fldCharType="end"/>
      </w:r>
      <w:r>
        <w:t xml:space="preserve"> </w:t>
      </w:r>
      <w:r w:rsidRPr="002838F7">
        <w:t>and IHS</w:t>
      </w:r>
      <w:r>
        <w:fldChar w:fldCharType="begin"/>
      </w:r>
      <w:r w:rsidR="00720E96">
        <w:instrText xml:space="preserve"> ADDIN ZOTERO_ITEM CSL_CITATION {"citationID":"ETasSKDj","properties":{"formattedCitation":"\\super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fldChar w:fldCharType="separate"/>
      </w:r>
      <w:r w:rsidRPr="00D015ED">
        <w:rPr>
          <w:rFonts w:cs="Times New Roman"/>
          <w:szCs w:val="24"/>
          <w:vertAlign w:val="superscript"/>
        </w:rPr>
        <w:t>3</w:t>
      </w:r>
      <w:r>
        <w:fldChar w:fldCharType="end"/>
      </w:r>
      <w:r>
        <w:t xml:space="preserve"> </w:t>
      </w:r>
      <w:r w:rsidRPr="002838F7">
        <w:t>lists have their own way of categorizing ships, while USACE</w:t>
      </w:r>
      <w:r>
        <w:fldChar w:fldCharType="begin"/>
      </w:r>
      <w:r w:rsidR="00720E96">
        <w:instrText xml:space="preserve"> ADDIN ZOTERO_ITEM CSL_CITATION {"citationID":"tzL32BLc","properties":{"formattedCitation":"\\super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fldChar w:fldCharType="separate"/>
      </w:r>
      <w:r w:rsidRPr="004149F3">
        <w:rPr>
          <w:rFonts w:cs="Times New Roman"/>
          <w:szCs w:val="24"/>
          <w:vertAlign w:val="superscript"/>
        </w:rPr>
        <w:t>2</w:t>
      </w:r>
      <w:r>
        <w:fldChar w:fldCharType="end"/>
      </w:r>
      <w:r>
        <w:t xml:space="preserve"> </w:t>
      </w:r>
      <w:r w:rsidRPr="002838F7">
        <w:t xml:space="preserve">does not include detailed ship categorization. To make an integrated ship list, we mapped the ship types in each list into nine ship types as shown in </w:t>
      </w:r>
      <w:r>
        <w:t>this table</w:t>
      </w:r>
      <w:r w:rsidRPr="002838F7">
        <w:t>.</w:t>
      </w:r>
    </w:p>
    <w:p w14:paraId="52961E43" w14:textId="77777777" w:rsidR="00844792" w:rsidRDefault="00844792" w:rsidP="00D47FCA"/>
    <w:p w14:paraId="1C59ADE1" w14:textId="77777777" w:rsidR="00916AA7" w:rsidRPr="00916AA7" w:rsidRDefault="00916AA7" w:rsidP="00916AA7"/>
    <w:tbl>
      <w:tblPr>
        <w:tblStyle w:val="TableGrid"/>
        <w:tblW w:w="9355" w:type="dxa"/>
        <w:tblLook w:val="04A0" w:firstRow="1" w:lastRow="0" w:firstColumn="1" w:lastColumn="0" w:noHBand="0" w:noVBand="1"/>
      </w:tblPr>
      <w:tblGrid>
        <w:gridCol w:w="6925"/>
        <w:gridCol w:w="2430"/>
      </w:tblGrid>
      <w:tr w:rsidR="00BC1F06" w:rsidRPr="00022BA7" w14:paraId="02795B85" w14:textId="77777777" w:rsidTr="00AA6375">
        <w:trPr>
          <w:trHeight w:val="300"/>
        </w:trPr>
        <w:tc>
          <w:tcPr>
            <w:tcW w:w="6925" w:type="dxa"/>
            <w:shd w:val="clear" w:color="auto" w:fill="D9D9D9" w:themeFill="background1" w:themeFillShade="D9"/>
            <w:noWrap/>
            <w:vAlign w:val="center"/>
            <w:hideMark/>
          </w:tcPr>
          <w:p w14:paraId="74629725" w14:textId="77777777" w:rsidR="00BC1F06" w:rsidRPr="00022BA7" w:rsidRDefault="00BC1F06" w:rsidP="00AA6375">
            <w:pPr>
              <w:rPr>
                <w:sz w:val="18"/>
                <w:szCs w:val="18"/>
              </w:rPr>
            </w:pPr>
            <w:r w:rsidRPr="00022BA7">
              <w:rPr>
                <w:sz w:val="18"/>
                <w:szCs w:val="18"/>
              </w:rPr>
              <w:t>Ship Type Level5 in IHS List</w:t>
            </w:r>
            <w:r>
              <w:rPr>
                <w:sz w:val="18"/>
                <w:szCs w:val="18"/>
              </w:rPr>
              <w:t>*</w:t>
            </w:r>
          </w:p>
        </w:tc>
        <w:tc>
          <w:tcPr>
            <w:tcW w:w="2430" w:type="dxa"/>
            <w:shd w:val="clear" w:color="auto" w:fill="D9D9D9" w:themeFill="background1" w:themeFillShade="D9"/>
            <w:noWrap/>
            <w:vAlign w:val="center"/>
            <w:hideMark/>
          </w:tcPr>
          <w:p w14:paraId="054D5317" w14:textId="77777777" w:rsidR="00BC1F06" w:rsidRPr="00022BA7" w:rsidRDefault="00BC1F06" w:rsidP="00AA6375">
            <w:pPr>
              <w:rPr>
                <w:sz w:val="18"/>
                <w:szCs w:val="18"/>
              </w:rPr>
            </w:pPr>
            <w:r w:rsidRPr="00022BA7">
              <w:rPr>
                <w:b/>
                <w:sz w:val="18"/>
                <w:szCs w:val="18"/>
              </w:rPr>
              <w:t>Vessel Type in This Study</w:t>
            </w:r>
          </w:p>
        </w:tc>
      </w:tr>
      <w:tr w:rsidR="00BC1F06" w:rsidRPr="00022BA7" w14:paraId="7C8EA27E" w14:textId="77777777" w:rsidTr="00AA6375">
        <w:trPr>
          <w:trHeight w:val="300"/>
        </w:trPr>
        <w:tc>
          <w:tcPr>
            <w:tcW w:w="6925" w:type="dxa"/>
            <w:noWrap/>
            <w:vAlign w:val="center"/>
            <w:hideMark/>
          </w:tcPr>
          <w:p w14:paraId="04B8BFB5" w14:textId="77777777" w:rsidR="00BC1F06" w:rsidRPr="00022BA7" w:rsidRDefault="00BC1F06" w:rsidP="00AA6375">
            <w:pPr>
              <w:rPr>
                <w:sz w:val="18"/>
                <w:szCs w:val="18"/>
              </w:rPr>
            </w:pPr>
            <w:r w:rsidRPr="00022BA7">
              <w:rPr>
                <w:sz w:val="18"/>
                <w:szCs w:val="18"/>
              </w:rPr>
              <w:t>Bulk Carrier</w:t>
            </w:r>
          </w:p>
        </w:tc>
        <w:tc>
          <w:tcPr>
            <w:tcW w:w="2430" w:type="dxa"/>
            <w:noWrap/>
            <w:vAlign w:val="center"/>
            <w:hideMark/>
          </w:tcPr>
          <w:p w14:paraId="3E9F33AF" w14:textId="77777777" w:rsidR="00BC1F06" w:rsidRPr="00022BA7" w:rsidRDefault="00BC1F06" w:rsidP="00AA6375">
            <w:pPr>
              <w:rPr>
                <w:sz w:val="18"/>
                <w:szCs w:val="18"/>
              </w:rPr>
            </w:pPr>
            <w:r w:rsidRPr="00022BA7">
              <w:rPr>
                <w:sz w:val="18"/>
                <w:szCs w:val="18"/>
              </w:rPr>
              <w:t>Bulk Carrier</w:t>
            </w:r>
          </w:p>
        </w:tc>
      </w:tr>
      <w:tr w:rsidR="00BC1F06" w:rsidRPr="00022BA7" w14:paraId="556AB393" w14:textId="77777777" w:rsidTr="00AA6375">
        <w:trPr>
          <w:trHeight w:val="300"/>
        </w:trPr>
        <w:tc>
          <w:tcPr>
            <w:tcW w:w="6925" w:type="dxa"/>
            <w:noWrap/>
            <w:vAlign w:val="center"/>
            <w:hideMark/>
          </w:tcPr>
          <w:p w14:paraId="06FCBC34" w14:textId="77777777" w:rsidR="00BC1F06" w:rsidRPr="00022BA7" w:rsidRDefault="00BC1F06" w:rsidP="00AA6375">
            <w:pPr>
              <w:rPr>
                <w:sz w:val="18"/>
                <w:szCs w:val="18"/>
              </w:rPr>
            </w:pPr>
            <w:r w:rsidRPr="00022BA7">
              <w:rPr>
                <w:sz w:val="18"/>
                <w:szCs w:val="18"/>
              </w:rPr>
              <w:t>Bulk Carrier, Laker Only</w:t>
            </w:r>
          </w:p>
        </w:tc>
        <w:tc>
          <w:tcPr>
            <w:tcW w:w="2430" w:type="dxa"/>
            <w:noWrap/>
            <w:vAlign w:val="center"/>
            <w:hideMark/>
          </w:tcPr>
          <w:p w14:paraId="28CCD741" w14:textId="77777777" w:rsidR="00BC1F06" w:rsidRPr="00022BA7" w:rsidRDefault="00BC1F06" w:rsidP="00AA6375">
            <w:pPr>
              <w:rPr>
                <w:sz w:val="18"/>
                <w:szCs w:val="18"/>
              </w:rPr>
            </w:pPr>
            <w:r w:rsidRPr="00022BA7">
              <w:rPr>
                <w:sz w:val="18"/>
                <w:szCs w:val="18"/>
              </w:rPr>
              <w:t>Bulk Carrier, Laker</w:t>
            </w:r>
          </w:p>
        </w:tc>
      </w:tr>
      <w:tr w:rsidR="00BC1F06" w:rsidRPr="00022BA7" w14:paraId="13C20AE9" w14:textId="77777777" w:rsidTr="00AA6375">
        <w:trPr>
          <w:trHeight w:val="300"/>
        </w:trPr>
        <w:tc>
          <w:tcPr>
            <w:tcW w:w="6925" w:type="dxa"/>
            <w:noWrap/>
            <w:vAlign w:val="center"/>
            <w:hideMark/>
          </w:tcPr>
          <w:p w14:paraId="7977FBDF" w14:textId="77777777" w:rsidR="00BC1F06" w:rsidRPr="00022BA7" w:rsidRDefault="00BC1F06" w:rsidP="00AA6375">
            <w:pPr>
              <w:rPr>
                <w:sz w:val="18"/>
                <w:szCs w:val="18"/>
              </w:rPr>
            </w:pPr>
            <w:r w:rsidRPr="00022BA7">
              <w:rPr>
                <w:sz w:val="18"/>
                <w:szCs w:val="18"/>
              </w:rPr>
              <w:t>Aggregates Carrier</w:t>
            </w:r>
          </w:p>
        </w:tc>
        <w:tc>
          <w:tcPr>
            <w:tcW w:w="2430" w:type="dxa"/>
            <w:noWrap/>
            <w:vAlign w:val="center"/>
            <w:hideMark/>
          </w:tcPr>
          <w:p w14:paraId="0B068251" w14:textId="77777777" w:rsidR="00BC1F06" w:rsidRPr="00022BA7" w:rsidRDefault="00BC1F06" w:rsidP="00AA6375">
            <w:pPr>
              <w:rPr>
                <w:sz w:val="18"/>
                <w:szCs w:val="18"/>
              </w:rPr>
            </w:pPr>
            <w:r w:rsidRPr="00022BA7">
              <w:rPr>
                <w:sz w:val="18"/>
                <w:szCs w:val="18"/>
              </w:rPr>
              <w:t>Bulk Carrier</w:t>
            </w:r>
          </w:p>
        </w:tc>
      </w:tr>
      <w:tr w:rsidR="00BC1F06" w:rsidRPr="00022BA7" w14:paraId="10B7F7E5" w14:textId="77777777" w:rsidTr="00AA6375">
        <w:trPr>
          <w:trHeight w:val="300"/>
        </w:trPr>
        <w:tc>
          <w:tcPr>
            <w:tcW w:w="6925" w:type="dxa"/>
            <w:noWrap/>
            <w:vAlign w:val="center"/>
            <w:hideMark/>
          </w:tcPr>
          <w:p w14:paraId="162949F0" w14:textId="77777777" w:rsidR="00BC1F06" w:rsidRPr="00022BA7" w:rsidRDefault="00BC1F06" w:rsidP="00AA6375">
            <w:pPr>
              <w:rPr>
                <w:sz w:val="18"/>
                <w:szCs w:val="18"/>
              </w:rPr>
            </w:pPr>
            <w:r w:rsidRPr="00022BA7">
              <w:rPr>
                <w:sz w:val="18"/>
                <w:szCs w:val="18"/>
              </w:rPr>
              <w:t>Bulk Carrier, Self-discharging, Laker</w:t>
            </w:r>
          </w:p>
        </w:tc>
        <w:tc>
          <w:tcPr>
            <w:tcW w:w="2430" w:type="dxa"/>
            <w:noWrap/>
            <w:vAlign w:val="center"/>
            <w:hideMark/>
          </w:tcPr>
          <w:p w14:paraId="490645FE" w14:textId="77777777" w:rsidR="00BC1F06" w:rsidRPr="00022BA7" w:rsidRDefault="00BC1F06" w:rsidP="00AA6375">
            <w:pPr>
              <w:rPr>
                <w:sz w:val="18"/>
                <w:szCs w:val="18"/>
              </w:rPr>
            </w:pPr>
            <w:r w:rsidRPr="00022BA7">
              <w:rPr>
                <w:sz w:val="18"/>
                <w:szCs w:val="18"/>
              </w:rPr>
              <w:t>Bulk Carrier, Laker</w:t>
            </w:r>
          </w:p>
        </w:tc>
      </w:tr>
      <w:tr w:rsidR="00BC1F06" w:rsidRPr="00022BA7" w14:paraId="2D095299" w14:textId="77777777" w:rsidTr="00AA6375">
        <w:trPr>
          <w:trHeight w:val="300"/>
        </w:trPr>
        <w:tc>
          <w:tcPr>
            <w:tcW w:w="6925" w:type="dxa"/>
            <w:noWrap/>
            <w:vAlign w:val="center"/>
            <w:hideMark/>
          </w:tcPr>
          <w:p w14:paraId="7CADBEC4" w14:textId="77777777" w:rsidR="00BC1F06" w:rsidRPr="00022BA7" w:rsidRDefault="00BC1F06" w:rsidP="00AA6375">
            <w:pPr>
              <w:rPr>
                <w:sz w:val="18"/>
                <w:szCs w:val="18"/>
              </w:rPr>
            </w:pPr>
            <w:r w:rsidRPr="00022BA7">
              <w:rPr>
                <w:sz w:val="18"/>
                <w:szCs w:val="18"/>
              </w:rPr>
              <w:t>Container Ship (Fully Cellular)</w:t>
            </w:r>
          </w:p>
        </w:tc>
        <w:tc>
          <w:tcPr>
            <w:tcW w:w="2430" w:type="dxa"/>
            <w:noWrap/>
            <w:vAlign w:val="center"/>
            <w:hideMark/>
          </w:tcPr>
          <w:p w14:paraId="307C5659" w14:textId="77777777" w:rsidR="00BC1F06" w:rsidRPr="00022BA7" w:rsidRDefault="00BC1F06" w:rsidP="00AA6375">
            <w:pPr>
              <w:rPr>
                <w:sz w:val="18"/>
                <w:szCs w:val="18"/>
              </w:rPr>
            </w:pPr>
            <w:r w:rsidRPr="00022BA7">
              <w:rPr>
                <w:sz w:val="18"/>
                <w:szCs w:val="18"/>
              </w:rPr>
              <w:t>Container</w:t>
            </w:r>
          </w:p>
        </w:tc>
      </w:tr>
      <w:tr w:rsidR="00BC1F06" w:rsidRPr="00022BA7" w14:paraId="35FF77D8" w14:textId="77777777" w:rsidTr="00AA6375">
        <w:trPr>
          <w:trHeight w:val="300"/>
        </w:trPr>
        <w:tc>
          <w:tcPr>
            <w:tcW w:w="6925" w:type="dxa"/>
            <w:noWrap/>
            <w:vAlign w:val="center"/>
            <w:hideMark/>
          </w:tcPr>
          <w:p w14:paraId="59B28F3F" w14:textId="77777777" w:rsidR="00BC1F06" w:rsidRPr="00022BA7" w:rsidRDefault="00BC1F06" w:rsidP="00AA6375">
            <w:pPr>
              <w:rPr>
                <w:sz w:val="18"/>
                <w:szCs w:val="18"/>
              </w:rPr>
            </w:pPr>
            <w:r w:rsidRPr="00022BA7">
              <w:rPr>
                <w:sz w:val="18"/>
                <w:szCs w:val="18"/>
              </w:rPr>
              <w:t>Container Ship (Fully Cellular/Ro-Ro Facility)</w:t>
            </w:r>
          </w:p>
        </w:tc>
        <w:tc>
          <w:tcPr>
            <w:tcW w:w="2430" w:type="dxa"/>
            <w:noWrap/>
            <w:vAlign w:val="center"/>
            <w:hideMark/>
          </w:tcPr>
          <w:p w14:paraId="322E51A8" w14:textId="77777777" w:rsidR="00BC1F06" w:rsidRPr="00022BA7" w:rsidRDefault="00BC1F06" w:rsidP="00AA6375">
            <w:pPr>
              <w:rPr>
                <w:sz w:val="18"/>
                <w:szCs w:val="18"/>
              </w:rPr>
            </w:pPr>
            <w:r w:rsidRPr="00022BA7">
              <w:rPr>
                <w:sz w:val="18"/>
                <w:szCs w:val="18"/>
              </w:rPr>
              <w:t>Container</w:t>
            </w:r>
          </w:p>
        </w:tc>
      </w:tr>
      <w:tr w:rsidR="00BC1F06" w:rsidRPr="00022BA7" w14:paraId="1A4A51B4" w14:textId="77777777" w:rsidTr="00AA6375">
        <w:trPr>
          <w:trHeight w:val="300"/>
        </w:trPr>
        <w:tc>
          <w:tcPr>
            <w:tcW w:w="6925" w:type="dxa"/>
            <w:noWrap/>
            <w:vAlign w:val="center"/>
            <w:hideMark/>
          </w:tcPr>
          <w:p w14:paraId="24A55CD5" w14:textId="77777777" w:rsidR="00BC1F06" w:rsidRPr="00022BA7" w:rsidRDefault="00BC1F06" w:rsidP="00AA6375">
            <w:pPr>
              <w:rPr>
                <w:sz w:val="18"/>
                <w:szCs w:val="18"/>
              </w:rPr>
            </w:pPr>
            <w:r w:rsidRPr="00022BA7">
              <w:rPr>
                <w:sz w:val="18"/>
                <w:szCs w:val="18"/>
              </w:rPr>
              <w:t>General Cargo Ship</w:t>
            </w:r>
          </w:p>
        </w:tc>
        <w:tc>
          <w:tcPr>
            <w:tcW w:w="2430" w:type="dxa"/>
            <w:noWrap/>
            <w:vAlign w:val="center"/>
            <w:hideMark/>
          </w:tcPr>
          <w:p w14:paraId="76E7162A" w14:textId="77777777" w:rsidR="00BC1F06" w:rsidRPr="00022BA7" w:rsidRDefault="00BC1F06" w:rsidP="00AA6375">
            <w:pPr>
              <w:rPr>
                <w:sz w:val="18"/>
                <w:szCs w:val="18"/>
              </w:rPr>
            </w:pPr>
            <w:r w:rsidRPr="00022BA7">
              <w:rPr>
                <w:sz w:val="18"/>
                <w:szCs w:val="18"/>
              </w:rPr>
              <w:t>General Cargo</w:t>
            </w:r>
          </w:p>
        </w:tc>
      </w:tr>
      <w:tr w:rsidR="00BC1F06" w:rsidRPr="00022BA7" w14:paraId="5057BB19" w14:textId="77777777" w:rsidTr="00AA6375">
        <w:trPr>
          <w:trHeight w:val="300"/>
        </w:trPr>
        <w:tc>
          <w:tcPr>
            <w:tcW w:w="6925" w:type="dxa"/>
            <w:noWrap/>
            <w:vAlign w:val="center"/>
            <w:hideMark/>
          </w:tcPr>
          <w:p w14:paraId="302D3764" w14:textId="77777777" w:rsidR="00BC1F06" w:rsidRPr="00022BA7" w:rsidRDefault="00BC1F06" w:rsidP="00AA6375">
            <w:pPr>
              <w:rPr>
                <w:sz w:val="18"/>
                <w:szCs w:val="18"/>
              </w:rPr>
            </w:pPr>
            <w:r w:rsidRPr="00022BA7">
              <w:rPr>
                <w:sz w:val="18"/>
                <w:szCs w:val="18"/>
              </w:rPr>
              <w:t>General Cargo Ship (with Ro-Ro facility)</w:t>
            </w:r>
          </w:p>
        </w:tc>
        <w:tc>
          <w:tcPr>
            <w:tcW w:w="2430" w:type="dxa"/>
            <w:noWrap/>
            <w:vAlign w:val="center"/>
            <w:hideMark/>
          </w:tcPr>
          <w:p w14:paraId="51B2B85D" w14:textId="77777777" w:rsidR="00BC1F06" w:rsidRPr="00022BA7" w:rsidRDefault="00BC1F06" w:rsidP="00AA6375">
            <w:pPr>
              <w:rPr>
                <w:sz w:val="18"/>
                <w:szCs w:val="18"/>
              </w:rPr>
            </w:pPr>
            <w:r w:rsidRPr="00022BA7">
              <w:rPr>
                <w:sz w:val="18"/>
                <w:szCs w:val="18"/>
              </w:rPr>
              <w:t>General Cargo</w:t>
            </w:r>
          </w:p>
        </w:tc>
      </w:tr>
      <w:tr w:rsidR="00BC1F06" w:rsidRPr="00022BA7" w14:paraId="7662E8AA" w14:textId="77777777" w:rsidTr="00AA6375">
        <w:trPr>
          <w:trHeight w:val="300"/>
        </w:trPr>
        <w:tc>
          <w:tcPr>
            <w:tcW w:w="6925" w:type="dxa"/>
            <w:noWrap/>
            <w:vAlign w:val="center"/>
            <w:hideMark/>
          </w:tcPr>
          <w:p w14:paraId="50B19CD3" w14:textId="77777777" w:rsidR="00BC1F06" w:rsidRPr="00022BA7" w:rsidRDefault="00BC1F06" w:rsidP="00AA6375">
            <w:pPr>
              <w:rPr>
                <w:sz w:val="18"/>
                <w:szCs w:val="18"/>
              </w:rPr>
            </w:pPr>
            <w:r w:rsidRPr="00022BA7">
              <w:rPr>
                <w:sz w:val="18"/>
                <w:szCs w:val="18"/>
              </w:rPr>
              <w:t>Barge Carrier</w:t>
            </w:r>
          </w:p>
        </w:tc>
        <w:tc>
          <w:tcPr>
            <w:tcW w:w="2430" w:type="dxa"/>
            <w:noWrap/>
            <w:vAlign w:val="center"/>
            <w:hideMark/>
          </w:tcPr>
          <w:p w14:paraId="48DA3653" w14:textId="77777777" w:rsidR="00BC1F06" w:rsidRPr="00022BA7" w:rsidRDefault="00BC1F06" w:rsidP="00AA6375">
            <w:pPr>
              <w:rPr>
                <w:sz w:val="18"/>
                <w:szCs w:val="18"/>
              </w:rPr>
            </w:pPr>
            <w:r w:rsidRPr="00022BA7">
              <w:rPr>
                <w:sz w:val="18"/>
                <w:szCs w:val="18"/>
              </w:rPr>
              <w:t>General Cargo</w:t>
            </w:r>
          </w:p>
        </w:tc>
      </w:tr>
      <w:tr w:rsidR="00BC1F06" w:rsidRPr="00022BA7" w14:paraId="2765E542" w14:textId="77777777" w:rsidTr="00AA6375">
        <w:trPr>
          <w:trHeight w:val="300"/>
        </w:trPr>
        <w:tc>
          <w:tcPr>
            <w:tcW w:w="6925" w:type="dxa"/>
            <w:noWrap/>
            <w:vAlign w:val="center"/>
            <w:hideMark/>
          </w:tcPr>
          <w:p w14:paraId="4B84ABC8" w14:textId="77777777" w:rsidR="00BC1F06" w:rsidRPr="00022BA7" w:rsidRDefault="00BC1F06" w:rsidP="00AA6375">
            <w:pPr>
              <w:rPr>
                <w:sz w:val="18"/>
                <w:szCs w:val="18"/>
              </w:rPr>
            </w:pPr>
            <w:r w:rsidRPr="00022BA7">
              <w:rPr>
                <w:sz w:val="18"/>
                <w:szCs w:val="18"/>
              </w:rPr>
              <w:t xml:space="preserve">Heavy Load Carrier, </w:t>
            </w:r>
            <w:proofErr w:type="spellStart"/>
            <w:r w:rsidRPr="00022BA7">
              <w:rPr>
                <w:sz w:val="18"/>
                <w:szCs w:val="18"/>
              </w:rPr>
              <w:t>semi submersible</w:t>
            </w:r>
            <w:proofErr w:type="spellEnd"/>
          </w:p>
        </w:tc>
        <w:tc>
          <w:tcPr>
            <w:tcW w:w="2430" w:type="dxa"/>
            <w:noWrap/>
            <w:vAlign w:val="center"/>
            <w:hideMark/>
          </w:tcPr>
          <w:p w14:paraId="3BBEF265" w14:textId="77777777" w:rsidR="00BC1F06" w:rsidRPr="00022BA7" w:rsidRDefault="00BC1F06" w:rsidP="00AA6375">
            <w:pPr>
              <w:rPr>
                <w:sz w:val="18"/>
                <w:szCs w:val="18"/>
              </w:rPr>
            </w:pPr>
            <w:r w:rsidRPr="00022BA7">
              <w:rPr>
                <w:sz w:val="18"/>
                <w:szCs w:val="18"/>
              </w:rPr>
              <w:t>General Cargo</w:t>
            </w:r>
          </w:p>
        </w:tc>
      </w:tr>
      <w:tr w:rsidR="00BC1F06" w:rsidRPr="00022BA7" w14:paraId="614BA8CF" w14:textId="77777777" w:rsidTr="00AA6375">
        <w:trPr>
          <w:trHeight w:val="300"/>
        </w:trPr>
        <w:tc>
          <w:tcPr>
            <w:tcW w:w="6925" w:type="dxa"/>
            <w:noWrap/>
            <w:vAlign w:val="center"/>
            <w:hideMark/>
          </w:tcPr>
          <w:p w14:paraId="0B18E348" w14:textId="77777777" w:rsidR="00BC1F06" w:rsidRPr="00022BA7" w:rsidRDefault="00BC1F06" w:rsidP="00AA6375">
            <w:pPr>
              <w:rPr>
                <w:sz w:val="18"/>
                <w:szCs w:val="18"/>
              </w:rPr>
            </w:pPr>
            <w:r w:rsidRPr="00022BA7">
              <w:rPr>
                <w:sz w:val="18"/>
                <w:szCs w:val="18"/>
              </w:rPr>
              <w:t>Passenger/Cruise</w:t>
            </w:r>
          </w:p>
        </w:tc>
        <w:tc>
          <w:tcPr>
            <w:tcW w:w="2430" w:type="dxa"/>
            <w:noWrap/>
            <w:vAlign w:val="center"/>
            <w:hideMark/>
          </w:tcPr>
          <w:p w14:paraId="54D3ED83" w14:textId="77777777" w:rsidR="00BC1F06" w:rsidRPr="00022BA7" w:rsidRDefault="00BC1F06" w:rsidP="00AA6375">
            <w:pPr>
              <w:rPr>
                <w:sz w:val="18"/>
                <w:szCs w:val="18"/>
              </w:rPr>
            </w:pPr>
            <w:r w:rsidRPr="00022BA7">
              <w:rPr>
                <w:sz w:val="18"/>
                <w:szCs w:val="18"/>
              </w:rPr>
              <w:t>Passenger</w:t>
            </w:r>
          </w:p>
        </w:tc>
      </w:tr>
      <w:tr w:rsidR="00BC1F06" w:rsidRPr="00022BA7" w14:paraId="485C48E7" w14:textId="77777777" w:rsidTr="00AA6375">
        <w:trPr>
          <w:trHeight w:val="300"/>
        </w:trPr>
        <w:tc>
          <w:tcPr>
            <w:tcW w:w="6925" w:type="dxa"/>
            <w:noWrap/>
            <w:vAlign w:val="center"/>
            <w:hideMark/>
          </w:tcPr>
          <w:p w14:paraId="2E97EE75" w14:textId="77777777" w:rsidR="00BC1F06" w:rsidRPr="00022BA7" w:rsidRDefault="00BC1F06" w:rsidP="00AA6375">
            <w:pPr>
              <w:rPr>
                <w:sz w:val="18"/>
                <w:szCs w:val="18"/>
              </w:rPr>
            </w:pPr>
            <w:r w:rsidRPr="00022BA7">
              <w:rPr>
                <w:sz w:val="18"/>
                <w:szCs w:val="18"/>
              </w:rPr>
              <w:t>Passenger Ship</w:t>
            </w:r>
          </w:p>
        </w:tc>
        <w:tc>
          <w:tcPr>
            <w:tcW w:w="2430" w:type="dxa"/>
            <w:noWrap/>
            <w:vAlign w:val="center"/>
            <w:hideMark/>
          </w:tcPr>
          <w:p w14:paraId="15A3CF81" w14:textId="77777777" w:rsidR="00BC1F06" w:rsidRPr="00022BA7" w:rsidRDefault="00BC1F06" w:rsidP="00AA6375">
            <w:pPr>
              <w:rPr>
                <w:sz w:val="18"/>
                <w:szCs w:val="18"/>
              </w:rPr>
            </w:pPr>
            <w:r w:rsidRPr="00022BA7">
              <w:rPr>
                <w:sz w:val="18"/>
                <w:szCs w:val="18"/>
              </w:rPr>
              <w:t>Passenger</w:t>
            </w:r>
          </w:p>
        </w:tc>
      </w:tr>
      <w:tr w:rsidR="00BC1F06" w:rsidRPr="00022BA7" w14:paraId="20001101" w14:textId="77777777" w:rsidTr="00AA6375">
        <w:trPr>
          <w:trHeight w:val="300"/>
        </w:trPr>
        <w:tc>
          <w:tcPr>
            <w:tcW w:w="6925" w:type="dxa"/>
            <w:noWrap/>
            <w:vAlign w:val="center"/>
            <w:hideMark/>
          </w:tcPr>
          <w:p w14:paraId="176592DF" w14:textId="77777777" w:rsidR="00BC1F06" w:rsidRPr="00022BA7" w:rsidRDefault="00BC1F06" w:rsidP="00AA6375">
            <w:pPr>
              <w:rPr>
                <w:sz w:val="18"/>
                <w:szCs w:val="18"/>
              </w:rPr>
            </w:pPr>
            <w:r w:rsidRPr="00022BA7">
              <w:rPr>
                <w:sz w:val="18"/>
                <w:szCs w:val="18"/>
              </w:rPr>
              <w:t>Passenger/Ro-Ro Ship (Vehicles)</w:t>
            </w:r>
          </w:p>
        </w:tc>
        <w:tc>
          <w:tcPr>
            <w:tcW w:w="2430" w:type="dxa"/>
            <w:noWrap/>
            <w:vAlign w:val="center"/>
            <w:hideMark/>
          </w:tcPr>
          <w:p w14:paraId="2EC03D65" w14:textId="77777777" w:rsidR="00BC1F06" w:rsidRPr="00022BA7" w:rsidRDefault="00BC1F06" w:rsidP="00AA6375">
            <w:pPr>
              <w:rPr>
                <w:sz w:val="18"/>
                <w:szCs w:val="18"/>
              </w:rPr>
            </w:pPr>
            <w:r w:rsidRPr="00022BA7">
              <w:rPr>
                <w:sz w:val="18"/>
                <w:szCs w:val="18"/>
              </w:rPr>
              <w:t>Passenger</w:t>
            </w:r>
          </w:p>
        </w:tc>
      </w:tr>
      <w:tr w:rsidR="00BC1F06" w:rsidRPr="00022BA7" w14:paraId="5AEA5FB2" w14:textId="77777777" w:rsidTr="00AA6375">
        <w:trPr>
          <w:trHeight w:val="300"/>
        </w:trPr>
        <w:tc>
          <w:tcPr>
            <w:tcW w:w="6925" w:type="dxa"/>
            <w:noWrap/>
            <w:vAlign w:val="center"/>
            <w:hideMark/>
          </w:tcPr>
          <w:p w14:paraId="3D990784" w14:textId="77777777" w:rsidR="00BC1F06" w:rsidRPr="00022BA7" w:rsidRDefault="00BC1F06" w:rsidP="00AA6375">
            <w:pPr>
              <w:rPr>
                <w:sz w:val="18"/>
                <w:szCs w:val="18"/>
              </w:rPr>
            </w:pPr>
            <w:r w:rsidRPr="00022BA7">
              <w:rPr>
                <w:sz w:val="18"/>
                <w:szCs w:val="18"/>
              </w:rPr>
              <w:t>Passenger/Ro-Ro Ship (Vehicles/Rail)</w:t>
            </w:r>
          </w:p>
        </w:tc>
        <w:tc>
          <w:tcPr>
            <w:tcW w:w="2430" w:type="dxa"/>
            <w:noWrap/>
            <w:vAlign w:val="center"/>
            <w:hideMark/>
          </w:tcPr>
          <w:p w14:paraId="32C2169D" w14:textId="77777777" w:rsidR="00BC1F06" w:rsidRPr="00022BA7" w:rsidRDefault="00BC1F06" w:rsidP="00AA6375">
            <w:pPr>
              <w:rPr>
                <w:sz w:val="18"/>
                <w:szCs w:val="18"/>
              </w:rPr>
            </w:pPr>
            <w:r w:rsidRPr="00022BA7">
              <w:rPr>
                <w:sz w:val="18"/>
                <w:szCs w:val="18"/>
              </w:rPr>
              <w:t>Passenger</w:t>
            </w:r>
          </w:p>
        </w:tc>
      </w:tr>
      <w:tr w:rsidR="00BC1F06" w:rsidRPr="00022BA7" w14:paraId="0DC78835" w14:textId="77777777" w:rsidTr="00AA6375">
        <w:trPr>
          <w:trHeight w:val="300"/>
        </w:trPr>
        <w:tc>
          <w:tcPr>
            <w:tcW w:w="6925" w:type="dxa"/>
            <w:noWrap/>
            <w:vAlign w:val="center"/>
            <w:hideMark/>
          </w:tcPr>
          <w:p w14:paraId="6C66279F" w14:textId="77777777" w:rsidR="00BC1F06" w:rsidRPr="00022BA7" w:rsidRDefault="00BC1F06" w:rsidP="00AA6375">
            <w:pPr>
              <w:rPr>
                <w:sz w:val="18"/>
                <w:szCs w:val="18"/>
              </w:rPr>
            </w:pPr>
            <w:r w:rsidRPr="00022BA7">
              <w:rPr>
                <w:sz w:val="18"/>
                <w:szCs w:val="18"/>
              </w:rPr>
              <w:t>Refrigerated Cargo Ship</w:t>
            </w:r>
          </w:p>
        </w:tc>
        <w:tc>
          <w:tcPr>
            <w:tcW w:w="2430" w:type="dxa"/>
            <w:noWrap/>
            <w:vAlign w:val="center"/>
            <w:hideMark/>
          </w:tcPr>
          <w:p w14:paraId="260AF78C" w14:textId="77777777" w:rsidR="00BC1F06" w:rsidRPr="00022BA7" w:rsidRDefault="00BC1F06" w:rsidP="00AA6375">
            <w:pPr>
              <w:rPr>
                <w:sz w:val="18"/>
                <w:szCs w:val="18"/>
              </w:rPr>
            </w:pPr>
            <w:r w:rsidRPr="00022BA7">
              <w:rPr>
                <w:sz w:val="18"/>
                <w:szCs w:val="18"/>
              </w:rPr>
              <w:t>General Cargo</w:t>
            </w:r>
          </w:p>
        </w:tc>
      </w:tr>
      <w:tr w:rsidR="00BC1F06" w:rsidRPr="00022BA7" w14:paraId="0E108DD3" w14:textId="77777777" w:rsidTr="00AA6375">
        <w:trPr>
          <w:trHeight w:val="300"/>
        </w:trPr>
        <w:tc>
          <w:tcPr>
            <w:tcW w:w="6925" w:type="dxa"/>
            <w:noWrap/>
            <w:vAlign w:val="center"/>
            <w:hideMark/>
          </w:tcPr>
          <w:p w14:paraId="3AC124A2" w14:textId="77777777" w:rsidR="00BC1F06" w:rsidRPr="00022BA7" w:rsidRDefault="00BC1F06" w:rsidP="00AA6375">
            <w:pPr>
              <w:rPr>
                <w:sz w:val="18"/>
                <w:szCs w:val="18"/>
              </w:rPr>
            </w:pPr>
            <w:r w:rsidRPr="00022BA7">
              <w:rPr>
                <w:sz w:val="18"/>
                <w:szCs w:val="18"/>
              </w:rPr>
              <w:t>Landing Craft</w:t>
            </w:r>
          </w:p>
        </w:tc>
        <w:tc>
          <w:tcPr>
            <w:tcW w:w="2430" w:type="dxa"/>
            <w:noWrap/>
            <w:vAlign w:val="center"/>
            <w:hideMark/>
          </w:tcPr>
          <w:p w14:paraId="1EA72A5A" w14:textId="77777777" w:rsidR="00BC1F06" w:rsidRPr="00022BA7" w:rsidRDefault="00BC1F06" w:rsidP="00AA6375">
            <w:pPr>
              <w:rPr>
                <w:sz w:val="18"/>
                <w:szCs w:val="18"/>
              </w:rPr>
            </w:pPr>
            <w:r w:rsidRPr="00022BA7">
              <w:rPr>
                <w:sz w:val="18"/>
                <w:szCs w:val="18"/>
              </w:rPr>
              <w:t>Ro-Ro</w:t>
            </w:r>
          </w:p>
        </w:tc>
      </w:tr>
      <w:tr w:rsidR="00BC1F06" w:rsidRPr="00022BA7" w14:paraId="60F57147" w14:textId="77777777" w:rsidTr="00AA6375">
        <w:trPr>
          <w:trHeight w:val="300"/>
        </w:trPr>
        <w:tc>
          <w:tcPr>
            <w:tcW w:w="6925" w:type="dxa"/>
            <w:noWrap/>
            <w:vAlign w:val="center"/>
            <w:hideMark/>
          </w:tcPr>
          <w:p w14:paraId="2C1D83F0" w14:textId="77777777" w:rsidR="00BC1F06" w:rsidRPr="00022BA7" w:rsidRDefault="00BC1F06" w:rsidP="00AA6375">
            <w:pPr>
              <w:rPr>
                <w:sz w:val="18"/>
                <w:szCs w:val="18"/>
              </w:rPr>
            </w:pPr>
            <w:r w:rsidRPr="00022BA7">
              <w:rPr>
                <w:sz w:val="18"/>
                <w:szCs w:val="18"/>
              </w:rPr>
              <w:t>Ro-Ro Cargo Ship</w:t>
            </w:r>
          </w:p>
        </w:tc>
        <w:tc>
          <w:tcPr>
            <w:tcW w:w="2430" w:type="dxa"/>
            <w:noWrap/>
            <w:vAlign w:val="center"/>
            <w:hideMark/>
          </w:tcPr>
          <w:p w14:paraId="035B4F14" w14:textId="77777777" w:rsidR="00BC1F06" w:rsidRPr="00022BA7" w:rsidRDefault="00BC1F06" w:rsidP="00AA6375">
            <w:pPr>
              <w:rPr>
                <w:sz w:val="18"/>
                <w:szCs w:val="18"/>
              </w:rPr>
            </w:pPr>
            <w:r w:rsidRPr="00022BA7">
              <w:rPr>
                <w:sz w:val="18"/>
                <w:szCs w:val="18"/>
              </w:rPr>
              <w:t>Ro-Ro</w:t>
            </w:r>
          </w:p>
        </w:tc>
      </w:tr>
      <w:tr w:rsidR="00BC1F06" w:rsidRPr="00022BA7" w14:paraId="31F6E78A" w14:textId="77777777" w:rsidTr="00AA6375">
        <w:trPr>
          <w:trHeight w:val="300"/>
        </w:trPr>
        <w:tc>
          <w:tcPr>
            <w:tcW w:w="6925" w:type="dxa"/>
            <w:noWrap/>
            <w:vAlign w:val="center"/>
            <w:hideMark/>
          </w:tcPr>
          <w:p w14:paraId="4307A7C7" w14:textId="77777777" w:rsidR="00BC1F06" w:rsidRPr="00022BA7" w:rsidRDefault="00BC1F06" w:rsidP="00AA6375">
            <w:pPr>
              <w:rPr>
                <w:sz w:val="18"/>
                <w:szCs w:val="18"/>
              </w:rPr>
            </w:pPr>
            <w:r w:rsidRPr="00022BA7">
              <w:rPr>
                <w:sz w:val="18"/>
                <w:szCs w:val="18"/>
              </w:rPr>
              <w:t>Vehicles Carrier</w:t>
            </w:r>
          </w:p>
        </w:tc>
        <w:tc>
          <w:tcPr>
            <w:tcW w:w="2430" w:type="dxa"/>
            <w:noWrap/>
            <w:vAlign w:val="center"/>
            <w:hideMark/>
          </w:tcPr>
          <w:p w14:paraId="17BC6838" w14:textId="77777777" w:rsidR="00BC1F06" w:rsidRPr="00022BA7" w:rsidRDefault="00BC1F06" w:rsidP="00AA6375">
            <w:pPr>
              <w:rPr>
                <w:sz w:val="18"/>
                <w:szCs w:val="18"/>
              </w:rPr>
            </w:pPr>
            <w:r w:rsidRPr="00022BA7">
              <w:rPr>
                <w:sz w:val="18"/>
                <w:szCs w:val="18"/>
              </w:rPr>
              <w:t>Ro-Ro</w:t>
            </w:r>
          </w:p>
        </w:tc>
      </w:tr>
      <w:tr w:rsidR="00BC1F06" w:rsidRPr="00022BA7" w14:paraId="54A5EF96" w14:textId="77777777" w:rsidTr="00AA6375">
        <w:trPr>
          <w:trHeight w:val="300"/>
        </w:trPr>
        <w:tc>
          <w:tcPr>
            <w:tcW w:w="6925" w:type="dxa"/>
            <w:noWrap/>
            <w:vAlign w:val="center"/>
            <w:hideMark/>
          </w:tcPr>
          <w:p w14:paraId="681D5FA3" w14:textId="77777777" w:rsidR="00BC1F06" w:rsidRPr="00022BA7" w:rsidRDefault="00BC1F06" w:rsidP="00AA6375">
            <w:pPr>
              <w:rPr>
                <w:sz w:val="18"/>
                <w:szCs w:val="18"/>
              </w:rPr>
            </w:pPr>
            <w:r w:rsidRPr="00022BA7">
              <w:rPr>
                <w:sz w:val="18"/>
                <w:szCs w:val="18"/>
              </w:rPr>
              <w:t>Cruise Ship, Inland Waterways</w:t>
            </w:r>
          </w:p>
        </w:tc>
        <w:tc>
          <w:tcPr>
            <w:tcW w:w="2430" w:type="dxa"/>
            <w:noWrap/>
            <w:vAlign w:val="center"/>
            <w:hideMark/>
          </w:tcPr>
          <w:p w14:paraId="49EAED7F" w14:textId="77777777" w:rsidR="00BC1F06" w:rsidRPr="00022BA7" w:rsidRDefault="00BC1F06" w:rsidP="00AA6375">
            <w:pPr>
              <w:rPr>
                <w:sz w:val="18"/>
                <w:szCs w:val="18"/>
              </w:rPr>
            </w:pPr>
            <w:r w:rsidRPr="00022BA7">
              <w:rPr>
                <w:sz w:val="18"/>
                <w:szCs w:val="18"/>
              </w:rPr>
              <w:t>Passenger</w:t>
            </w:r>
          </w:p>
        </w:tc>
      </w:tr>
      <w:tr w:rsidR="00BC1F06" w:rsidRPr="00022BA7" w14:paraId="483CD3BD" w14:textId="77777777" w:rsidTr="00AA6375">
        <w:trPr>
          <w:trHeight w:val="300"/>
        </w:trPr>
        <w:tc>
          <w:tcPr>
            <w:tcW w:w="6925" w:type="dxa"/>
            <w:noWrap/>
            <w:vAlign w:val="center"/>
            <w:hideMark/>
          </w:tcPr>
          <w:p w14:paraId="7CE52E25" w14:textId="77777777" w:rsidR="00BC1F06" w:rsidRPr="00022BA7" w:rsidRDefault="00BC1F06" w:rsidP="00AA6375">
            <w:pPr>
              <w:rPr>
                <w:sz w:val="18"/>
                <w:szCs w:val="18"/>
              </w:rPr>
            </w:pPr>
            <w:r w:rsidRPr="00022BA7">
              <w:rPr>
                <w:sz w:val="18"/>
                <w:szCs w:val="18"/>
              </w:rPr>
              <w:t>Passenger Ship, Inland Waterways</w:t>
            </w:r>
          </w:p>
        </w:tc>
        <w:tc>
          <w:tcPr>
            <w:tcW w:w="2430" w:type="dxa"/>
            <w:noWrap/>
            <w:vAlign w:val="center"/>
            <w:hideMark/>
          </w:tcPr>
          <w:p w14:paraId="7F284DC7" w14:textId="77777777" w:rsidR="00BC1F06" w:rsidRPr="00022BA7" w:rsidRDefault="00BC1F06" w:rsidP="00AA6375">
            <w:pPr>
              <w:rPr>
                <w:sz w:val="18"/>
                <w:szCs w:val="18"/>
              </w:rPr>
            </w:pPr>
            <w:r w:rsidRPr="00022BA7">
              <w:rPr>
                <w:sz w:val="18"/>
                <w:szCs w:val="18"/>
              </w:rPr>
              <w:t>Passenger</w:t>
            </w:r>
          </w:p>
        </w:tc>
      </w:tr>
      <w:tr w:rsidR="00BC1F06" w:rsidRPr="00022BA7" w14:paraId="45164D47" w14:textId="77777777" w:rsidTr="00AA6375">
        <w:trPr>
          <w:trHeight w:val="300"/>
        </w:trPr>
        <w:tc>
          <w:tcPr>
            <w:tcW w:w="6925" w:type="dxa"/>
            <w:noWrap/>
            <w:vAlign w:val="center"/>
            <w:hideMark/>
          </w:tcPr>
          <w:p w14:paraId="6093CAA8" w14:textId="77777777" w:rsidR="00BC1F06" w:rsidRPr="00022BA7" w:rsidRDefault="00BC1F06" w:rsidP="00AA6375">
            <w:pPr>
              <w:rPr>
                <w:sz w:val="18"/>
                <w:szCs w:val="18"/>
              </w:rPr>
            </w:pPr>
            <w:r w:rsidRPr="00022BA7">
              <w:rPr>
                <w:sz w:val="18"/>
                <w:szCs w:val="18"/>
              </w:rPr>
              <w:t>Passenger/Ro-Ro Ship (Vehicles), Inland Waterways</w:t>
            </w:r>
          </w:p>
        </w:tc>
        <w:tc>
          <w:tcPr>
            <w:tcW w:w="2430" w:type="dxa"/>
            <w:noWrap/>
            <w:vAlign w:val="center"/>
            <w:hideMark/>
          </w:tcPr>
          <w:p w14:paraId="20D2766F" w14:textId="77777777" w:rsidR="00BC1F06" w:rsidRPr="00022BA7" w:rsidRDefault="00BC1F06" w:rsidP="00AA6375">
            <w:pPr>
              <w:rPr>
                <w:sz w:val="18"/>
                <w:szCs w:val="18"/>
              </w:rPr>
            </w:pPr>
            <w:r w:rsidRPr="00022BA7">
              <w:rPr>
                <w:sz w:val="18"/>
                <w:szCs w:val="18"/>
              </w:rPr>
              <w:t>Passenger</w:t>
            </w:r>
          </w:p>
        </w:tc>
      </w:tr>
      <w:tr w:rsidR="00BC1F06" w:rsidRPr="00022BA7" w14:paraId="3765EB8C" w14:textId="77777777" w:rsidTr="00AA6375">
        <w:trPr>
          <w:trHeight w:val="300"/>
        </w:trPr>
        <w:tc>
          <w:tcPr>
            <w:tcW w:w="6925" w:type="dxa"/>
            <w:noWrap/>
            <w:vAlign w:val="center"/>
            <w:hideMark/>
          </w:tcPr>
          <w:p w14:paraId="039F652D" w14:textId="77777777" w:rsidR="00BC1F06" w:rsidRPr="00022BA7" w:rsidRDefault="00BC1F06" w:rsidP="00AA6375">
            <w:pPr>
              <w:rPr>
                <w:sz w:val="18"/>
                <w:szCs w:val="18"/>
              </w:rPr>
            </w:pPr>
            <w:r w:rsidRPr="00022BA7">
              <w:rPr>
                <w:sz w:val="18"/>
                <w:szCs w:val="18"/>
              </w:rPr>
              <w:t>Towing/Pushing, Inland Waterways</w:t>
            </w:r>
          </w:p>
        </w:tc>
        <w:tc>
          <w:tcPr>
            <w:tcW w:w="2430" w:type="dxa"/>
            <w:noWrap/>
            <w:vAlign w:val="center"/>
            <w:hideMark/>
          </w:tcPr>
          <w:p w14:paraId="14F934A9" w14:textId="77777777" w:rsidR="00BC1F06" w:rsidRPr="00022BA7" w:rsidRDefault="00BC1F06" w:rsidP="00AA6375">
            <w:pPr>
              <w:rPr>
                <w:sz w:val="18"/>
                <w:szCs w:val="18"/>
              </w:rPr>
            </w:pPr>
            <w:r w:rsidRPr="00022BA7">
              <w:rPr>
                <w:sz w:val="18"/>
                <w:szCs w:val="18"/>
              </w:rPr>
              <w:t>Tug (Inland-Push Boats)</w:t>
            </w:r>
          </w:p>
        </w:tc>
      </w:tr>
      <w:tr w:rsidR="00BC1F06" w:rsidRPr="00022BA7" w14:paraId="3224DBC8" w14:textId="77777777" w:rsidTr="00AA6375">
        <w:trPr>
          <w:trHeight w:val="300"/>
        </w:trPr>
        <w:tc>
          <w:tcPr>
            <w:tcW w:w="6925" w:type="dxa"/>
            <w:noWrap/>
            <w:vAlign w:val="center"/>
            <w:hideMark/>
          </w:tcPr>
          <w:p w14:paraId="5C0A1D85" w14:textId="77777777" w:rsidR="00BC1F06" w:rsidRPr="00022BA7" w:rsidRDefault="00BC1F06" w:rsidP="00AA6375">
            <w:pPr>
              <w:rPr>
                <w:sz w:val="18"/>
                <w:szCs w:val="18"/>
              </w:rPr>
            </w:pPr>
            <w:r w:rsidRPr="00022BA7">
              <w:rPr>
                <w:sz w:val="18"/>
                <w:szCs w:val="18"/>
              </w:rPr>
              <w:t>Articulated Pusher Tug</w:t>
            </w:r>
          </w:p>
        </w:tc>
        <w:tc>
          <w:tcPr>
            <w:tcW w:w="2430" w:type="dxa"/>
            <w:noWrap/>
            <w:vAlign w:val="center"/>
            <w:hideMark/>
          </w:tcPr>
          <w:p w14:paraId="0B1B51FC" w14:textId="77777777" w:rsidR="00BC1F06" w:rsidRPr="00022BA7" w:rsidRDefault="00BC1F06" w:rsidP="00AA6375">
            <w:pPr>
              <w:rPr>
                <w:sz w:val="18"/>
                <w:szCs w:val="18"/>
              </w:rPr>
            </w:pPr>
            <w:r w:rsidRPr="00022BA7">
              <w:rPr>
                <w:sz w:val="18"/>
                <w:szCs w:val="18"/>
              </w:rPr>
              <w:t>Tug (ATB)</w:t>
            </w:r>
          </w:p>
        </w:tc>
      </w:tr>
      <w:tr w:rsidR="00BC1F06" w:rsidRPr="00022BA7" w14:paraId="7131E969" w14:textId="77777777" w:rsidTr="00AA6375">
        <w:trPr>
          <w:trHeight w:val="300"/>
        </w:trPr>
        <w:tc>
          <w:tcPr>
            <w:tcW w:w="6925" w:type="dxa"/>
            <w:noWrap/>
            <w:vAlign w:val="center"/>
            <w:hideMark/>
          </w:tcPr>
          <w:p w14:paraId="4B105A14" w14:textId="77777777" w:rsidR="00BC1F06" w:rsidRPr="00022BA7" w:rsidRDefault="00BC1F06" w:rsidP="00AA6375">
            <w:pPr>
              <w:rPr>
                <w:sz w:val="18"/>
                <w:szCs w:val="18"/>
              </w:rPr>
            </w:pPr>
            <w:r w:rsidRPr="00022BA7">
              <w:rPr>
                <w:sz w:val="18"/>
                <w:szCs w:val="18"/>
              </w:rPr>
              <w:t>Pusher Tug</w:t>
            </w:r>
          </w:p>
        </w:tc>
        <w:tc>
          <w:tcPr>
            <w:tcW w:w="2430" w:type="dxa"/>
            <w:noWrap/>
            <w:vAlign w:val="center"/>
            <w:hideMark/>
          </w:tcPr>
          <w:p w14:paraId="4D5C839D" w14:textId="77777777" w:rsidR="00BC1F06" w:rsidRPr="00022BA7" w:rsidRDefault="00BC1F06" w:rsidP="00AA6375">
            <w:pPr>
              <w:rPr>
                <w:sz w:val="18"/>
                <w:szCs w:val="18"/>
              </w:rPr>
            </w:pPr>
            <w:r w:rsidRPr="00022BA7">
              <w:rPr>
                <w:sz w:val="18"/>
                <w:szCs w:val="18"/>
              </w:rPr>
              <w:t>Tug (Coastal-Harbor)</w:t>
            </w:r>
          </w:p>
        </w:tc>
      </w:tr>
      <w:tr w:rsidR="00BC1F06" w:rsidRPr="00022BA7" w14:paraId="66E87BB6" w14:textId="77777777" w:rsidTr="00AA6375">
        <w:trPr>
          <w:trHeight w:val="300"/>
        </w:trPr>
        <w:tc>
          <w:tcPr>
            <w:tcW w:w="6925" w:type="dxa"/>
            <w:noWrap/>
            <w:vAlign w:val="center"/>
            <w:hideMark/>
          </w:tcPr>
          <w:p w14:paraId="22D45702" w14:textId="77777777" w:rsidR="00BC1F06" w:rsidRPr="00022BA7" w:rsidRDefault="00BC1F06" w:rsidP="00AA6375">
            <w:pPr>
              <w:rPr>
                <w:sz w:val="18"/>
                <w:szCs w:val="18"/>
              </w:rPr>
            </w:pPr>
            <w:r w:rsidRPr="00022BA7">
              <w:rPr>
                <w:sz w:val="18"/>
                <w:szCs w:val="18"/>
              </w:rPr>
              <w:t>Tug</w:t>
            </w:r>
          </w:p>
        </w:tc>
        <w:tc>
          <w:tcPr>
            <w:tcW w:w="2430" w:type="dxa"/>
            <w:noWrap/>
            <w:vAlign w:val="center"/>
            <w:hideMark/>
          </w:tcPr>
          <w:p w14:paraId="471AB6ED" w14:textId="77777777" w:rsidR="00BC1F06" w:rsidRPr="00022BA7" w:rsidRDefault="00BC1F06" w:rsidP="00AA6375">
            <w:pPr>
              <w:rPr>
                <w:sz w:val="18"/>
                <w:szCs w:val="18"/>
              </w:rPr>
            </w:pPr>
            <w:r w:rsidRPr="00022BA7">
              <w:rPr>
                <w:sz w:val="18"/>
                <w:szCs w:val="18"/>
              </w:rPr>
              <w:t>Tug (Coastal-Harbor)</w:t>
            </w:r>
          </w:p>
        </w:tc>
      </w:tr>
      <w:tr w:rsidR="00BC1F06" w:rsidRPr="00022BA7" w14:paraId="567636D4" w14:textId="77777777" w:rsidTr="00AA6375">
        <w:trPr>
          <w:trHeight w:val="300"/>
        </w:trPr>
        <w:tc>
          <w:tcPr>
            <w:tcW w:w="6925" w:type="dxa"/>
            <w:noWrap/>
            <w:vAlign w:val="center"/>
            <w:hideMark/>
          </w:tcPr>
          <w:p w14:paraId="7FDED83E" w14:textId="77777777" w:rsidR="00BC1F06" w:rsidRPr="00022BA7" w:rsidRDefault="00BC1F06" w:rsidP="00AA6375">
            <w:pPr>
              <w:rPr>
                <w:sz w:val="18"/>
                <w:szCs w:val="18"/>
              </w:rPr>
            </w:pPr>
            <w:r w:rsidRPr="00022BA7">
              <w:rPr>
                <w:sz w:val="18"/>
                <w:szCs w:val="18"/>
              </w:rPr>
              <w:t>Molten Sulphur Tanker</w:t>
            </w:r>
          </w:p>
        </w:tc>
        <w:tc>
          <w:tcPr>
            <w:tcW w:w="2430" w:type="dxa"/>
            <w:noWrap/>
            <w:vAlign w:val="center"/>
            <w:hideMark/>
          </w:tcPr>
          <w:p w14:paraId="231ACEA4" w14:textId="77777777" w:rsidR="00BC1F06" w:rsidRPr="00022BA7" w:rsidRDefault="00BC1F06" w:rsidP="00AA6375">
            <w:pPr>
              <w:rPr>
                <w:sz w:val="18"/>
                <w:szCs w:val="18"/>
              </w:rPr>
            </w:pPr>
            <w:r w:rsidRPr="00022BA7">
              <w:rPr>
                <w:sz w:val="18"/>
                <w:szCs w:val="18"/>
              </w:rPr>
              <w:t>Tanker</w:t>
            </w:r>
          </w:p>
        </w:tc>
      </w:tr>
      <w:tr w:rsidR="00BC1F06" w:rsidRPr="00022BA7" w14:paraId="564482A0" w14:textId="77777777" w:rsidTr="00AA6375">
        <w:trPr>
          <w:trHeight w:val="300"/>
        </w:trPr>
        <w:tc>
          <w:tcPr>
            <w:tcW w:w="6925" w:type="dxa"/>
            <w:noWrap/>
            <w:vAlign w:val="center"/>
            <w:hideMark/>
          </w:tcPr>
          <w:p w14:paraId="10224746" w14:textId="77777777" w:rsidR="00BC1F06" w:rsidRPr="00022BA7" w:rsidRDefault="00BC1F06" w:rsidP="00AA6375">
            <w:pPr>
              <w:rPr>
                <w:sz w:val="18"/>
                <w:szCs w:val="18"/>
              </w:rPr>
            </w:pPr>
            <w:r w:rsidRPr="00022BA7">
              <w:rPr>
                <w:sz w:val="18"/>
                <w:szCs w:val="18"/>
              </w:rPr>
              <w:t>Chemical/Products Tanker</w:t>
            </w:r>
          </w:p>
        </w:tc>
        <w:tc>
          <w:tcPr>
            <w:tcW w:w="2430" w:type="dxa"/>
            <w:noWrap/>
            <w:vAlign w:val="center"/>
            <w:hideMark/>
          </w:tcPr>
          <w:p w14:paraId="0E14FD42" w14:textId="77777777" w:rsidR="00BC1F06" w:rsidRPr="00022BA7" w:rsidRDefault="00BC1F06" w:rsidP="00AA6375">
            <w:pPr>
              <w:rPr>
                <w:sz w:val="18"/>
                <w:szCs w:val="18"/>
              </w:rPr>
            </w:pPr>
            <w:r w:rsidRPr="00022BA7">
              <w:rPr>
                <w:sz w:val="18"/>
                <w:szCs w:val="18"/>
              </w:rPr>
              <w:t>Tanker</w:t>
            </w:r>
          </w:p>
        </w:tc>
      </w:tr>
      <w:tr w:rsidR="00BC1F06" w:rsidRPr="00022BA7" w14:paraId="391F73BF" w14:textId="77777777" w:rsidTr="00AA6375">
        <w:trPr>
          <w:trHeight w:val="300"/>
        </w:trPr>
        <w:tc>
          <w:tcPr>
            <w:tcW w:w="6925" w:type="dxa"/>
            <w:noWrap/>
            <w:vAlign w:val="center"/>
            <w:hideMark/>
          </w:tcPr>
          <w:p w14:paraId="1D541011" w14:textId="77777777" w:rsidR="00BC1F06" w:rsidRPr="00022BA7" w:rsidRDefault="00BC1F06" w:rsidP="00AA6375">
            <w:pPr>
              <w:rPr>
                <w:sz w:val="18"/>
                <w:szCs w:val="18"/>
              </w:rPr>
            </w:pPr>
            <w:r w:rsidRPr="00022BA7">
              <w:rPr>
                <w:sz w:val="18"/>
                <w:szCs w:val="18"/>
              </w:rPr>
              <w:t>Vegetable Oil Tanker</w:t>
            </w:r>
          </w:p>
        </w:tc>
        <w:tc>
          <w:tcPr>
            <w:tcW w:w="2430" w:type="dxa"/>
            <w:noWrap/>
            <w:vAlign w:val="center"/>
            <w:hideMark/>
          </w:tcPr>
          <w:p w14:paraId="3CF90AC8" w14:textId="77777777" w:rsidR="00BC1F06" w:rsidRPr="00022BA7" w:rsidRDefault="00BC1F06" w:rsidP="00AA6375">
            <w:pPr>
              <w:rPr>
                <w:sz w:val="18"/>
                <w:szCs w:val="18"/>
              </w:rPr>
            </w:pPr>
            <w:r w:rsidRPr="00022BA7">
              <w:rPr>
                <w:sz w:val="18"/>
                <w:szCs w:val="18"/>
              </w:rPr>
              <w:t>Tanker</w:t>
            </w:r>
          </w:p>
        </w:tc>
      </w:tr>
      <w:tr w:rsidR="00BC1F06" w:rsidRPr="00022BA7" w14:paraId="5E7F980D" w14:textId="77777777" w:rsidTr="00AA6375">
        <w:trPr>
          <w:trHeight w:val="300"/>
        </w:trPr>
        <w:tc>
          <w:tcPr>
            <w:tcW w:w="6925" w:type="dxa"/>
            <w:noWrap/>
            <w:vAlign w:val="center"/>
            <w:hideMark/>
          </w:tcPr>
          <w:p w14:paraId="06A83F1B" w14:textId="77777777" w:rsidR="00BC1F06" w:rsidRPr="00022BA7" w:rsidRDefault="00BC1F06" w:rsidP="00AA6375">
            <w:pPr>
              <w:rPr>
                <w:sz w:val="18"/>
                <w:szCs w:val="18"/>
              </w:rPr>
            </w:pPr>
            <w:r w:rsidRPr="00022BA7">
              <w:rPr>
                <w:sz w:val="18"/>
                <w:szCs w:val="18"/>
              </w:rPr>
              <w:t>Crude Oil Tanker</w:t>
            </w:r>
          </w:p>
        </w:tc>
        <w:tc>
          <w:tcPr>
            <w:tcW w:w="2430" w:type="dxa"/>
            <w:noWrap/>
            <w:vAlign w:val="center"/>
            <w:hideMark/>
          </w:tcPr>
          <w:p w14:paraId="7F89A4AE" w14:textId="77777777" w:rsidR="00BC1F06" w:rsidRPr="00022BA7" w:rsidRDefault="00BC1F06" w:rsidP="00AA6375">
            <w:pPr>
              <w:rPr>
                <w:sz w:val="18"/>
                <w:szCs w:val="18"/>
              </w:rPr>
            </w:pPr>
            <w:r w:rsidRPr="00022BA7">
              <w:rPr>
                <w:sz w:val="18"/>
                <w:szCs w:val="18"/>
              </w:rPr>
              <w:t>Tanker</w:t>
            </w:r>
          </w:p>
        </w:tc>
      </w:tr>
      <w:tr w:rsidR="00BC1F06" w:rsidRPr="00022BA7" w14:paraId="1644EAE3" w14:textId="77777777" w:rsidTr="00AA6375">
        <w:trPr>
          <w:trHeight w:val="300"/>
        </w:trPr>
        <w:tc>
          <w:tcPr>
            <w:tcW w:w="6925" w:type="dxa"/>
            <w:noWrap/>
            <w:vAlign w:val="center"/>
            <w:hideMark/>
          </w:tcPr>
          <w:p w14:paraId="5FF919D7" w14:textId="77777777" w:rsidR="00BC1F06" w:rsidRPr="00022BA7" w:rsidRDefault="00BC1F06" w:rsidP="00AA6375">
            <w:pPr>
              <w:rPr>
                <w:sz w:val="18"/>
                <w:szCs w:val="18"/>
              </w:rPr>
            </w:pPr>
            <w:r w:rsidRPr="00022BA7">
              <w:rPr>
                <w:sz w:val="18"/>
                <w:szCs w:val="18"/>
              </w:rPr>
              <w:t>Crude/Oil Products Tanker</w:t>
            </w:r>
          </w:p>
        </w:tc>
        <w:tc>
          <w:tcPr>
            <w:tcW w:w="2430" w:type="dxa"/>
            <w:noWrap/>
            <w:vAlign w:val="center"/>
            <w:hideMark/>
          </w:tcPr>
          <w:p w14:paraId="72613541" w14:textId="77777777" w:rsidR="00BC1F06" w:rsidRPr="00022BA7" w:rsidRDefault="00BC1F06" w:rsidP="00AA6375">
            <w:pPr>
              <w:rPr>
                <w:sz w:val="18"/>
                <w:szCs w:val="18"/>
              </w:rPr>
            </w:pPr>
            <w:r w:rsidRPr="00022BA7">
              <w:rPr>
                <w:sz w:val="18"/>
                <w:szCs w:val="18"/>
              </w:rPr>
              <w:t>Tanker</w:t>
            </w:r>
          </w:p>
        </w:tc>
      </w:tr>
      <w:tr w:rsidR="00BC1F06" w:rsidRPr="00022BA7" w14:paraId="7FD791A2" w14:textId="77777777" w:rsidTr="00AA6375">
        <w:trPr>
          <w:trHeight w:val="300"/>
        </w:trPr>
        <w:tc>
          <w:tcPr>
            <w:tcW w:w="6925" w:type="dxa"/>
            <w:noWrap/>
            <w:vAlign w:val="center"/>
            <w:hideMark/>
          </w:tcPr>
          <w:p w14:paraId="6CF3CC12" w14:textId="77777777" w:rsidR="00BC1F06" w:rsidRPr="00022BA7" w:rsidRDefault="00BC1F06" w:rsidP="00AA6375">
            <w:pPr>
              <w:rPr>
                <w:sz w:val="18"/>
                <w:szCs w:val="18"/>
              </w:rPr>
            </w:pPr>
            <w:r w:rsidRPr="00022BA7">
              <w:rPr>
                <w:sz w:val="18"/>
                <w:szCs w:val="18"/>
              </w:rPr>
              <w:t>Products Tanker</w:t>
            </w:r>
          </w:p>
        </w:tc>
        <w:tc>
          <w:tcPr>
            <w:tcW w:w="2430" w:type="dxa"/>
            <w:noWrap/>
            <w:vAlign w:val="center"/>
            <w:hideMark/>
          </w:tcPr>
          <w:p w14:paraId="5FE8C4ED" w14:textId="77777777" w:rsidR="00BC1F06" w:rsidRPr="00022BA7" w:rsidRDefault="00BC1F06" w:rsidP="00AA6375">
            <w:pPr>
              <w:rPr>
                <w:sz w:val="18"/>
                <w:szCs w:val="18"/>
              </w:rPr>
            </w:pPr>
            <w:r w:rsidRPr="00022BA7">
              <w:rPr>
                <w:sz w:val="18"/>
                <w:szCs w:val="18"/>
              </w:rPr>
              <w:t>Tanker</w:t>
            </w:r>
          </w:p>
        </w:tc>
      </w:tr>
    </w:tbl>
    <w:p w14:paraId="0BFAF661" w14:textId="6C78C91F" w:rsidR="00BC1F06" w:rsidRDefault="00BC1F06" w:rsidP="00BC1F06">
      <w:pPr>
        <w:rPr>
          <w:sz w:val="16"/>
          <w:szCs w:val="16"/>
        </w:rPr>
      </w:pPr>
      <w:r w:rsidRPr="00B84F31">
        <w:rPr>
          <w:sz w:val="16"/>
          <w:szCs w:val="16"/>
        </w:rPr>
        <w:t xml:space="preserve">* </w:t>
      </w:r>
      <w:r>
        <w:rPr>
          <w:sz w:val="16"/>
          <w:szCs w:val="16"/>
        </w:rPr>
        <w:t>S</w:t>
      </w:r>
      <w:r w:rsidRPr="00B84F31">
        <w:rPr>
          <w:sz w:val="16"/>
          <w:szCs w:val="16"/>
        </w:rPr>
        <w:t>hip types such as offshore or fishing ships that are out of scope of this study are not included in the list</w:t>
      </w:r>
    </w:p>
    <w:p w14:paraId="70C8A358" w14:textId="5C2F6393" w:rsidR="00F14A43" w:rsidRDefault="00F14A43" w:rsidP="00BC1F06">
      <w:pPr>
        <w:rPr>
          <w:sz w:val="16"/>
          <w:szCs w:val="16"/>
        </w:rPr>
      </w:pPr>
    </w:p>
    <w:p w14:paraId="210BDAF1" w14:textId="5EDB0F8A" w:rsidR="00F14A43" w:rsidRDefault="00F14A43">
      <w:pPr>
        <w:widowControl/>
        <w:spacing w:line="240" w:lineRule="auto"/>
        <w:rPr>
          <w:sz w:val="16"/>
          <w:szCs w:val="16"/>
        </w:rPr>
      </w:pPr>
      <w:r>
        <w:rPr>
          <w:sz w:val="16"/>
          <w:szCs w:val="16"/>
        </w:rPr>
        <w:br w:type="page"/>
      </w:r>
    </w:p>
    <w:p w14:paraId="445F1499" w14:textId="6C39D514" w:rsidR="00F14A43" w:rsidRPr="00202BDC" w:rsidRDefault="00F14A43" w:rsidP="00F14A43">
      <w:pPr>
        <w:pStyle w:val="Caption"/>
        <w:keepNext/>
        <w:spacing w:line="240" w:lineRule="auto"/>
      </w:pPr>
      <w:bookmarkStart w:id="103" w:name="_Ref144851764"/>
      <w:bookmarkStart w:id="104" w:name="_Toc146723128"/>
      <w:r>
        <w:t xml:space="preserve">Supplementary </w:t>
      </w:r>
      <w:r w:rsidRPr="00022BA7">
        <w:t xml:space="preserve">Table </w:t>
      </w:r>
      <w:r w:rsidR="00590C69">
        <w:fldChar w:fldCharType="begin"/>
      </w:r>
      <w:r w:rsidR="00590C69">
        <w:instrText xml:space="preserve"> SEQ Table \* ARABIC </w:instrText>
      </w:r>
      <w:r w:rsidR="00590C69">
        <w:fldChar w:fldCharType="separate"/>
      </w:r>
      <w:r w:rsidR="00C661AC">
        <w:rPr>
          <w:noProof/>
        </w:rPr>
        <w:t>3</w:t>
      </w:r>
      <w:r w:rsidR="00590C69">
        <w:rPr>
          <w:noProof/>
        </w:rPr>
        <w:fldChar w:fldCharType="end"/>
      </w:r>
      <w:bookmarkEnd w:id="103"/>
      <w:r w:rsidRPr="00022BA7">
        <w:t xml:space="preserve">. </w:t>
      </w:r>
      <w:r w:rsidRPr="00202BDC">
        <w:t>Ship Statistics by Type and Source</w:t>
      </w:r>
      <w:bookmarkEnd w:id="104"/>
    </w:p>
    <w:tbl>
      <w:tblPr>
        <w:tblW w:w="9355" w:type="dxa"/>
        <w:tblCellMar>
          <w:left w:w="58" w:type="dxa"/>
          <w:right w:w="58" w:type="dxa"/>
        </w:tblCellMar>
        <w:tblLook w:val="0600" w:firstRow="0" w:lastRow="0" w:firstColumn="0" w:lastColumn="0" w:noHBand="1" w:noVBand="1"/>
      </w:tblPr>
      <w:tblGrid>
        <w:gridCol w:w="1165"/>
        <w:gridCol w:w="896"/>
        <w:gridCol w:w="1282"/>
        <w:gridCol w:w="1616"/>
        <w:gridCol w:w="808"/>
        <w:gridCol w:w="884"/>
        <w:gridCol w:w="1457"/>
        <w:gridCol w:w="1247"/>
      </w:tblGrid>
      <w:tr w:rsidR="00F14A43" w:rsidRPr="00022BA7" w14:paraId="51906423" w14:textId="77777777" w:rsidTr="0067573D">
        <w:trPr>
          <w:trHeight w:val="197"/>
        </w:trPr>
        <w:tc>
          <w:tcPr>
            <w:tcW w:w="11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14:paraId="0EA6170A" w14:textId="77777777" w:rsidR="00F14A43" w:rsidRPr="00022BA7" w:rsidRDefault="00F14A43" w:rsidP="0067573D">
            <w:pPr>
              <w:jc w:val="center"/>
              <w:rPr>
                <w:b/>
                <w:sz w:val="16"/>
                <w:szCs w:val="16"/>
              </w:rPr>
            </w:pPr>
          </w:p>
          <w:p w14:paraId="14CE8BDD" w14:textId="77777777" w:rsidR="00F14A43" w:rsidRPr="00022BA7" w:rsidRDefault="00F14A43" w:rsidP="0067573D">
            <w:pPr>
              <w:jc w:val="center"/>
              <w:rPr>
                <w:b/>
                <w:sz w:val="16"/>
                <w:szCs w:val="16"/>
              </w:rPr>
            </w:pPr>
          </w:p>
        </w:tc>
        <w:tc>
          <w:tcPr>
            <w:tcW w:w="8190"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2D85DB9" w14:textId="77777777" w:rsidR="00F14A43" w:rsidRPr="00022BA7" w:rsidRDefault="00F14A43" w:rsidP="0067573D">
            <w:pPr>
              <w:jc w:val="center"/>
              <w:rPr>
                <w:b/>
                <w:bCs/>
                <w:sz w:val="16"/>
                <w:szCs w:val="16"/>
              </w:rPr>
            </w:pPr>
            <w:r w:rsidRPr="00022BA7">
              <w:rPr>
                <w:b/>
                <w:bCs/>
                <w:sz w:val="16"/>
                <w:szCs w:val="16"/>
              </w:rPr>
              <w:t>Number of ships</w:t>
            </w:r>
          </w:p>
        </w:tc>
      </w:tr>
      <w:tr w:rsidR="00F14A43" w:rsidRPr="00022BA7" w14:paraId="0AE63603" w14:textId="77777777" w:rsidTr="0067573D">
        <w:trPr>
          <w:trHeight w:val="53"/>
        </w:trPr>
        <w:tc>
          <w:tcPr>
            <w:tcW w:w="1165"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2B5E7C11" w14:textId="77777777" w:rsidR="00F14A43" w:rsidRPr="00022BA7" w:rsidRDefault="00F14A43" w:rsidP="0067573D">
            <w:pPr>
              <w:rPr>
                <w:b/>
                <w:sz w:val="16"/>
              </w:rPr>
            </w:pPr>
            <w:r w:rsidRPr="00022BA7">
              <w:rPr>
                <w:b/>
                <w:bCs/>
                <w:sz w:val="16"/>
                <w:szCs w:val="16"/>
              </w:rPr>
              <w:t>Source</w:t>
            </w:r>
          </w:p>
        </w:tc>
        <w:tc>
          <w:tcPr>
            <w:tcW w:w="3794" w:type="dxa"/>
            <w:gridSpan w:val="3"/>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hideMark/>
          </w:tcPr>
          <w:p w14:paraId="62CA5A7C" w14:textId="7B083CC3" w:rsidR="00F14A43" w:rsidRPr="00022BA7" w:rsidRDefault="00F14A43" w:rsidP="0067573D">
            <w:pPr>
              <w:rPr>
                <w:b/>
                <w:sz w:val="16"/>
              </w:rPr>
            </w:pPr>
            <w:r w:rsidRPr="00022BA7">
              <w:rPr>
                <w:b/>
                <w:sz w:val="16"/>
              </w:rPr>
              <w:t>USCG</w:t>
            </w:r>
            <w:r w:rsidR="00720E96">
              <w:rPr>
                <w:b/>
                <w:sz w:val="16"/>
              </w:rPr>
              <w:fldChar w:fldCharType="begin"/>
            </w:r>
            <w:r w:rsidR="00720E96">
              <w:rPr>
                <w:b/>
                <w:sz w:val="16"/>
              </w:rPr>
              <w:instrText xml:space="preserve"> ADDIN ZOTERO_ITEM CSL_CITATION {"citationID":"ln6KCbkI","properties":{"formattedCitation":"\\super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720E96">
              <w:rPr>
                <w:b/>
                <w:sz w:val="16"/>
              </w:rPr>
              <w:fldChar w:fldCharType="separate"/>
            </w:r>
            <w:r w:rsidR="00720E96" w:rsidRPr="00720E96">
              <w:rPr>
                <w:rFonts w:cs="Times New Roman"/>
                <w:sz w:val="16"/>
                <w:szCs w:val="24"/>
                <w:vertAlign w:val="superscript"/>
              </w:rPr>
              <w:t>1</w:t>
            </w:r>
            <w:r w:rsidR="00720E96">
              <w:rPr>
                <w:b/>
                <w:sz w:val="16"/>
              </w:rPr>
              <w:fldChar w:fldCharType="end"/>
            </w:r>
            <w:r w:rsidRPr="00022BA7">
              <w:rPr>
                <w:b/>
                <w:sz w:val="16"/>
              </w:rPr>
              <w:t>, USACE</w:t>
            </w:r>
            <w:r w:rsidR="00720E96">
              <w:rPr>
                <w:b/>
                <w:sz w:val="16"/>
              </w:rPr>
              <w:fldChar w:fldCharType="begin"/>
            </w:r>
            <w:r w:rsidR="00720E96">
              <w:rPr>
                <w:b/>
                <w:sz w:val="16"/>
              </w:rPr>
              <w:instrText xml:space="preserve"> ADDIN ZOTERO_ITEM CSL_CITATION {"citationID":"NAHTcCIs","properties":{"formattedCitation":"\\super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720E96">
              <w:rPr>
                <w:b/>
                <w:sz w:val="16"/>
              </w:rPr>
              <w:fldChar w:fldCharType="separate"/>
            </w:r>
            <w:r w:rsidR="00720E96" w:rsidRPr="00720E96">
              <w:rPr>
                <w:rFonts w:cs="Times New Roman"/>
                <w:sz w:val="16"/>
                <w:szCs w:val="24"/>
                <w:vertAlign w:val="superscript"/>
              </w:rPr>
              <w:t>2</w:t>
            </w:r>
            <w:r w:rsidR="00720E96">
              <w:rPr>
                <w:b/>
                <w:sz w:val="16"/>
              </w:rPr>
              <w:fldChar w:fldCharType="end"/>
            </w:r>
            <w:r>
              <w:rPr>
                <w:b/>
                <w:sz w:val="16"/>
              </w:rPr>
              <w:t xml:space="preserve">, and </w:t>
            </w:r>
            <w:r w:rsidRPr="00022BA7">
              <w:rPr>
                <w:b/>
                <w:sz w:val="16"/>
              </w:rPr>
              <w:t>IHS</w:t>
            </w:r>
            <w:r w:rsidR="00720E96">
              <w:rPr>
                <w:b/>
                <w:sz w:val="16"/>
              </w:rPr>
              <w:fldChar w:fldCharType="begin"/>
            </w:r>
            <w:r w:rsidR="00720E96">
              <w:rPr>
                <w:b/>
                <w:sz w:val="16"/>
              </w:rPr>
              <w:instrText xml:space="preserve"> ADDIN ZOTERO_ITEM CSL_CITATION {"citationID":"uVFsokE8","properties":{"formattedCitation":"\\super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720E96">
              <w:rPr>
                <w:b/>
                <w:sz w:val="16"/>
              </w:rPr>
              <w:fldChar w:fldCharType="separate"/>
            </w:r>
            <w:r w:rsidR="00720E96" w:rsidRPr="00720E96">
              <w:rPr>
                <w:rFonts w:cs="Times New Roman"/>
                <w:sz w:val="16"/>
                <w:szCs w:val="24"/>
                <w:vertAlign w:val="superscript"/>
              </w:rPr>
              <w:t>3</w:t>
            </w:r>
            <w:r w:rsidR="00720E96">
              <w:rPr>
                <w:b/>
                <w:sz w:val="16"/>
              </w:rPr>
              <w:fldChar w:fldCharType="end"/>
            </w:r>
          </w:p>
        </w:tc>
        <w:tc>
          <w:tcPr>
            <w:tcW w:w="3149" w:type="dxa"/>
            <w:gridSpan w:val="3"/>
            <w:tcBorders>
              <w:top w:val="single" w:sz="4" w:space="0" w:color="auto"/>
              <w:left w:val="single" w:sz="12" w:space="0" w:color="auto"/>
              <w:bottom w:val="single" w:sz="4" w:space="0" w:color="auto"/>
              <w:right w:val="single" w:sz="4" w:space="0" w:color="auto"/>
            </w:tcBorders>
            <w:shd w:val="clear" w:color="auto" w:fill="F2F2F2" w:themeFill="background1" w:themeFillShade="F2"/>
            <w:vAlign w:val="center"/>
            <w:hideMark/>
          </w:tcPr>
          <w:p w14:paraId="07FE3DBD" w14:textId="5ED24959" w:rsidR="00F14A43" w:rsidRPr="00022BA7" w:rsidRDefault="00F14A43" w:rsidP="0067573D">
            <w:pPr>
              <w:rPr>
                <w:b/>
                <w:sz w:val="16"/>
              </w:rPr>
            </w:pPr>
            <w:r w:rsidRPr="00022BA7">
              <w:rPr>
                <w:b/>
                <w:sz w:val="16"/>
              </w:rPr>
              <w:t>IHS</w:t>
            </w:r>
            <w:r w:rsidR="004A49BF">
              <w:rPr>
                <w:b/>
                <w:sz w:val="16"/>
              </w:rPr>
              <w:fldChar w:fldCharType="begin"/>
            </w:r>
            <w:r w:rsidR="004A49BF">
              <w:rPr>
                <w:b/>
                <w:sz w:val="16"/>
              </w:rPr>
              <w:instrText xml:space="preserve"> ADDIN ZOTERO_ITEM CSL_CITATION {"citationID":"6v8eveMV","properties":{"formattedCitation":"\\super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4A49BF">
              <w:rPr>
                <w:b/>
                <w:sz w:val="16"/>
              </w:rPr>
              <w:fldChar w:fldCharType="separate"/>
            </w:r>
            <w:r w:rsidR="004A49BF" w:rsidRPr="00720E96">
              <w:rPr>
                <w:rFonts w:cs="Times New Roman"/>
                <w:sz w:val="16"/>
                <w:szCs w:val="24"/>
                <w:vertAlign w:val="superscript"/>
              </w:rPr>
              <w:t>3</w:t>
            </w:r>
            <w:r w:rsidR="004A49BF">
              <w:rPr>
                <w:b/>
                <w:sz w:val="16"/>
              </w:rPr>
              <w:fldChar w:fldCharType="end"/>
            </w:r>
          </w:p>
        </w:tc>
        <w:tc>
          <w:tcPr>
            <w:tcW w:w="12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F932459" w14:textId="61D62891" w:rsidR="00F14A43" w:rsidRPr="00022BA7" w:rsidRDefault="00F14A43" w:rsidP="0067573D">
            <w:pPr>
              <w:rPr>
                <w:b/>
                <w:sz w:val="16"/>
              </w:rPr>
            </w:pPr>
            <w:r w:rsidRPr="00022BA7">
              <w:rPr>
                <w:b/>
                <w:sz w:val="16"/>
              </w:rPr>
              <w:t>50</w:t>
            </w:r>
            <w:r w:rsidRPr="00022BA7">
              <w:rPr>
                <w:b/>
                <w:sz w:val="16"/>
                <w:vertAlign w:val="superscript"/>
              </w:rPr>
              <w:t>th</w:t>
            </w:r>
            <w:r w:rsidRPr="00022BA7">
              <w:rPr>
                <w:b/>
                <w:sz w:val="16"/>
              </w:rPr>
              <w:t xml:space="preserve"> NTS</w:t>
            </w:r>
            <w:r w:rsidR="004A49BF">
              <w:rPr>
                <w:b/>
                <w:sz w:val="16"/>
              </w:rPr>
              <w:fldChar w:fldCharType="begin"/>
            </w:r>
            <w:r w:rsidR="00C61E16">
              <w:rPr>
                <w:b/>
                <w:sz w:val="16"/>
              </w:rPr>
              <w:instrText xml:space="preserve"> ADDIN ZOTERO_ITEM CSL_CITATION {"citationID":"WqKrfxGA","properties":{"formattedCitation":"\\super 6\\nosupersub{}","plainCitation":"6","noteIndex":0},"citationItems":[{"id":293,"uris":["http://zotero.org/users/12468222/items/2CTH82BG"],"itemData":{"id":293,"type":"report","publisher":"U.S. Department of Transportation","title":"50th Anniversary Edition of the National Transportation Statistics.","URL":"https://www.bts.gov/sites/bts.dot.gov/files/2021-12/NTS-50th-complete-11-30-2021.pdf","author":[{"literal":"U.S. Department of Transportation"}],"issued":{"date-parts":[["2021"]]}}}],"schema":"https://github.com/citation-style-language/schema/raw/master/csl-citation.json"} </w:instrText>
            </w:r>
            <w:r w:rsidR="004A49BF">
              <w:rPr>
                <w:b/>
                <w:sz w:val="16"/>
              </w:rPr>
              <w:fldChar w:fldCharType="separate"/>
            </w:r>
            <w:r w:rsidR="00C61E16" w:rsidRPr="00C61E16">
              <w:rPr>
                <w:rFonts w:cs="Times New Roman"/>
                <w:sz w:val="16"/>
                <w:szCs w:val="24"/>
                <w:vertAlign w:val="superscript"/>
              </w:rPr>
              <w:t>6</w:t>
            </w:r>
            <w:r w:rsidR="004A49BF">
              <w:rPr>
                <w:b/>
                <w:sz w:val="16"/>
              </w:rPr>
              <w:fldChar w:fldCharType="end"/>
            </w:r>
          </w:p>
        </w:tc>
      </w:tr>
      <w:tr w:rsidR="00F14A43" w:rsidRPr="00022BA7" w14:paraId="10C4B0F8" w14:textId="77777777" w:rsidTr="0067573D">
        <w:trPr>
          <w:trHeight w:val="53"/>
        </w:trPr>
        <w:tc>
          <w:tcPr>
            <w:tcW w:w="1165" w:type="dxa"/>
            <w:vMerge w:val="restart"/>
            <w:tcBorders>
              <w:top w:val="single" w:sz="4" w:space="0" w:color="auto"/>
              <w:left w:val="single" w:sz="4" w:space="0" w:color="auto"/>
              <w:right w:val="single" w:sz="12" w:space="0" w:color="auto"/>
            </w:tcBorders>
            <w:shd w:val="clear" w:color="auto" w:fill="F2F2F2" w:themeFill="background1" w:themeFillShade="F2"/>
            <w:vAlign w:val="center"/>
            <w:hideMark/>
          </w:tcPr>
          <w:p w14:paraId="3CB2D619" w14:textId="77777777" w:rsidR="00F14A43" w:rsidRPr="00022BA7" w:rsidRDefault="00F14A43" w:rsidP="0067573D">
            <w:pPr>
              <w:jc w:val="right"/>
              <w:rPr>
                <w:b/>
                <w:sz w:val="16"/>
              </w:rPr>
            </w:pPr>
            <w:r w:rsidRPr="00022BA7">
              <w:rPr>
                <w:b/>
                <w:sz w:val="16"/>
                <w:szCs w:val="16"/>
              </w:rPr>
              <w:t>Ships Categories</w:t>
            </w:r>
          </w:p>
        </w:tc>
        <w:tc>
          <w:tcPr>
            <w:tcW w:w="896" w:type="dxa"/>
            <w:vMerge w:val="restart"/>
            <w:tcBorders>
              <w:top w:val="single" w:sz="4" w:space="0" w:color="auto"/>
              <w:left w:val="single" w:sz="12" w:space="0" w:color="auto"/>
            </w:tcBorders>
            <w:shd w:val="clear" w:color="auto" w:fill="F2F2F2" w:themeFill="background1" w:themeFillShade="F2"/>
            <w:vAlign w:val="bottom"/>
            <w:hideMark/>
          </w:tcPr>
          <w:p w14:paraId="33CC6216" w14:textId="77777777" w:rsidR="00F14A43" w:rsidRPr="00022BA7" w:rsidRDefault="00F14A43" w:rsidP="0067573D">
            <w:pPr>
              <w:jc w:val="center"/>
              <w:rPr>
                <w:b/>
                <w:sz w:val="8"/>
                <w:szCs w:val="8"/>
              </w:rPr>
            </w:pPr>
          </w:p>
          <w:p w14:paraId="42DBBA23" w14:textId="77777777" w:rsidR="00F14A43" w:rsidRPr="00022BA7" w:rsidRDefault="00F14A43" w:rsidP="0067573D">
            <w:pPr>
              <w:jc w:val="center"/>
              <w:rPr>
                <w:b/>
                <w:sz w:val="8"/>
                <w:szCs w:val="8"/>
              </w:rPr>
            </w:pPr>
          </w:p>
          <w:p w14:paraId="0280A9E2" w14:textId="77777777" w:rsidR="00F14A43" w:rsidRPr="00022BA7" w:rsidRDefault="00F14A43" w:rsidP="0067573D">
            <w:pPr>
              <w:jc w:val="center"/>
              <w:rPr>
                <w:b/>
                <w:sz w:val="8"/>
              </w:rPr>
            </w:pPr>
            <w:r w:rsidRPr="00022BA7">
              <w:rPr>
                <w:b/>
                <w:sz w:val="16"/>
                <w:szCs w:val="16"/>
              </w:rPr>
              <w:t>Integrated Ship Database</w:t>
            </w:r>
            <w:r w:rsidRPr="00022BA7" w:rsidDel="00152068">
              <w:rPr>
                <w:b/>
                <w:sz w:val="16"/>
                <w:szCs w:val="16"/>
              </w:rPr>
              <w:t xml:space="preserve"> </w:t>
            </w:r>
          </w:p>
        </w:tc>
        <w:tc>
          <w:tcPr>
            <w:tcW w:w="2898" w:type="dxa"/>
            <w:gridSpan w:val="2"/>
            <w:tcBorders>
              <w:top w:val="single" w:sz="4" w:space="0" w:color="auto"/>
              <w:bottom w:val="single" w:sz="4" w:space="0" w:color="auto"/>
              <w:right w:val="single" w:sz="12" w:space="0" w:color="auto"/>
            </w:tcBorders>
            <w:shd w:val="clear" w:color="auto" w:fill="F2F2F2" w:themeFill="background1" w:themeFillShade="F2"/>
            <w:vAlign w:val="bottom"/>
            <w:hideMark/>
          </w:tcPr>
          <w:p w14:paraId="1D01FC6D" w14:textId="77777777" w:rsidR="00F14A43" w:rsidRPr="00022BA7" w:rsidRDefault="00F14A43" w:rsidP="0067573D">
            <w:pPr>
              <w:jc w:val="center"/>
              <w:rPr>
                <w:b/>
                <w:sz w:val="16"/>
                <w:szCs w:val="16"/>
              </w:rPr>
            </w:pPr>
          </w:p>
          <w:p w14:paraId="703D935A" w14:textId="77777777" w:rsidR="00F14A43" w:rsidRPr="00022BA7" w:rsidRDefault="00F14A43" w:rsidP="0067573D">
            <w:pPr>
              <w:jc w:val="center"/>
              <w:rPr>
                <w:b/>
                <w:sz w:val="16"/>
                <w:szCs w:val="16"/>
              </w:rPr>
            </w:pPr>
          </w:p>
        </w:tc>
        <w:tc>
          <w:tcPr>
            <w:tcW w:w="808" w:type="dxa"/>
            <w:vMerge w:val="restart"/>
            <w:tcBorders>
              <w:top w:val="single" w:sz="4" w:space="0" w:color="auto"/>
              <w:left w:val="single" w:sz="12" w:space="0" w:color="auto"/>
            </w:tcBorders>
            <w:shd w:val="clear" w:color="auto" w:fill="F2F2F2" w:themeFill="background1" w:themeFillShade="F2"/>
            <w:vAlign w:val="bottom"/>
            <w:hideMark/>
          </w:tcPr>
          <w:p w14:paraId="054AC58E" w14:textId="77777777" w:rsidR="00F14A43" w:rsidRPr="00022BA7" w:rsidRDefault="00F14A43" w:rsidP="0067573D">
            <w:pPr>
              <w:jc w:val="center"/>
              <w:rPr>
                <w:b/>
                <w:sz w:val="8"/>
                <w:szCs w:val="8"/>
              </w:rPr>
            </w:pPr>
          </w:p>
          <w:p w14:paraId="208994C1" w14:textId="77777777" w:rsidR="00F14A43" w:rsidRPr="00022BA7" w:rsidRDefault="00F14A43" w:rsidP="0067573D">
            <w:pPr>
              <w:jc w:val="center"/>
              <w:rPr>
                <w:b/>
                <w:sz w:val="8"/>
                <w:szCs w:val="8"/>
              </w:rPr>
            </w:pPr>
          </w:p>
          <w:p w14:paraId="591C847B" w14:textId="77777777" w:rsidR="00F14A43" w:rsidRPr="00022BA7" w:rsidRDefault="00F14A43" w:rsidP="0067573D">
            <w:pPr>
              <w:jc w:val="center"/>
              <w:rPr>
                <w:b/>
                <w:sz w:val="8"/>
              </w:rPr>
            </w:pPr>
            <w:r w:rsidRPr="00022BA7">
              <w:rPr>
                <w:b/>
                <w:sz w:val="16"/>
                <w:szCs w:val="16"/>
              </w:rPr>
              <w:t>Total</w:t>
            </w:r>
          </w:p>
        </w:tc>
        <w:tc>
          <w:tcPr>
            <w:tcW w:w="884" w:type="dxa"/>
            <w:tcBorders>
              <w:top w:val="single" w:sz="4" w:space="0" w:color="auto"/>
              <w:bottom w:val="single" w:sz="4" w:space="0" w:color="auto"/>
            </w:tcBorders>
            <w:shd w:val="clear" w:color="auto" w:fill="F2F2F2" w:themeFill="background1" w:themeFillShade="F2"/>
            <w:vAlign w:val="bottom"/>
            <w:hideMark/>
          </w:tcPr>
          <w:p w14:paraId="361350C1" w14:textId="77777777" w:rsidR="00F14A43" w:rsidRPr="00022BA7" w:rsidRDefault="00F14A43" w:rsidP="0067573D">
            <w:pPr>
              <w:jc w:val="center"/>
              <w:rPr>
                <w:b/>
                <w:sz w:val="8"/>
              </w:rPr>
            </w:pPr>
          </w:p>
        </w:tc>
        <w:tc>
          <w:tcPr>
            <w:tcW w:w="1457" w:type="dxa"/>
            <w:tcBorders>
              <w:top w:val="single" w:sz="4" w:space="0" w:color="auto"/>
              <w:bottom w:val="single" w:sz="4" w:space="0" w:color="auto"/>
              <w:right w:val="single" w:sz="4" w:space="0" w:color="auto"/>
            </w:tcBorders>
            <w:shd w:val="clear" w:color="auto" w:fill="F2F2F2" w:themeFill="background1" w:themeFillShade="F2"/>
            <w:vAlign w:val="bottom"/>
            <w:hideMark/>
          </w:tcPr>
          <w:p w14:paraId="1E0DCF70" w14:textId="77777777" w:rsidR="00F14A43" w:rsidRPr="00022BA7" w:rsidRDefault="00F14A43" w:rsidP="0067573D">
            <w:pPr>
              <w:jc w:val="center"/>
              <w:rPr>
                <w:sz w:val="8"/>
                <w:szCs w:val="8"/>
              </w:rPr>
            </w:pPr>
          </w:p>
        </w:tc>
        <w:tc>
          <w:tcPr>
            <w:tcW w:w="124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12DBAE91" w14:textId="77777777" w:rsidR="00F14A43" w:rsidRPr="00022BA7" w:rsidRDefault="00F14A43" w:rsidP="0067573D">
            <w:pPr>
              <w:jc w:val="center"/>
              <w:rPr>
                <w:b/>
                <w:sz w:val="16"/>
              </w:rPr>
            </w:pPr>
            <w:r w:rsidRPr="00022BA7">
              <w:rPr>
                <w:b/>
                <w:sz w:val="16"/>
                <w:szCs w:val="16"/>
              </w:rPr>
              <w:t>Total</w:t>
            </w:r>
          </w:p>
        </w:tc>
      </w:tr>
      <w:tr w:rsidR="00F14A43" w:rsidRPr="00022BA7" w14:paraId="6EF3F32F" w14:textId="77777777" w:rsidTr="0067573D">
        <w:trPr>
          <w:trHeight w:val="53"/>
        </w:trPr>
        <w:tc>
          <w:tcPr>
            <w:tcW w:w="1165" w:type="dxa"/>
            <w:vMerge/>
            <w:tcBorders>
              <w:left w:val="single" w:sz="4" w:space="0" w:color="auto"/>
              <w:right w:val="single" w:sz="12" w:space="0" w:color="auto"/>
            </w:tcBorders>
            <w:shd w:val="clear" w:color="auto" w:fill="F2F2F2" w:themeFill="background1" w:themeFillShade="F2"/>
            <w:vAlign w:val="center"/>
            <w:hideMark/>
          </w:tcPr>
          <w:p w14:paraId="64C5C7B9" w14:textId="77777777" w:rsidR="00F14A43" w:rsidRPr="00022BA7" w:rsidRDefault="00F14A43" w:rsidP="0067573D">
            <w:pPr>
              <w:rPr>
                <w:sz w:val="16"/>
                <w:szCs w:val="16"/>
              </w:rPr>
            </w:pPr>
          </w:p>
        </w:tc>
        <w:tc>
          <w:tcPr>
            <w:tcW w:w="896" w:type="dxa"/>
            <w:vMerge/>
            <w:tcBorders>
              <w:left w:val="single" w:sz="12" w:space="0" w:color="auto"/>
              <w:right w:val="single" w:sz="4" w:space="0" w:color="auto"/>
            </w:tcBorders>
            <w:shd w:val="clear" w:color="auto" w:fill="F2F2F2" w:themeFill="background1" w:themeFillShade="F2"/>
            <w:vAlign w:val="bottom"/>
            <w:hideMark/>
          </w:tcPr>
          <w:p w14:paraId="128BF5CD" w14:textId="77777777" w:rsidR="00F14A43" w:rsidRPr="00022BA7" w:rsidRDefault="00F14A43" w:rsidP="0067573D">
            <w:pPr>
              <w:jc w:val="center"/>
              <w:rPr>
                <w:b/>
                <w:sz w:val="8"/>
              </w:rPr>
            </w:pPr>
          </w:p>
        </w:tc>
        <w:tc>
          <w:tcPr>
            <w:tcW w:w="1282" w:type="dxa"/>
            <w:vMerge w:val="restart"/>
            <w:tcBorders>
              <w:top w:val="single" w:sz="4" w:space="0" w:color="auto"/>
              <w:left w:val="single" w:sz="4" w:space="0" w:color="auto"/>
              <w:bottom w:val="single" w:sz="4" w:space="0" w:color="auto"/>
            </w:tcBorders>
            <w:shd w:val="clear" w:color="auto" w:fill="F2F2F2" w:themeFill="background1" w:themeFillShade="F2"/>
            <w:vAlign w:val="bottom"/>
            <w:hideMark/>
          </w:tcPr>
          <w:p w14:paraId="1E617B0A" w14:textId="77777777" w:rsidR="00F14A43" w:rsidRPr="00022BA7" w:rsidRDefault="00F14A43" w:rsidP="0067573D">
            <w:pPr>
              <w:jc w:val="center"/>
              <w:rPr>
                <w:b/>
                <w:sz w:val="8"/>
              </w:rPr>
            </w:pPr>
            <w:r w:rsidRPr="00022BA7">
              <w:rPr>
                <w:b/>
                <w:sz w:val="16"/>
                <w:szCs w:val="16"/>
              </w:rPr>
              <w:t>Domestic Fleet (</w:t>
            </w:r>
            <w:r w:rsidRPr="00022BA7">
              <w:rPr>
                <w:b/>
                <w:sz w:val="16"/>
              </w:rPr>
              <w:t>50&lt;GT&lt;1000</w:t>
            </w:r>
            <w:r w:rsidRPr="00022BA7">
              <w:rPr>
                <w:b/>
                <w:sz w:val="16"/>
                <w:szCs w:val="16"/>
              </w:rPr>
              <w:t>)</w:t>
            </w:r>
          </w:p>
        </w:tc>
        <w:tc>
          <w:tcPr>
            <w:tcW w:w="1616" w:type="dxa"/>
            <w:tcBorders>
              <w:top w:val="single" w:sz="4" w:space="0" w:color="auto"/>
              <w:bottom w:val="single" w:sz="12" w:space="0" w:color="auto"/>
              <w:right w:val="single" w:sz="12" w:space="0" w:color="auto"/>
            </w:tcBorders>
            <w:shd w:val="clear" w:color="auto" w:fill="F2F2F2" w:themeFill="background1" w:themeFillShade="F2"/>
            <w:vAlign w:val="bottom"/>
            <w:hideMark/>
          </w:tcPr>
          <w:p w14:paraId="1CB9DFA3" w14:textId="77777777" w:rsidR="00F14A43" w:rsidRPr="00022BA7" w:rsidRDefault="00F14A43" w:rsidP="0067573D">
            <w:pPr>
              <w:jc w:val="center"/>
              <w:rPr>
                <w:b/>
                <w:sz w:val="16"/>
                <w:szCs w:val="16"/>
              </w:rPr>
            </w:pPr>
            <w:r w:rsidRPr="00022BA7">
              <w:rPr>
                <w:b/>
                <w:sz w:val="16"/>
                <w:szCs w:val="16"/>
              </w:rPr>
              <w:t xml:space="preserve"> </w:t>
            </w:r>
          </w:p>
        </w:tc>
        <w:tc>
          <w:tcPr>
            <w:tcW w:w="808" w:type="dxa"/>
            <w:vMerge/>
            <w:tcBorders>
              <w:left w:val="single" w:sz="12" w:space="0" w:color="auto"/>
              <w:right w:val="single" w:sz="4" w:space="0" w:color="auto"/>
            </w:tcBorders>
            <w:shd w:val="clear" w:color="auto" w:fill="F2F2F2" w:themeFill="background1" w:themeFillShade="F2"/>
            <w:vAlign w:val="bottom"/>
            <w:hideMark/>
          </w:tcPr>
          <w:p w14:paraId="21C5421D" w14:textId="77777777" w:rsidR="00F14A43" w:rsidRPr="00022BA7" w:rsidRDefault="00F14A43" w:rsidP="0067573D">
            <w:pPr>
              <w:jc w:val="center"/>
              <w:rPr>
                <w:b/>
                <w:sz w:val="8"/>
              </w:rPr>
            </w:pPr>
          </w:p>
        </w:tc>
        <w:tc>
          <w:tcPr>
            <w:tcW w:w="884" w:type="dxa"/>
            <w:vMerge w:val="restart"/>
            <w:tcBorders>
              <w:top w:val="single" w:sz="4" w:space="0" w:color="auto"/>
              <w:left w:val="single" w:sz="4" w:space="0" w:color="auto"/>
              <w:bottom w:val="single" w:sz="4" w:space="0" w:color="auto"/>
            </w:tcBorders>
            <w:shd w:val="clear" w:color="auto" w:fill="F2F2F2" w:themeFill="background1" w:themeFillShade="F2"/>
            <w:vAlign w:val="bottom"/>
            <w:hideMark/>
          </w:tcPr>
          <w:p w14:paraId="27861A78" w14:textId="77777777" w:rsidR="00F14A43" w:rsidRPr="00022BA7" w:rsidRDefault="00F14A43" w:rsidP="0067573D">
            <w:pPr>
              <w:jc w:val="center"/>
              <w:rPr>
                <w:b/>
                <w:sz w:val="8"/>
                <w:szCs w:val="8"/>
              </w:rPr>
            </w:pPr>
          </w:p>
          <w:p w14:paraId="5EB22F74" w14:textId="77777777" w:rsidR="00F14A43" w:rsidRPr="00022BA7" w:rsidRDefault="00F14A43" w:rsidP="0067573D">
            <w:pPr>
              <w:jc w:val="center"/>
              <w:rPr>
                <w:b/>
                <w:sz w:val="8"/>
              </w:rPr>
            </w:pPr>
            <w:r w:rsidRPr="00022BA7">
              <w:rPr>
                <w:b/>
                <w:sz w:val="16"/>
              </w:rPr>
              <w:t>GT&lt;1000</w:t>
            </w:r>
          </w:p>
          <w:p w14:paraId="74D36861" w14:textId="77777777" w:rsidR="00F14A43" w:rsidRPr="00022BA7" w:rsidRDefault="00F14A43" w:rsidP="0067573D">
            <w:pPr>
              <w:jc w:val="center"/>
              <w:rPr>
                <w:b/>
                <w:sz w:val="8"/>
              </w:rPr>
            </w:pPr>
          </w:p>
        </w:tc>
        <w:tc>
          <w:tcPr>
            <w:tcW w:w="1457" w:type="dxa"/>
            <w:tcBorders>
              <w:top w:val="single" w:sz="4" w:space="0" w:color="auto"/>
              <w:bottom w:val="single" w:sz="4" w:space="0" w:color="auto"/>
              <w:right w:val="single" w:sz="4" w:space="0" w:color="auto"/>
            </w:tcBorders>
            <w:shd w:val="clear" w:color="auto" w:fill="F2F2F2" w:themeFill="background1" w:themeFillShade="F2"/>
            <w:vAlign w:val="bottom"/>
            <w:hideMark/>
          </w:tcPr>
          <w:p w14:paraId="6D583903" w14:textId="77777777" w:rsidR="00F14A43" w:rsidRPr="00022BA7" w:rsidRDefault="00F14A43" w:rsidP="0067573D">
            <w:pPr>
              <w:jc w:val="center"/>
              <w:rPr>
                <w:b/>
                <w:sz w:val="8"/>
              </w:rPr>
            </w:pPr>
          </w:p>
        </w:tc>
        <w:tc>
          <w:tcPr>
            <w:tcW w:w="1247" w:type="dxa"/>
            <w:vMerge/>
            <w:tcBorders>
              <w:top w:val="single" w:sz="4" w:space="0" w:color="auto"/>
              <w:left w:val="single" w:sz="4" w:space="0" w:color="auto"/>
              <w:bottom w:val="single" w:sz="4" w:space="0" w:color="auto"/>
              <w:right w:val="single" w:sz="4" w:space="0" w:color="auto"/>
            </w:tcBorders>
            <w:vAlign w:val="center"/>
            <w:hideMark/>
          </w:tcPr>
          <w:p w14:paraId="6C9017F5" w14:textId="77777777" w:rsidR="00F14A43" w:rsidRPr="00022BA7" w:rsidRDefault="00F14A43" w:rsidP="0067573D">
            <w:pPr>
              <w:rPr>
                <w:b/>
                <w:sz w:val="16"/>
              </w:rPr>
            </w:pPr>
          </w:p>
        </w:tc>
      </w:tr>
      <w:tr w:rsidR="00F14A43" w:rsidRPr="00022BA7" w14:paraId="6FB236DC" w14:textId="77777777" w:rsidTr="0067573D">
        <w:trPr>
          <w:trHeight w:val="53"/>
        </w:trPr>
        <w:tc>
          <w:tcPr>
            <w:tcW w:w="1165" w:type="dxa"/>
            <w:tcBorders>
              <w:left w:val="single" w:sz="4" w:space="0" w:color="auto"/>
              <w:bottom w:val="single" w:sz="4" w:space="0" w:color="auto"/>
              <w:right w:val="single" w:sz="12" w:space="0" w:color="auto"/>
              <w:tl2br w:val="single" w:sz="4" w:space="0" w:color="auto"/>
            </w:tcBorders>
            <w:shd w:val="clear" w:color="auto" w:fill="F2F2F2" w:themeFill="background1" w:themeFillShade="F2"/>
            <w:vAlign w:val="bottom"/>
          </w:tcPr>
          <w:p w14:paraId="1FC5428B" w14:textId="77777777" w:rsidR="00F14A43" w:rsidRPr="00022BA7" w:rsidRDefault="00F14A43" w:rsidP="0067573D">
            <w:pPr>
              <w:rPr>
                <w:b/>
                <w:sz w:val="16"/>
                <w:szCs w:val="16"/>
              </w:rPr>
            </w:pPr>
            <w:r w:rsidRPr="00022BA7">
              <w:rPr>
                <w:b/>
                <w:sz w:val="16"/>
                <w:szCs w:val="16"/>
              </w:rPr>
              <w:t>Ship type</w:t>
            </w:r>
          </w:p>
        </w:tc>
        <w:tc>
          <w:tcPr>
            <w:tcW w:w="896" w:type="dxa"/>
            <w:vMerge/>
            <w:tcBorders>
              <w:left w:val="single" w:sz="12" w:space="0" w:color="auto"/>
              <w:bottom w:val="single" w:sz="4" w:space="0" w:color="auto"/>
              <w:right w:val="single" w:sz="4" w:space="0" w:color="auto"/>
            </w:tcBorders>
            <w:shd w:val="clear" w:color="auto" w:fill="F2F2F2" w:themeFill="background1" w:themeFillShade="F2"/>
            <w:vAlign w:val="bottom"/>
            <w:hideMark/>
          </w:tcPr>
          <w:p w14:paraId="6D969AB2" w14:textId="77777777" w:rsidR="00F14A43" w:rsidRPr="00022BA7" w:rsidRDefault="00F14A43" w:rsidP="0067573D">
            <w:pPr>
              <w:jc w:val="center"/>
              <w:rPr>
                <w:b/>
                <w:sz w:val="16"/>
              </w:rPr>
            </w:pPr>
          </w:p>
        </w:tc>
        <w:tc>
          <w:tcPr>
            <w:tcW w:w="1282" w:type="dxa"/>
            <w:vMerge/>
            <w:tcBorders>
              <w:left w:val="single" w:sz="4" w:space="0" w:color="auto"/>
              <w:bottom w:val="single" w:sz="4" w:space="0" w:color="auto"/>
              <w:right w:val="single" w:sz="12" w:space="0" w:color="auto"/>
            </w:tcBorders>
            <w:shd w:val="clear" w:color="auto" w:fill="F2F2F2" w:themeFill="background1" w:themeFillShade="F2"/>
            <w:vAlign w:val="bottom"/>
            <w:hideMark/>
          </w:tcPr>
          <w:p w14:paraId="45B99474" w14:textId="77777777" w:rsidR="00F14A43" w:rsidRPr="00022BA7" w:rsidRDefault="00F14A43" w:rsidP="0067573D">
            <w:pPr>
              <w:jc w:val="center"/>
              <w:rPr>
                <w:b/>
                <w:sz w:val="16"/>
              </w:rPr>
            </w:pPr>
          </w:p>
        </w:tc>
        <w:tc>
          <w:tcPr>
            <w:tcW w:w="1616"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bottom"/>
            <w:hideMark/>
          </w:tcPr>
          <w:p w14:paraId="7B80EE4B" w14:textId="77777777" w:rsidR="00F14A43" w:rsidRPr="00022BA7" w:rsidRDefault="00F14A43" w:rsidP="0067573D">
            <w:pPr>
              <w:jc w:val="center"/>
              <w:rPr>
                <w:b/>
                <w:sz w:val="16"/>
                <w:szCs w:val="16"/>
              </w:rPr>
            </w:pPr>
            <w:r w:rsidRPr="00022BA7">
              <w:rPr>
                <w:b/>
                <w:sz w:val="16"/>
                <w:szCs w:val="16"/>
              </w:rPr>
              <w:t>AIS Analyzed Subset (annual travel &gt; 1,500 km)</w:t>
            </w:r>
          </w:p>
        </w:tc>
        <w:tc>
          <w:tcPr>
            <w:tcW w:w="808" w:type="dxa"/>
            <w:vMerge/>
            <w:tcBorders>
              <w:left w:val="single" w:sz="12" w:space="0" w:color="auto"/>
              <w:bottom w:val="single" w:sz="4" w:space="0" w:color="auto"/>
              <w:right w:val="single" w:sz="4" w:space="0" w:color="auto"/>
            </w:tcBorders>
            <w:shd w:val="clear" w:color="auto" w:fill="F2F2F2" w:themeFill="background1" w:themeFillShade="F2"/>
            <w:vAlign w:val="bottom"/>
            <w:hideMark/>
          </w:tcPr>
          <w:p w14:paraId="1C42B061" w14:textId="77777777" w:rsidR="00F14A43" w:rsidRPr="00022BA7" w:rsidRDefault="00F14A43" w:rsidP="0067573D">
            <w:pPr>
              <w:jc w:val="center"/>
              <w:rPr>
                <w:b/>
                <w:sz w:val="16"/>
              </w:rPr>
            </w:pPr>
          </w:p>
        </w:tc>
        <w:tc>
          <w:tcPr>
            <w:tcW w:w="884" w:type="dxa"/>
            <w:vMerge/>
            <w:tcBorders>
              <w:left w:val="single" w:sz="4" w:space="0" w:color="auto"/>
              <w:bottom w:val="single" w:sz="4" w:space="0" w:color="auto"/>
              <w:right w:val="single" w:sz="4" w:space="0" w:color="auto"/>
            </w:tcBorders>
            <w:shd w:val="clear" w:color="auto" w:fill="F2F2F2" w:themeFill="background1" w:themeFillShade="F2"/>
            <w:vAlign w:val="bottom"/>
            <w:hideMark/>
          </w:tcPr>
          <w:p w14:paraId="457539E7" w14:textId="77777777" w:rsidR="00F14A43" w:rsidRPr="00022BA7" w:rsidRDefault="00F14A43" w:rsidP="0067573D">
            <w:pPr>
              <w:jc w:val="center"/>
              <w:rPr>
                <w:b/>
                <w:sz w:val="16"/>
              </w:rPr>
            </w:pPr>
          </w:p>
        </w:tc>
        <w:tc>
          <w:tcPr>
            <w:tcW w:w="145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3D3B2364" w14:textId="77777777" w:rsidR="00F14A43" w:rsidRPr="00022BA7" w:rsidRDefault="00F14A43" w:rsidP="0067573D">
            <w:pPr>
              <w:jc w:val="center"/>
              <w:rPr>
                <w:b/>
                <w:sz w:val="16"/>
              </w:rPr>
            </w:pPr>
            <w:r w:rsidRPr="00022BA7">
              <w:rPr>
                <w:b/>
                <w:sz w:val="16"/>
              </w:rPr>
              <w:t>with AIS</w:t>
            </w:r>
          </w:p>
        </w:tc>
        <w:tc>
          <w:tcPr>
            <w:tcW w:w="1247" w:type="dxa"/>
            <w:vMerge/>
            <w:tcBorders>
              <w:top w:val="single" w:sz="4" w:space="0" w:color="auto"/>
              <w:left w:val="single" w:sz="4" w:space="0" w:color="auto"/>
              <w:bottom w:val="single" w:sz="4" w:space="0" w:color="auto"/>
              <w:right w:val="single" w:sz="4" w:space="0" w:color="auto"/>
            </w:tcBorders>
            <w:vAlign w:val="center"/>
            <w:hideMark/>
          </w:tcPr>
          <w:p w14:paraId="20C99051" w14:textId="77777777" w:rsidR="00F14A43" w:rsidRPr="00022BA7" w:rsidRDefault="00F14A43" w:rsidP="0067573D">
            <w:pPr>
              <w:rPr>
                <w:b/>
                <w:sz w:val="16"/>
              </w:rPr>
            </w:pPr>
          </w:p>
        </w:tc>
      </w:tr>
      <w:tr w:rsidR="00F14A43" w:rsidRPr="00022BA7" w14:paraId="5698B38B" w14:textId="77777777" w:rsidTr="0067573D">
        <w:trPr>
          <w:trHeight w:val="270"/>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22EF820C" w14:textId="77777777" w:rsidR="00F14A43" w:rsidRPr="00022BA7" w:rsidRDefault="00F14A43" w:rsidP="0067573D">
            <w:pPr>
              <w:rPr>
                <w:sz w:val="16"/>
                <w:szCs w:val="16"/>
              </w:rPr>
            </w:pPr>
            <w:r w:rsidRPr="00022BA7">
              <w:rPr>
                <w:sz w:val="16"/>
                <w:szCs w:val="16"/>
              </w:rPr>
              <w:t>Bulk Carrier</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95CBE08" w14:textId="77777777" w:rsidR="00F14A43" w:rsidRPr="00022BA7" w:rsidRDefault="00F14A43" w:rsidP="0067573D">
            <w:pPr>
              <w:jc w:val="right"/>
              <w:rPr>
                <w:sz w:val="16"/>
                <w:szCs w:val="16"/>
              </w:rPr>
            </w:pPr>
            <w:r w:rsidRPr="00022BA7">
              <w:rPr>
                <w:sz w:val="16"/>
                <w:szCs w:val="16"/>
              </w:rPr>
              <w:t>45</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55F3112C" w14:textId="77777777" w:rsidR="00F14A43" w:rsidRPr="00022BA7" w:rsidRDefault="00F14A43" w:rsidP="0067573D">
            <w:pPr>
              <w:jc w:val="right"/>
              <w:rPr>
                <w:sz w:val="16"/>
                <w:szCs w:val="16"/>
              </w:rPr>
            </w:pPr>
            <w:r w:rsidRPr="00022BA7">
              <w:rPr>
                <w:sz w:val="16"/>
                <w:szCs w:val="16"/>
              </w:rPr>
              <w:t>1</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68E69DC6" w14:textId="77777777" w:rsidR="00F14A43" w:rsidRPr="00022BA7" w:rsidRDefault="00F14A43" w:rsidP="0067573D">
            <w:pPr>
              <w:jc w:val="right"/>
              <w:rPr>
                <w:sz w:val="16"/>
                <w:szCs w:val="16"/>
              </w:rPr>
            </w:pPr>
            <w:r w:rsidRPr="00022BA7">
              <w:rPr>
                <w:sz w:val="16"/>
                <w:szCs w:val="16"/>
              </w:rPr>
              <w:t>0</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23F9822" w14:textId="77777777" w:rsidR="00F14A43" w:rsidRPr="00022BA7" w:rsidRDefault="00F14A43" w:rsidP="0067573D">
            <w:pPr>
              <w:jc w:val="right"/>
              <w:rPr>
                <w:sz w:val="16"/>
                <w:szCs w:val="16"/>
              </w:rPr>
            </w:pPr>
            <w:r w:rsidRPr="00022BA7">
              <w:rPr>
                <w:sz w:val="16"/>
                <w:szCs w:val="16"/>
              </w:rPr>
              <w:t>41</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BC3D13" w14:textId="77777777" w:rsidR="00F14A43" w:rsidRPr="00022BA7" w:rsidRDefault="00F14A43" w:rsidP="0067573D">
            <w:pPr>
              <w:jc w:val="right"/>
              <w:rPr>
                <w:sz w:val="16"/>
                <w:szCs w:val="16"/>
              </w:rPr>
            </w:pPr>
            <w:r w:rsidRPr="00022BA7">
              <w:rPr>
                <w:sz w:val="16"/>
                <w:szCs w:val="16"/>
              </w:rPr>
              <w:t>1</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7FCAF5" w14:textId="77777777" w:rsidR="00F14A43" w:rsidRPr="00022BA7" w:rsidRDefault="00F14A43" w:rsidP="0067573D">
            <w:pPr>
              <w:jc w:val="right"/>
              <w:rPr>
                <w:sz w:val="16"/>
                <w:szCs w:val="16"/>
              </w:rPr>
            </w:pPr>
            <w:r w:rsidRPr="00022BA7">
              <w:rPr>
                <w:sz w:val="16"/>
                <w:szCs w:val="16"/>
              </w:rPr>
              <w:t>1</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9F6AA" w14:textId="77777777" w:rsidR="00F14A43" w:rsidRPr="00022BA7" w:rsidRDefault="00F14A43" w:rsidP="0067573D">
            <w:pPr>
              <w:jc w:val="right"/>
              <w:rPr>
                <w:sz w:val="16"/>
                <w:szCs w:val="16"/>
              </w:rPr>
            </w:pPr>
            <w:r w:rsidRPr="00022BA7">
              <w:rPr>
                <w:sz w:val="16"/>
                <w:szCs w:val="16"/>
              </w:rPr>
              <w:t>5 (GT&gt;1000)</w:t>
            </w:r>
          </w:p>
        </w:tc>
      </w:tr>
      <w:tr w:rsidR="00F14A43" w:rsidRPr="00022BA7" w14:paraId="29C5A8BF" w14:textId="77777777" w:rsidTr="0067573D">
        <w:trPr>
          <w:trHeight w:val="259"/>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3B2CC8E4" w14:textId="77777777" w:rsidR="00F14A43" w:rsidRPr="00022BA7" w:rsidRDefault="00F14A43" w:rsidP="0067573D">
            <w:pPr>
              <w:rPr>
                <w:sz w:val="16"/>
                <w:szCs w:val="16"/>
              </w:rPr>
            </w:pPr>
            <w:r w:rsidRPr="00022BA7">
              <w:rPr>
                <w:sz w:val="16"/>
                <w:szCs w:val="16"/>
              </w:rPr>
              <w:t>General Cargo</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023B429" w14:textId="77777777" w:rsidR="00F14A43" w:rsidRPr="00022BA7" w:rsidRDefault="00F14A43" w:rsidP="0067573D">
            <w:pPr>
              <w:jc w:val="right"/>
              <w:rPr>
                <w:sz w:val="16"/>
                <w:szCs w:val="16"/>
              </w:rPr>
            </w:pPr>
            <w:r w:rsidRPr="00022BA7">
              <w:rPr>
                <w:sz w:val="16"/>
                <w:szCs w:val="16"/>
              </w:rPr>
              <w:t>150</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34C360DD" w14:textId="77777777" w:rsidR="00F14A43" w:rsidRPr="00022BA7" w:rsidRDefault="00F14A43" w:rsidP="0067573D">
            <w:pPr>
              <w:jc w:val="right"/>
              <w:rPr>
                <w:sz w:val="16"/>
                <w:szCs w:val="16"/>
              </w:rPr>
            </w:pPr>
            <w:r w:rsidRPr="00022BA7">
              <w:rPr>
                <w:sz w:val="16"/>
                <w:szCs w:val="16"/>
              </w:rPr>
              <w:t>51</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4667BB34" w14:textId="77777777" w:rsidR="00F14A43" w:rsidRPr="00022BA7" w:rsidRDefault="00F14A43" w:rsidP="0067573D">
            <w:pPr>
              <w:jc w:val="right"/>
              <w:rPr>
                <w:sz w:val="16"/>
                <w:szCs w:val="16"/>
              </w:rPr>
            </w:pPr>
            <w:r w:rsidRPr="00022BA7">
              <w:rPr>
                <w:sz w:val="16"/>
                <w:szCs w:val="16"/>
              </w:rPr>
              <w:t>2</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14858738" w14:textId="77777777" w:rsidR="00F14A43" w:rsidRPr="00022BA7" w:rsidRDefault="00F14A43" w:rsidP="0067573D">
            <w:pPr>
              <w:jc w:val="right"/>
              <w:rPr>
                <w:sz w:val="16"/>
                <w:szCs w:val="16"/>
              </w:rPr>
            </w:pPr>
            <w:r w:rsidRPr="00022BA7">
              <w:rPr>
                <w:sz w:val="16"/>
                <w:szCs w:val="16"/>
              </w:rPr>
              <w:t>44</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A13433" w14:textId="77777777" w:rsidR="00F14A43" w:rsidRPr="00022BA7" w:rsidRDefault="00F14A43" w:rsidP="0067573D">
            <w:pPr>
              <w:jc w:val="right"/>
              <w:rPr>
                <w:sz w:val="16"/>
                <w:szCs w:val="16"/>
              </w:rPr>
            </w:pPr>
            <w:r w:rsidRPr="00022BA7">
              <w:rPr>
                <w:sz w:val="16"/>
                <w:szCs w:val="16"/>
              </w:rPr>
              <w:t>6</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5C85F6" w14:textId="77777777" w:rsidR="00F14A43" w:rsidRPr="00022BA7" w:rsidRDefault="00F14A43" w:rsidP="0067573D">
            <w:pPr>
              <w:jc w:val="right"/>
              <w:rPr>
                <w:sz w:val="16"/>
                <w:szCs w:val="16"/>
              </w:rPr>
            </w:pPr>
            <w:r w:rsidRPr="00022BA7">
              <w:rPr>
                <w:sz w:val="16"/>
                <w:szCs w:val="16"/>
              </w:rPr>
              <w:t>2</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8BE463" w14:textId="77777777" w:rsidR="00F14A43" w:rsidRPr="00022BA7" w:rsidRDefault="00F14A43" w:rsidP="0067573D">
            <w:pPr>
              <w:jc w:val="right"/>
              <w:rPr>
                <w:sz w:val="16"/>
                <w:szCs w:val="16"/>
              </w:rPr>
            </w:pPr>
            <w:r w:rsidRPr="00022BA7">
              <w:rPr>
                <w:sz w:val="16"/>
                <w:szCs w:val="16"/>
              </w:rPr>
              <w:t>21 (GT&gt;1000)</w:t>
            </w:r>
          </w:p>
        </w:tc>
      </w:tr>
      <w:tr w:rsidR="00F14A43" w:rsidRPr="00022BA7" w14:paraId="10211FD3" w14:textId="77777777" w:rsidTr="0067573D">
        <w:trPr>
          <w:trHeight w:val="259"/>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1EE77624" w14:textId="77777777" w:rsidR="00F14A43" w:rsidRPr="00022BA7" w:rsidRDefault="00F14A43" w:rsidP="0067573D">
            <w:pPr>
              <w:rPr>
                <w:sz w:val="16"/>
                <w:szCs w:val="16"/>
              </w:rPr>
            </w:pPr>
            <w:r w:rsidRPr="00022BA7">
              <w:rPr>
                <w:sz w:val="16"/>
                <w:szCs w:val="16"/>
              </w:rPr>
              <w:t>Tanker</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0ABF2E2" w14:textId="77777777" w:rsidR="00F14A43" w:rsidRPr="00022BA7" w:rsidRDefault="00F14A43" w:rsidP="0067573D">
            <w:pPr>
              <w:jc w:val="right"/>
              <w:rPr>
                <w:sz w:val="16"/>
                <w:szCs w:val="16"/>
              </w:rPr>
            </w:pPr>
            <w:r w:rsidRPr="00022BA7">
              <w:rPr>
                <w:sz w:val="16"/>
                <w:szCs w:val="16"/>
              </w:rPr>
              <w:t>135</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4F919D98" w14:textId="77777777" w:rsidR="00F14A43" w:rsidRPr="00022BA7" w:rsidRDefault="00F14A43" w:rsidP="0067573D">
            <w:pPr>
              <w:jc w:val="right"/>
              <w:rPr>
                <w:sz w:val="16"/>
                <w:szCs w:val="16"/>
              </w:rPr>
            </w:pPr>
            <w:r w:rsidRPr="00022BA7">
              <w:rPr>
                <w:sz w:val="16"/>
                <w:szCs w:val="16"/>
              </w:rPr>
              <w:t>18</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2057B3BA" w14:textId="77777777" w:rsidR="00F14A43" w:rsidRPr="00022BA7" w:rsidRDefault="00F14A43" w:rsidP="0067573D">
            <w:pPr>
              <w:jc w:val="right"/>
              <w:rPr>
                <w:sz w:val="16"/>
                <w:szCs w:val="16"/>
              </w:rPr>
            </w:pPr>
            <w:r w:rsidRPr="00022BA7">
              <w:rPr>
                <w:sz w:val="16"/>
                <w:szCs w:val="16"/>
              </w:rPr>
              <w:t>4</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F96A270" w14:textId="77777777" w:rsidR="00F14A43" w:rsidRPr="00022BA7" w:rsidRDefault="00F14A43" w:rsidP="0067573D">
            <w:pPr>
              <w:jc w:val="right"/>
              <w:rPr>
                <w:sz w:val="16"/>
                <w:szCs w:val="16"/>
              </w:rPr>
            </w:pPr>
            <w:r w:rsidRPr="00022BA7">
              <w:rPr>
                <w:sz w:val="16"/>
                <w:szCs w:val="16"/>
              </w:rPr>
              <w:t>67</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E2818C" w14:textId="77777777" w:rsidR="00F14A43" w:rsidRPr="00022BA7" w:rsidRDefault="00F14A43" w:rsidP="0067573D">
            <w:pPr>
              <w:jc w:val="right"/>
              <w:rPr>
                <w:sz w:val="16"/>
                <w:szCs w:val="16"/>
              </w:rPr>
            </w:pPr>
            <w:r w:rsidRPr="00022BA7">
              <w:rPr>
                <w:sz w:val="16"/>
                <w:szCs w:val="16"/>
              </w:rPr>
              <w:t>3</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90B00C" w14:textId="77777777" w:rsidR="00F14A43" w:rsidRPr="00022BA7" w:rsidRDefault="00F14A43" w:rsidP="0067573D">
            <w:pPr>
              <w:jc w:val="right"/>
              <w:rPr>
                <w:sz w:val="16"/>
                <w:szCs w:val="16"/>
              </w:rPr>
            </w:pPr>
            <w:r w:rsidRPr="00022BA7">
              <w:rPr>
                <w:sz w:val="16"/>
                <w:szCs w:val="16"/>
              </w:rPr>
              <w:t>2</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BEB48B" w14:textId="77777777" w:rsidR="00F14A43" w:rsidRPr="00022BA7" w:rsidRDefault="00F14A43" w:rsidP="0067573D">
            <w:pPr>
              <w:jc w:val="right"/>
              <w:rPr>
                <w:sz w:val="16"/>
                <w:szCs w:val="16"/>
              </w:rPr>
            </w:pPr>
            <w:r w:rsidRPr="00022BA7">
              <w:rPr>
                <w:sz w:val="16"/>
                <w:szCs w:val="16"/>
              </w:rPr>
              <w:t>63 (GT&gt;1000)</w:t>
            </w:r>
          </w:p>
        </w:tc>
      </w:tr>
      <w:tr w:rsidR="00F14A43" w:rsidRPr="00022BA7" w14:paraId="1E85F59D" w14:textId="77777777" w:rsidTr="0067573D">
        <w:trPr>
          <w:trHeight w:val="259"/>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61CEA7A2" w14:textId="77777777" w:rsidR="00F14A43" w:rsidRPr="00022BA7" w:rsidRDefault="00F14A43" w:rsidP="0067573D">
            <w:pPr>
              <w:rPr>
                <w:sz w:val="16"/>
                <w:szCs w:val="16"/>
              </w:rPr>
            </w:pPr>
            <w:r w:rsidRPr="00022BA7">
              <w:rPr>
                <w:sz w:val="16"/>
                <w:szCs w:val="16"/>
              </w:rPr>
              <w:t>Container</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001E4B7" w14:textId="77777777" w:rsidR="00F14A43" w:rsidRPr="00022BA7" w:rsidRDefault="00F14A43" w:rsidP="0067573D">
            <w:pPr>
              <w:jc w:val="right"/>
              <w:rPr>
                <w:sz w:val="16"/>
                <w:szCs w:val="16"/>
              </w:rPr>
            </w:pPr>
            <w:r w:rsidRPr="00022BA7">
              <w:rPr>
                <w:sz w:val="16"/>
                <w:szCs w:val="16"/>
              </w:rPr>
              <w:t>69</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73B02BC6" w14:textId="77777777" w:rsidR="00F14A43" w:rsidRPr="00022BA7" w:rsidRDefault="00F14A43" w:rsidP="0067573D">
            <w:pPr>
              <w:jc w:val="right"/>
              <w:rPr>
                <w:sz w:val="16"/>
                <w:szCs w:val="16"/>
              </w:rPr>
            </w:pPr>
            <w:r w:rsidRPr="00022BA7">
              <w:rPr>
                <w:sz w:val="16"/>
                <w:szCs w:val="16"/>
              </w:rPr>
              <w:t>0</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488C4F54" w14:textId="77777777" w:rsidR="00F14A43" w:rsidRPr="00022BA7" w:rsidRDefault="00F14A43" w:rsidP="0067573D">
            <w:pPr>
              <w:jc w:val="right"/>
              <w:rPr>
                <w:sz w:val="16"/>
                <w:szCs w:val="16"/>
              </w:rPr>
            </w:pPr>
            <w:r w:rsidRPr="00022BA7">
              <w:rPr>
                <w:sz w:val="16"/>
                <w:szCs w:val="16"/>
              </w:rPr>
              <w:t>0</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9CC21DB" w14:textId="77777777" w:rsidR="00F14A43" w:rsidRPr="00022BA7" w:rsidRDefault="00F14A43" w:rsidP="0067573D">
            <w:pPr>
              <w:jc w:val="right"/>
              <w:rPr>
                <w:sz w:val="16"/>
                <w:szCs w:val="16"/>
              </w:rPr>
            </w:pPr>
            <w:r w:rsidRPr="00022BA7">
              <w:rPr>
                <w:sz w:val="16"/>
                <w:szCs w:val="16"/>
              </w:rPr>
              <w:t>67</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3BAE51" w14:textId="77777777" w:rsidR="00F14A43" w:rsidRPr="00022BA7" w:rsidRDefault="00F14A43" w:rsidP="0067573D">
            <w:pPr>
              <w:jc w:val="right"/>
              <w:rPr>
                <w:sz w:val="16"/>
                <w:szCs w:val="16"/>
              </w:rPr>
            </w:pPr>
            <w:r w:rsidRPr="00022BA7">
              <w:rPr>
                <w:sz w:val="16"/>
                <w:szCs w:val="16"/>
              </w:rPr>
              <w:t>0</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9B3883" w14:textId="77777777" w:rsidR="00F14A43" w:rsidRPr="00022BA7" w:rsidRDefault="00F14A43" w:rsidP="0067573D">
            <w:pPr>
              <w:jc w:val="right"/>
              <w:rPr>
                <w:sz w:val="16"/>
                <w:szCs w:val="16"/>
              </w:rPr>
            </w:pPr>
            <w:r w:rsidRPr="00022BA7">
              <w:rPr>
                <w:sz w:val="16"/>
                <w:szCs w:val="16"/>
              </w:rPr>
              <w:t>0</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3C052" w14:textId="77777777" w:rsidR="00F14A43" w:rsidRPr="00022BA7" w:rsidRDefault="00F14A43" w:rsidP="0067573D">
            <w:pPr>
              <w:jc w:val="right"/>
              <w:rPr>
                <w:sz w:val="16"/>
                <w:szCs w:val="16"/>
              </w:rPr>
            </w:pPr>
            <w:r w:rsidRPr="00022BA7">
              <w:rPr>
                <w:sz w:val="16"/>
                <w:szCs w:val="16"/>
              </w:rPr>
              <w:t>65 (GT&gt;1000)</w:t>
            </w:r>
          </w:p>
        </w:tc>
      </w:tr>
      <w:tr w:rsidR="00F14A43" w:rsidRPr="00022BA7" w14:paraId="70D5C4C3" w14:textId="77777777" w:rsidTr="0067573D">
        <w:trPr>
          <w:trHeight w:val="259"/>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142C4A20" w14:textId="77777777" w:rsidR="00F14A43" w:rsidRPr="00022BA7" w:rsidRDefault="00F14A43" w:rsidP="0067573D">
            <w:pPr>
              <w:rPr>
                <w:sz w:val="16"/>
                <w:szCs w:val="16"/>
              </w:rPr>
            </w:pPr>
            <w:r w:rsidRPr="00022BA7">
              <w:rPr>
                <w:sz w:val="16"/>
                <w:szCs w:val="16"/>
              </w:rPr>
              <w:t>Ro-Ro</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224690C" w14:textId="77777777" w:rsidR="00F14A43" w:rsidRPr="00022BA7" w:rsidRDefault="00F14A43" w:rsidP="0067573D">
            <w:pPr>
              <w:jc w:val="right"/>
              <w:rPr>
                <w:sz w:val="16"/>
                <w:szCs w:val="16"/>
              </w:rPr>
            </w:pPr>
            <w:r w:rsidRPr="00022BA7">
              <w:rPr>
                <w:sz w:val="16"/>
                <w:szCs w:val="16"/>
              </w:rPr>
              <w:t>90</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49DEA669" w14:textId="77777777" w:rsidR="00F14A43" w:rsidRPr="00022BA7" w:rsidRDefault="00F14A43" w:rsidP="0067573D">
            <w:pPr>
              <w:jc w:val="right"/>
              <w:rPr>
                <w:sz w:val="16"/>
                <w:szCs w:val="16"/>
              </w:rPr>
            </w:pPr>
            <w:r w:rsidRPr="00022BA7">
              <w:rPr>
                <w:sz w:val="16"/>
                <w:szCs w:val="16"/>
              </w:rPr>
              <w:t>14</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7DA2D4B2" w14:textId="77777777" w:rsidR="00F14A43" w:rsidRPr="00022BA7" w:rsidRDefault="00F14A43" w:rsidP="0067573D">
            <w:pPr>
              <w:jc w:val="right"/>
              <w:rPr>
                <w:sz w:val="16"/>
                <w:szCs w:val="16"/>
              </w:rPr>
            </w:pPr>
            <w:r w:rsidRPr="00022BA7">
              <w:rPr>
                <w:sz w:val="16"/>
                <w:szCs w:val="16"/>
              </w:rPr>
              <w:t>0</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AC6BD9A" w14:textId="77777777" w:rsidR="00F14A43" w:rsidRPr="00022BA7" w:rsidRDefault="00F14A43" w:rsidP="0067573D">
            <w:pPr>
              <w:jc w:val="right"/>
              <w:rPr>
                <w:sz w:val="16"/>
                <w:szCs w:val="16"/>
              </w:rPr>
            </w:pPr>
            <w:r w:rsidRPr="00022BA7">
              <w:rPr>
                <w:sz w:val="16"/>
                <w:szCs w:val="16"/>
              </w:rPr>
              <w:t>161</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64B068" w14:textId="77777777" w:rsidR="00F14A43" w:rsidRPr="00022BA7" w:rsidRDefault="00F14A43" w:rsidP="0067573D">
            <w:pPr>
              <w:jc w:val="right"/>
              <w:rPr>
                <w:sz w:val="16"/>
                <w:szCs w:val="16"/>
              </w:rPr>
            </w:pPr>
            <w:r w:rsidRPr="00022BA7">
              <w:rPr>
                <w:sz w:val="16"/>
                <w:szCs w:val="16"/>
              </w:rPr>
              <w:t>52</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D08289" w14:textId="77777777" w:rsidR="00F14A43" w:rsidRPr="00022BA7" w:rsidRDefault="00F14A43" w:rsidP="0067573D">
            <w:pPr>
              <w:jc w:val="right"/>
              <w:rPr>
                <w:sz w:val="16"/>
                <w:szCs w:val="16"/>
              </w:rPr>
            </w:pPr>
            <w:r w:rsidRPr="00022BA7">
              <w:rPr>
                <w:sz w:val="16"/>
                <w:szCs w:val="16"/>
              </w:rPr>
              <w:t>40</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2CAC2A" w14:textId="77777777" w:rsidR="00F14A43" w:rsidRPr="00022BA7" w:rsidRDefault="00F14A43" w:rsidP="0067573D">
            <w:pPr>
              <w:jc w:val="right"/>
              <w:rPr>
                <w:sz w:val="16"/>
                <w:szCs w:val="16"/>
              </w:rPr>
            </w:pPr>
            <w:r w:rsidRPr="00022BA7">
              <w:rPr>
                <w:sz w:val="16"/>
                <w:szCs w:val="16"/>
              </w:rPr>
              <w:t>28 (GT&gt;1000)</w:t>
            </w:r>
          </w:p>
        </w:tc>
      </w:tr>
      <w:tr w:rsidR="00F14A43" w:rsidRPr="00022BA7" w14:paraId="60BE6490" w14:textId="77777777" w:rsidTr="0067573D">
        <w:trPr>
          <w:trHeight w:val="259"/>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53EA5045" w14:textId="77777777" w:rsidR="00F14A43" w:rsidRPr="00022BA7" w:rsidRDefault="00F14A43" w:rsidP="0067573D">
            <w:pPr>
              <w:rPr>
                <w:sz w:val="16"/>
                <w:szCs w:val="16"/>
              </w:rPr>
            </w:pPr>
            <w:r w:rsidRPr="00022BA7">
              <w:rPr>
                <w:sz w:val="16"/>
                <w:szCs w:val="16"/>
              </w:rPr>
              <w:t>Passenger</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F164267" w14:textId="77777777" w:rsidR="00F14A43" w:rsidRPr="00022BA7" w:rsidRDefault="00F14A43" w:rsidP="0067573D">
            <w:pPr>
              <w:jc w:val="right"/>
              <w:rPr>
                <w:sz w:val="16"/>
                <w:szCs w:val="16"/>
              </w:rPr>
            </w:pPr>
            <w:r w:rsidRPr="00022BA7">
              <w:rPr>
                <w:sz w:val="16"/>
                <w:szCs w:val="16"/>
              </w:rPr>
              <w:t>5,213</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73FE535D" w14:textId="77777777" w:rsidR="00F14A43" w:rsidRPr="00022BA7" w:rsidRDefault="00F14A43" w:rsidP="0067573D">
            <w:pPr>
              <w:jc w:val="right"/>
              <w:rPr>
                <w:sz w:val="16"/>
                <w:szCs w:val="16"/>
              </w:rPr>
            </w:pPr>
            <w:r w:rsidRPr="00022BA7">
              <w:rPr>
                <w:sz w:val="16"/>
                <w:szCs w:val="16"/>
              </w:rPr>
              <w:t>1,439</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7ED110D7" w14:textId="77777777" w:rsidR="00F14A43" w:rsidRPr="00022BA7" w:rsidRDefault="00F14A43" w:rsidP="0067573D">
            <w:pPr>
              <w:jc w:val="right"/>
              <w:rPr>
                <w:sz w:val="16"/>
                <w:szCs w:val="16"/>
              </w:rPr>
            </w:pPr>
            <w:r w:rsidRPr="00022BA7">
              <w:rPr>
                <w:sz w:val="16"/>
                <w:szCs w:val="16"/>
              </w:rPr>
              <w:t>306</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5800443" w14:textId="77777777" w:rsidR="00F14A43" w:rsidRPr="00022BA7" w:rsidRDefault="00F14A43" w:rsidP="0067573D">
            <w:pPr>
              <w:jc w:val="right"/>
              <w:rPr>
                <w:sz w:val="16"/>
                <w:szCs w:val="16"/>
              </w:rPr>
            </w:pPr>
            <w:r w:rsidRPr="00022BA7">
              <w:rPr>
                <w:sz w:val="16"/>
                <w:szCs w:val="16"/>
              </w:rPr>
              <w:t>174</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30576F" w14:textId="77777777" w:rsidR="00F14A43" w:rsidRPr="00022BA7" w:rsidRDefault="00F14A43" w:rsidP="0067573D">
            <w:pPr>
              <w:jc w:val="right"/>
              <w:rPr>
                <w:sz w:val="16"/>
                <w:szCs w:val="16"/>
              </w:rPr>
            </w:pPr>
            <w:r w:rsidRPr="00022BA7">
              <w:rPr>
                <w:sz w:val="16"/>
                <w:szCs w:val="16"/>
              </w:rPr>
              <w:t>143</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96EFAD" w14:textId="77777777" w:rsidR="00F14A43" w:rsidRPr="00022BA7" w:rsidRDefault="00F14A43" w:rsidP="0067573D">
            <w:pPr>
              <w:jc w:val="right"/>
              <w:rPr>
                <w:sz w:val="16"/>
                <w:szCs w:val="16"/>
              </w:rPr>
            </w:pPr>
            <w:r w:rsidRPr="00022BA7">
              <w:rPr>
                <w:sz w:val="16"/>
                <w:szCs w:val="16"/>
              </w:rPr>
              <w:t>108</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759C16" w14:textId="77777777" w:rsidR="00F14A43" w:rsidRPr="00022BA7" w:rsidRDefault="00F14A43" w:rsidP="0067573D">
            <w:pPr>
              <w:jc w:val="right"/>
              <w:rPr>
                <w:sz w:val="16"/>
                <w:szCs w:val="16"/>
              </w:rPr>
            </w:pPr>
            <w:r w:rsidRPr="00022BA7">
              <w:rPr>
                <w:sz w:val="16"/>
                <w:szCs w:val="16"/>
              </w:rPr>
              <w:t>1,721</w:t>
            </w:r>
          </w:p>
          <w:p w14:paraId="07F1C27A" w14:textId="77777777" w:rsidR="00F14A43" w:rsidRPr="00022BA7" w:rsidRDefault="00F14A43" w:rsidP="0067573D">
            <w:pPr>
              <w:jc w:val="right"/>
              <w:rPr>
                <w:sz w:val="16"/>
                <w:szCs w:val="16"/>
              </w:rPr>
            </w:pPr>
            <w:r w:rsidRPr="00022BA7">
              <w:rPr>
                <w:sz w:val="16"/>
                <w:szCs w:val="16"/>
              </w:rPr>
              <w:t>(all GT)</w:t>
            </w:r>
          </w:p>
        </w:tc>
      </w:tr>
      <w:tr w:rsidR="00F14A43" w:rsidRPr="00022BA7" w14:paraId="7B72B783" w14:textId="77777777" w:rsidTr="0067573D">
        <w:trPr>
          <w:trHeight w:val="54"/>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0324C288" w14:textId="77777777" w:rsidR="00F14A43" w:rsidRPr="00022BA7" w:rsidRDefault="00F14A43" w:rsidP="0067573D">
            <w:pPr>
              <w:rPr>
                <w:sz w:val="16"/>
                <w:szCs w:val="16"/>
              </w:rPr>
            </w:pPr>
            <w:r w:rsidRPr="00022BA7">
              <w:rPr>
                <w:sz w:val="16"/>
                <w:szCs w:val="16"/>
              </w:rPr>
              <w:t>Tug (Coastal-Harbor)</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4478332" w14:textId="77777777" w:rsidR="00F14A43" w:rsidRPr="00022BA7" w:rsidRDefault="00F14A43" w:rsidP="0067573D">
            <w:pPr>
              <w:jc w:val="right"/>
              <w:rPr>
                <w:sz w:val="16"/>
                <w:szCs w:val="16"/>
              </w:rPr>
            </w:pPr>
            <w:r w:rsidRPr="00022BA7">
              <w:rPr>
                <w:sz w:val="16"/>
                <w:szCs w:val="16"/>
              </w:rPr>
              <w:t>3,647</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3680D9F4" w14:textId="77777777" w:rsidR="00F14A43" w:rsidRPr="00022BA7" w:rsidRDefault="00F14A43" w:rsidP="0067573D">
            <w:pPr>
              <w:jc w:val="right"/>
              <w:rPr>
                <w:sz w:val="16"/>
                <w:szCs w:val="16"/>
              </w:rPr>
            </w:pPr>
            <w:r w:rsidRPr="00022BA7">
              <w:rPr>
                <w:sz w:val="16"/>
                <w:szCs w:val="16"/>
              </w:rPr>
              <w:t>2,846</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08362662" w14:textId="77777777" w:rsidR="00F14A43" w:rsidRPr="00022BA7" w:rsidRDefault="00F14A43" w:rsidP="0067573D">
            <w:pPr>
              <w:jc w:val="right"/>
              <w:rPr>
                <w:sz w:val="16"/>
                <w:szCs w:val="16"/>
              </w:rPr>
            </w:pPr>
            <w:r w:rsidRPr="00022BA7">
              <w:rPr>
                <w:sz w:val="16"/>
                <w:szCs w:val="16"/>
              </w:rPr>
              <w:t>1,395</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06B2EAF" w14:textId="77777777" w:rsidR="00F14A43" w:rsidRPr="00022BA7" w:rsidRDefault="00F14A43" w:rsidP="0067573D">
            <w:pPr>
              <w:jc w:val="right"/>
              <w:rPr>
                <w:sz w:val="16"/>
                <w:szCs w:val="16"/>
              </w:rPr>
            </w:pPr>
            <w:r w:rsidRPr="00022BA7">
              <w:rPr>
                <w:sz w:val="16"/>
                <w:szCs w:val="16"/>
              </w:rPr>
              <w:t>1,297</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EAA213" w14:textId="77777777" w:rsidR="00F14A43" w:rsidRPr="00022BA7" w:rsidRDefault="00F14A43" w:rsidP="0067573D">
            <w:pPr>
              <w:jc w:val="right"/>
              <w:rPr>
                <w:sz w:val="16"/>
                <w:szCs w:val="16"/>
              </w:rPr>
            </w:pPr>
            <w:r w:rsidRPr="00022BA7">
              <w:rPr>
                <w:sz w:val="16"/>
                <w:szCs w:val="16"/>
              </w:rPr>
              <w:t>1,275</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589D14" w14:textId="77777777" w:rsidR="00F14A43" w:rsidRPr="00022BA7" w:rsidRDefault="00F14A43" w:rsidP="0067573D">
            <w:pPr>
              <w:jc w:val="right"/>
              <w:rPr>
                <w:sz w:val="16"/>
                <w:szCs w:val="16"/>
              </w:rPr>
            </w:pPr>
            <w:r w:rsidRPr="00022BA7">
              <w:rPr>
                <w:sz w:val="16"/>
                <w:szCs w:val="16"/>
              </w:rPr>
              <w:t>1,051</w:t>
            </w:r>
          </w:p>
        </w:tc>
        <w:tc>
          <w:tcPr>
            <w:tcW w:w="12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ECA81" w14:textId="77777777" w:rsidR="00F14A43" w:rsidRPr="00022BA7" w:rsidRDefault="00F14A43" w:rsidP="0067573D">
            <w:pPr>
              <w:jc w:val="right"/>
              <w:rPr>
                <w:sz w:val="16"/>
                <w:szCs w:val="16"/>
              </w:rPr>
            </w:pPr>
            <w:r w:rsidRPr="00022BA7">
              <w:rPr>
                <w:sz w:val="16"/>
                <w:szCs w:val="16"/>
              </w:rPr>
              <w:t>6,203</w:t>
            </w:r>
          </w:p>
          <w:p w14:paraId="70FB8037" w14:textId="77777777" w:rsidR="00F14A43" w:rsidRPr="00022BA7" w:rsidRDefault="00F14A43" w:rsidP="0067573D">
            <w:pPr>
              <w:jc w:val="right"/>
              <w:rPr>
                <w:sz w:val="16"/>
                <w:szCs w:val="16"/>
              </w:rPr>
            </w:pPr>
            <w:r w:rsidRPr="00022BA7">
              <w:rPr>
                <w:sz w:val="16"/>
                <w:szCs w:val="16"/>
              </w:rPr>
              <w:t>(all GT)</w:t>
            </w:r>
          </w:p>
        </w:tc>
      </w:tr>
      <w:tr w:rsidR="00F14A43" w:rsidRPr="00022BA7" w14:paraId="19126910" w14:textId="77777777" w:rsidTr="0067573D">
        <w:trPr>
          <w:trHeight w:val="44"/>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tcPr>
          <w:p w14:paraId="7AF70E67" w14:textId="77777777" w:rsidR="00F14A43" w:rsidRPr="00022BA7" w:rsidRDefault="00F14A43" w:rsidP="0067573D">
            <w:pPr>
              <w:rPr>
                <w:sz w:val="16"/>
                <w:szCs w:val="16"/>
              </w:rPr>
            </w:pPr>
            <w:r w:rsidRPr="00022BA7">
              <w:rPr>
                <w:sz w:val="16"/>
                <w:szCs w:val="16"/>
              </w:rPr>
              <w:t>Tug (Inland-Push-Boats)</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tcPr>
          <w:p w14:paraId="72F08252" w14:textId="77777777" w:rsidR="00F14A43" w:rsidRPr="00022BA7" w:rsidRDefault="00F14A43" w:rsidP="0067573D">
            <w:pPr>
              <w:jc w:val="right"/>
              <w:rPr>
                <w:sz w:val="16"/>
                <w:szCs w:val="16"/>
              </w:rPr>
            </w:pPr>
            <w:r w:rsidRPr="00022BA7">
              <w:rPr>
                <w:sz w:val="16"/>
                <w:szCs w:val="16"/>
              </w:rPr>
              <w:t>2,168</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tcPr>
          <w:p w14:paraId="0FC47C34" w14:textId="77777777" w:rsidR="00F14A43" w:rsidRPr="00022BA7" w:rsidRDefault="00F14A43" w:rsidP="0067573D">
            <w:pPr>
              <w:jc w:val="right"/>
              <w:rPr>
                <w:sz w:val="16"/>
                <w:szCs w:val="16"/>
              </w:rPr>
            </w:pPr>
            <w:r w:rsidRPr="00022BA7">
              <w:rPr>
                <w:sz w:val="16"/>
                <w:szCs w:val="16"/>
              </w:rPr>
              <w:t>1,817</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tcPr>
          <w:p w14:paraId="7FDD8677" w14:textId="77777777" w:rsidR="00F14A43" w:rsidRPr="00022BA7" w:rsidRDefault="00F14A43" w:rsidP="0067573D">
            <w:pPr>
              <w:jc w:val="right"/>
              <w:rPr>
                <w:sz w:val="16"/>
                <w:szCs w:val="16"/>
              </w:rPr>
            </w:pPr>
            <w:r w:rsidRPr="00022BA7">
              <w:rPr>
                <w:sz w:val="16"/>
                <w:szCs w:val="16"/>
              </w:rPr>
              <w:t>935</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tcPr>
          <w:p w14:paraId="707C908B" w14:textId="77777777" w:rsidR="00F14A43" w:rsidRPr="00022BA7" w:rsidRDefault="00F14A43" w:rsidP="0067573D">
            <w:pPr>
              <w:jc w:val="right"/>
              <w:rPr>
                <w:sz w:val="16"/>
                <w:szCs w:val="16"/>
              </w:rPr>
            </w:pPr>
            <w:r w:rsidRPr="00022BA7">
              <w:rPr>
                <w:sz w:val="16"/>
                <w:szCs w:val="16"/>
              </w:rPr>
              <w:t>166</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14:paraId="75C21483" w14:textId="77777777" w:rsidR="00F14A43" w:rsidRPr="00022BA7" w:rsidRDefault="00F14A43" w:rsidP="0067573D">
            <w:pPr>
              <w:jc w:val="right"/>
              <w:rPr>
                <w:sz w:val="16"/>
                <w:szCs w:val="16"/>
              </w:rPr>
            </w:pPr>
            <w:r w:rsidRPr="00022BA7">
              <w:rPr>
                <w:sz w:val="16"/>
                <w:szCs w:val="16"/>
              </w:rPr>
              <w:t>134</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tcPr>
          <w:p w14:paraId="3199D4B6" w14:textId="77777777" w:rsidR="00F14A43" w:rsidRPr="00022BA7" w:rsidRDefault="00F14A43" w:rsidP="0067573D">
            <w:pPr>
              <w:jc w:val="right"/>
              <w:rPr>
                <w:sz w:val="16"/>
                <w:szCs w:val="16"/>
              </w:rPr>
            </w:pPr>
            <w:r w:rsidRPr="00022BA7">
              <w:rPr>
                <w:sz w:val="16"/>
                <w:szCs w:val="16"/>
              </w:rPr>
              <w:t>114</w:t>
            </w:r>
          </w:p>
        </w:tc>
        <w:tc>
          <w:tcPr>
            <w:tcW w:w="1247" w:type="dxa"/>
            <w:vMerge/>
            <w:tcBorders>
              <w:top w:val="single" w:sz="4" w:space="0" w:color="auto"/>
              <w:left w:val="single" w:sz="4" w:space="0" w:color="auto"/>
              <w:bottom w:val="single" w:sz="4" w:space="0" w:color="auto"/>
              <w:right w:val="single" w:sz="4" w:space="0" w:color="auto"/>
            </w:tcBorders>
            <w:vAlign w:val="center"/>
          </w:tcPr>
          <w:p w14:paraId="75820BFA" w14:textId="77777777" w:rsidR="00F14A43" w:rsidRPr="00022BA7" w:rsidRDefault="00F14A43" w:rsidP="0067573D">
            <w:pPr>
              <w:jc w:val="right"/>
              <w:rPr>
                <w:sz w:val="16"/>
                <w:szCs w:val="16"/>
              </w:rPr>
            </w:pPr>
          </w:p>
        </w:tc>
      </w:tr>
      <w:tr w:rsidR="00F14A43" w:rsidRPr="00022BA7" w14:paraId="47935200" w14:textId="77777777" w:rsidTr="0067573D">
        <w:trPr>
          <w:trHeight w:val="44"/>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72554C5F" w14:textId="77777777" w:rsidR="00F14A43" w:rsidRPr="00022BA7" w:rsidRDefault="00F14A43" w:rsidP="0067573D">
            <w:pPr>
              <w:rPr>
                <w:sz w:val="16"/>
                <w:szCs w:val="16"/>
              </w:rPr>
            </w:pPr>
            <w:r w:rsidRPr="00022BA7">
              <w:rPr>
                <w:sz w:val="16"/>
                <w:szCs w:val="16"/>
              </w:rPr>
              <w:t>Tug (ATB)</w:t>
            </w:r>
          </w:p>
        </w:tc>
        <w:tc>
          <w:tcPr>
            <w:tcW w:w="896"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D5FD63E" w14:textId="77777777" w:rsidR="00F14A43" w:rsidRPr="00022BA7" w:rsidRDefault="00F14A43" w:rsidP="0067573D">
            <w:pPr>
              <w:jc w:val="right"/>
              <w:rPr>
                <w:sz w:val="16"/>
                <w:szCs w:val="16"/>
              </w:rPr>
            </w:pPr>
            <w:r w:rsidRPr="00022BA7">
              <w:rPr>
                <w:sz w:val="16"/>
                <w:szCs w:val="16"/>
              </w:rPr>
              <w:t>170</w:t>
            </w:r>
          </w:p>
        </w:tc>
        <w:tc>
          <w:tcPr>
            <w:tcW w:w="1282"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70AADA91" w14:textId="77777777" w:rsidR="00F14A43" w:rsidRPr="00022BA7" w:rsidRDefault="00F14A43" w:rsidP="0067573D">
            <w:pPr>
              <w:jc w:val="right"/>
              <w:rPr>
                <w:sz w:val="16"/>
                <w:szCs w:val="16"/>
              </w:rPr>
            </w:pPr>
            <w:r w:rsidRPr="00022BA7">
              <w:rPr>
                <w:sz w:val="16"/>
                <w:szCs w:val="16"/>
              </w:rPr>
              <w:t>137</w:t>
            </w:r>
          </w:p>
        </w:tc>
        <w:tc>
          <w:tcPr>
            <w:tcW w:w="1616"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658FE8E8" w14:textId="77777777" w:rsidR="00F14A43" w:rsidRPr="00022BA7" w:rsidRDefault="00F14A43" w:rsidP="0067573D">
            <w:pPr>
              <w:jc w:val="right"/>
              <w:rPr>
                <w:sz w:val="16"/>
                <w:szCs w:val="16"/>
              </w:rPr>
            </w:pPr>
            <w:r w:rsidRPr="00022BA7">
              <w:rPr>
                <w:sz w:val="16"/>
                <w:szCs w:val="16"/>
              </w:rPr>
              <w:t>80</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CE6EC6A" w14:textId="77777777" w:rsidR="00F14A43" w:rsidRPr="00022BA7" w:rsidRDefault="00F14A43" w:rsidP="0067573D">
            <w:pPr>
              <w:jc w:val="right"/>
              <w:rPr>
                <w:sz w:val="16"/>
                <w:szCs w:val="16"/>
              </w:rPr>
            </w:pPr>
            <w:r w:rsidRPr="00022BA7">
              <w:rPr>
                <w:sz w:val="16"/>
                <w:szCs w:val="16"/>
              </w:rPr>
              <w:t>38</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087A13" w14:textId="77777777" w:rsidR="00F14A43" w:rsidRPr="00022BA7" w:rsidRDefault="00F14A43" w:rsidP="0067573D">
            <w:pPr>
              <w:jc w:val="right"/>
              <w:rPr>
                <w:sz w:val="16"/>
                <w:szCs w:val="16"/>
              </w:rPr>
            </w:pPr>
            <w:r w:rsidRPr="00022BA7">
              <w:rPr>
                <w:sz w:val="16"/>
                <w:szCs w:val="16"/>
              </w:rPr>
              <w:t>38</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3FDD08" w14:textId="77777777" w:rsidR="00F14A43" w:rsidRPr="00022BA7" w:rsidRDefault="00F14A43" w:rsidP="0067573D">
            <w:pPr>
              <w:jc w:val="right"/>
              <w:rPr>
                <w:sz w:val="16"/>
                <w:szCs w:val="16"/>
              </w:rPr>
            </w:pPr>
            <w:r w:rsidRPr="00022BA7">
              <w:rPr>
                <w:sz w:val="16"/>
                <w:szCs w:val="16"/>
              </w:rPr>
              <w:t>36</w:t>
            </w:r>
          </w:p>
        </w:tc>
        <w:tc>
          <w:tcPr>
            <w:tcW w:w="1247" w:type="dxa"/>
            <w:vMerge/>
            <w:tcBorders>
              <w:top w:val="single" w:sz="4" w:space="0" w:color="auto"/>
              <w:left w:val="single" w:sz="4" w:space="0" w:color="auto"/>
              <w:bottom w:val="single" w:sz="4" w:space="0" w:color="auto"/>
              <w:right w:val="single" w:sz="4" w:space="0" w:color="auto"/>
            </w:tcBorders>
            <w:vAlign w:val="center"/>
            <w:hideMark/>
          </w:tcPr>
          <w:p w14:paraId="3F0F433D" w14:textId="77777777" w:rsidR="00F14A43" w:rsidRPr="00022BA7" w:rsidRDefault="00F14A43" w:rsidP="0067573D">
            <w:pPr>
              <w:jc w:val="right"/>
              <w:rPr>
                <w:sz w:val="16"/>
                <w:szCs w:val="16"/>
              </w:rPr>
            </w:pPr>
          </w:p>
        </w:tc>
      </w:tr>
      <w:tr w:rsidR="00F14A43" w:rsidRPr="00022BA7" w14:paraId="2BA9E5CC" w14:textId="77777777" w:rsidTr="0067573D">
        <w:trPr>
          <w:trHeight w:val="31"/>
        </w:trPr>
        <w:tc>
          <w:tcPr>
            <w:tcW w:w="1165"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79BDB7D7" w14:textId="77777777" w:rsidR="00F14A43" w:rsidRPr="00022BA7" w:rsidRDefault="00F14A43" w:rsidP="0067573D">
            <w:pPr>
              <w:rPr>
                <w:sz w:val="16"/>
                <w:szCs w:val="16"/>
              </w:rPr>
            </w:pPr>
            <w:r w:rsidRPr="00022BA7">
              <w:rPr>
                <w:sz w:val="16"/>
                <w:szCs w:val="16"/>
              </w:rPr>
              <w:t>Sum</w:t>
            </w:r>
          </w:p>
        </w:tc>
        <w:tc>
          <w:tcPr>
            <w:tcW w:w="896" w:type="dxa"/>
            <w:tcBorders>
              <w:top w:val="single" w:sz="4" w:space="0" w:color="auto"/>
              <w:left w:val="single" w:sz="12" w:space="0" w:color="auto"/>
              <w:bottom w:val="single" w:sz="12" w:space="0" w:color="auto"/>
              <w:right w:val="single" w:sz="4" w:space="0" w:color="auto"/>
            </w:tcBorders>
            <w:shd w:val="clear" w:color="auto" w:fill="auto"/>
            <w:vAlign w:val="center"/>
            <w:hideMark/>
          </w:tcPr>
          <w:p w14:paraId="7E42BE3E" w14:textId="77777777" w:rsidR="00F14A43" w:rsidRPr="0020535D" w:rsidRDefault="00F14A43" w:rsidP="0067573D">
            <w:pPr>
              <w:jc w:val="right"/>
              <w:rPr>
                <w:b/>
                <w:sz w:val="16"/>
                <w:szCs w:val="16"/>
              </w:rPr>
            </w:pPr>
            <w:r w:rsidRPr="0020535D">
              <w:rPr>
                <w:b/>
                <w:sz w:val="16"/>
                <w:szCs w:val="16"/>
              </w:rPr>
              <w:t>11,687</w:t>
            </w:r>
          </w:p>
        </w:tc>
        <w:tc>
          <w:tcPr>
            <w:tcW w:w="1282" w:type="dxa"/>
            <w:tcBorders>
              <w:top w:val="single" w:sz="4" w:space="0" w:color="auto"/>
              <w:left w:val="single" w:sz="4" w:space="0" w:color="auto"/>
              <w:bottom w:val="single" w:sz="12" w:space="0" w:color="auto"/>
              <w:right w:val="single" w:sz="12" w:space="0" w:color="auto"/>
            </w:tcBorders>
            <w:shd w:val="clear" w:color="auto" w:fill="auto"/>
            <w:vAlign w:val="center"/>
            <w:hideMark/>
          </w:tcPr>
          <w:p w14:paraId="61895C90" w14:textId="77777777" w:rsidR="00F14A43" w:rsidRPr="0020535D" w:rsidRDefault="00F14A43" w:rsidP="0067573D">
            <w:pPr>
              <w:jc w:val="right"/>
              <w:rPr>
                <w:b/>
                <w:sz w:val="16"/>
                <w:szCs w:val="16"/>
              </w:rPr>
            </w:pPr>
            <w:r w:rsidRPr="0020535D">
              <w:rPr>
                <w:b/>
                <w:sz w:val="16"/>
                <w:szCs w:val="16"/>
              </w:rPr>
              <w:t>6,323</w:t>
            </w:r>
          </w:p>
        </w:tc>
        <w:tc>
          <w:tcPr>
            <w:tcW w:w="1616" w:type="dxa"/>
            <w:tcBorders>
              <w:top w:val="single" w:sz="4" w:space="0" w:color="auto"/>
              <w:left w:val="single" w:sz="12" w:space="0" w:color="auto"/>
              <w:bottom w:val="single" w:sz="12" w:space="0" w:color="auto"/>
              <w:right w:val="single" w:sz="12" w:space="0" w:color="auto"/>
            </w:tcBorders>
            <w:shd w:val="clear" w:color="auto" w:fill="auto"/>
            <w:vAlign w:val="center"/>
            <w:hideMark/>
          </w:tcPr>
          <w:p w14:paraId="6DB0ECE2" w14:textId="77777777" w:rsidR="00F14A43" w:rsidRPr="0020535D" w:rsidRDefault="00F14A43" w:rsidP="0067573D">
            <w:pPr>
              <w:jc w:val="right"/>
              <w:rPr>
                <w:b/>
                <w:sz w:val="16"/>
                <w:szCs w:val="16"/>
              </w:rPr>
            </w:pPr>
            <w:r w:rsidRPr="0020535D">
              <w:rPr>
                <w:b/>
                <w:sz w:val="16"/>
                <w:szCs w:val="16"/>
              </w:rPr>
              <w:t>2,722</w:t>
            </w:r>
          </w:p>
        </w:tc>
        <w:tc>
          <w:tcPr>
            <w:tcW w:w="808"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77C7B82" w14:textId="77777777" w:rsidR="00F14A43" w:rsidRPr="00022BA7" w:rsidRDefault="00F14A43" w:rsidP="0067573D">
            <w:pPr>
              <w:jc w:val="right"/>
              <w:rPr>
                <w:sz w:val="16"/>
                <w:szCs w:val="16"/>
              </w:rPr>
            </w:pPr>
            <w:r w:rsidRPr="00022BA7">
              <w:rPr>
                <w:sz w:val="16"/>
                <w:szCs w:val="16"/>
              </w:rPr>
              <w:t>2,055</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B0929" w14:textId="77777777" w:rsidR="00F14A43" w:rsidRPr="00022BA7" w:rsidRDefault="00F14A43" w:rsidP="0067573D">
            <w:pPr>
              <w:jc w:val="right"/>
              <w:rPr>
                <w:sz w:val="16"/>
                <w:szCs w:val="16"/>
              </w:rPr>
            </w:pPr>
            <w:r w:rsidRPr="00022BA7">
              <w:rPr>
                <w:sz w:val="16"/>
                <w:szCs w:val="16"/>
              </w:rPr>
              <w:t>1,652</w:t>
            </w:r>
          </w:p>
        </w:tc>
        <w:tc>
          <w:tcPr>
            <w:tcW w:w="14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BB490D" w14:textId="77777777" w:rsidR="00F14A43" w:rsidRPr="00022BA7" w:rsidRDefault="00F14A43" w:rsidP="0067573D">
            <w:pPr>
              <w:jc w:val="right"/>
              <w:rPr>
                <w:sz w:val="16"/>
                <w:szCs w:val="16"/>
              </w:rPr>
            </w:pPr>
            <w:r w:rsidRPr="00022BA7">
              <w:rPr>
                <w:sz w:val="16"/>
                <w:szCs w:val="16"/>
              </w:rPr>
              <w:t>1,354</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E6BC9" w14:textId="77777777" w:rsidR="00F14A43" w:rsidRPr="00022BA7" w:rsidRDefault="00F14A43" w:rsidP="0067573D">
            <w:pPr>
              <w:jc w:val="right"/>
              <w:rPr>
                <w:sz w:val="16"/>
                <w:szCs w:val="16"/>
              </w:rPr>
            </w:pPr>
            <w:r w:rsidRPr="00022BA7">
              <w:rPr>
                <w:sz w:val="16"/>
                <w:szCs w:val="16"/>
              </w:rPr>
              <w:t>8,106</w:t>
            </w:r>
          </w:p>
        </w:tc>
      </w:tr>
    </w:tbl>
    <w:p w14:paraId="14EFFF9F" w14:textId="77777777" w:rsidR="00F14A43" w:rsidRPr="00B84F31" w:rsidRDefault="00F14A43" w:rsidP="00BC1F06">
      <w:pPr>
        <w:rPr>
          <w:sz w:val="16"/>
          <w:szCs w:val="16"/>
        </w:rPr>
      </w:pPr>
    </w:p>
    <w:p w14:paraId="612F8C6F" w14:textId="77777777" w:rsidR="00496D55" w:rsidRDefault="00496D55">
      <w:pPr>
        <w:widowControl/>
        <w:spacing w:line="240" w:lineRule="auto"/>
        <w:rPr>
          <w:color w:val="1F497D" w:themeColor="text2"/>
        </w:rPr>
      </w:pPr>
    </w:p>
    <w:p w14:paraId="3338258A" w14:textId="5B2CE869" w:rsidR="00E34947" w:rsidRDefault="00E34947">
      <w:pPr>
        <w:widowControl/>
        <w:spacing w:line="240" w:lineRule="auto"/>
        <w:rPr>
          <w:color w:val="1F497D" w:themeColor="text2"/>
        </w:rPr>
      </w:pPr>
      <w:r>
        <w:rPr>
          <w:color w:val="1F497D" w:themeColor="text2"/>
        </w:rPr>
        <w:br w:type="page"/>
      </w:r>
    </w:p>
    <w:p w14:paraId="17C6DB1C" w14:textId="0C061694" w:rsidR="00D91288" w:rsidRPr="00022BA7" w:rsidRDefault="00EE2ED3" w:rsidP="00D91288">
      <w:pPr>
        <w:pStyle w:val="Caption"/>
        <w:keepNext/>
        <w:spacing w:line="240" w:lineRule="auto"/>
      </w:pPr>
      <w:bookmarkStart w:id="105" w:name="_Ref144851810"/>
      <w:bookmarkStart w:id="106" w:name="_Toc146723129"/>
      <w:r>
        <w:t xml:space="preserve">Supplementary </w:t>
      </w:r>
      <w:r w:rsidR="00D91288" w:rsidRPr="00022BA7">
        <w:t xml:space="preserve">Table </w:t>
      </w:r>
      <w:r w:rsidR="00590C69">
        <w:fldChar w:fldCharType="begin"/>
      </w:r>
      <w:r w:rsidR="00590C69">
        <w:instrText xml:space="preserve"> SEQ Table \* ARABIC </w:instrText>
      </w:r>
      <w:r w:rsidR="00590C69">
        <w:fldChar w:fldCharType="separate"/>
      </w:r>
      <w:r w:rsidR="00C661AC">
        <w:rPr>
          <w:noProof/>
        </w:rPr>
        <w:t>4</w:t>
      </w:r>
      <w:r w:rsidR="00590C69">
        <w:rPr>
          <w:noProof/>
        </w:rPr>
        <w:fldChar w:fldCharType="end"/>
      </w:r>
      <w:bookmarkEnd w:id="105"/>
      <w:r w:rsidR="00D91288" w:rsidRPr="00022BA7">
        <w:t xml:space="preserve">. Average </w:t>
      </w:r>
      <w:r w:rsidR="00D91288">
        <w:t>GT</w:t>
      </w:r>
      <w:r w:rsidR="00D91288" w:rsidRPr="00022BA7">
        <w:t>, Main Engine</w:t>
      </w:r>
      <w:r w:rsidR="00D91288">
        <w:t xml:space="preserve"> Capacity</w:t>
      </w:r>
      <w:r w:rsidR="00D91288" w:rsidRPr="00022BA7">
        <w:t>, and Travel Distance by Ship Type</w:t>
      </w:r>
      <w:bookmarkEnd w:id="106"/>
    </w:p>
    <w:tbl>
      <w:tblPr>
        <w:tblStyle w:val="TableGrid"/>
        <w:tblW w:w="9355" w:type="dxa"/>
        <w:tblLayout w:type="fixed"/>
        <w:tblLook w:val="04A0" w:firstRow="1" w:lastRow="0" w:firstColumn="1" w:lastColumn="0" w:noHBand="0" w:noVBand="1"/>
      </w:tblPr>
      <w:tblGrid>
        <w:gridCol w:w="1882"/>
        <w:gridCol w:w="1327"/>
        <w:gridCol w:w="2048"/>
        <w:gridCol w:w="2049"/>
        <w:gridCol w:w="2049"/>
      </w:tblGrid>
      <w:tr w:rsidR="00D91288" w:rsidRPr="00022BA7" w14:paraId="6B7F05A3" w14:textId="77777777" w:rsidTr="0067573D">
        <w:trPr>
          <w:trHeight w:val="205"/>
        </w:trPr>
        <w:tc>
          <w:tcPr>
            <w:tcW w:w="1882" w:type="dxa"/>
            <w:tcBorders>
              <w:top w:val="single" w:sz="18" w:space="0" w:color="auto"/>
              <w:left w:val="single" w:sz="2" w:space="0" w:color="auto"/>
              <w:bottom w:val="single" w:sz="18" w:space="0" w:color="auto"/>
              <w:right w:val="single" w:sz="2" w:space="0" w:color="auto"/>
            </w:tcBorders>
            <w:shd w:val="clear" w:color="auto" w:fill="F2F2F2" w:themeFill="background1" w:themeFillShade="F2"/>
            <w:vAlign w:val="center"/>
            <w:hideMark/>
          </w:tcPr>
          <w:p w14:paraId="42D087E8" w14:textId="77777777" w:rsidR="00D91288" w:rsidRPr="00022BA7" w:rsidRDefault="00D91288" w:rsidP="0067573D">
            <w:pPr>
              <w:jc w:val="center"/>
              <w:rPr>
                <w:b/>
                <w:sz w:val="16"/>
                <w:szCs w:val="16"/>
              </w:rPr>
            </w:pPr>
            <w:r w:rsidRPr="00022BA7">
              <w:rPr>
                <w:b/>
                <w:sz w:val="16"/>
                <w:szCs w:val="16"/>
              </w:rPr>
              <w:t>Ship type</w:t>
            </w:r>
          </w:p>
        </w:tc>
        <w:tc>
          <w:tcPr>
            <w:tcW w:w="1327"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54FA94BD" w14:textId="77777777" w:rsidR="00D91288" w:rsidRPr="00022BA7" w:rsidRDefault="00D91288" w:rsidP="0067573D">
            <w:pPr>
              <w:jc w:val="center"/>
              <w:rPr>
                <w:b/>
                <w:sz w:val="16"/>
                <w:szCs w:val="16"/>
              </w:rPr>
            </w:pPr>
            <w:r w:rsidRPr="00022BA7">
              <w:rPr>
                <w:b/>
                <w:sz w:val="16"/>
                <w:szCs w:val="16"/>
              </w:rPr>
              <w:t># of ships</w:t>
            </w:r>
          </w:p>
        </w:tc>
        <w:tc>
          <w:tcPr>
            <w:tcW w:w="2048"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hideMark/>
          </w:tcPr>
          <w:p w14:paraId="2C28FF1D" w14:textId="77777777" w:rsidR="00D91288" w:rsidRPr="00022BA7" w:rsidRDefault="00D91288" w:rsidP="0067573D">
            <w:pPr>
              <w:jc w:val="center"/>
              <w:rPr>
                <w:b/>
                <w:sz w:val="16"/>
                <w:szCs w:val="16"/>
              </w:rPr>
            </w:pPr>
            <w:r w:rsidRPr="00022BA7">
              <w:rPr>
                <w:b/>
                <w:sz w:val="16"/>
                <w:szCs w:val="16"/>
              </w:rPr>
              <w:t>Average gross tonnage [GT]</w:t>
            </w:r>
          </w:p>
        </w:tc>
        <w:tc>
          <w:tcPr>
            <w:tcW w:w="2049"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hideMark/>
          </w:tcPr>
          <w:p w14:paraId="3BCFB6F4" w14:textId="77777777" w:rsidR="00D91288" w:rsidRPr="00022BA7" w:rsidRDefault="00D91288" w:rsidP="0067573D">
            <w:pPr>
              <w:jc w:val="center"/>
              <w:rPr>
                <w:b/>
                <w:sz w:val="16"/>
                <w:szCs w:val="16"/>
              </w:rPr>
            </w:pPr>
            <w:r w:rsidRPr="00022BA7">
              <w:rPr>
                <w:b/>
                <w:sz w:val="16"/>
                <w:szCs w:val="16"/>
              </w:rPr>
              <w:t>Average main engine capacity* [MW]</w:t>
            </w:r>
          </w:p>
        </w:tc>
        <w:tc>
          <w:tcPr>
            <w:tcW w:w="2049" w:type="dxa"/>
            <w:tcBorders>
              <w:top w:val="single" w:sz="18" w:space="0" w:color="auto"/>
              <w:left w:val="single" w:sz="2" w:space="0" w:color="auto"/>
              <w:bottom w:val="single" w:sz="18" w:space="0" w:color="auto"/>
              <w:right w:val="single" w:sz="2" w:space="0" w:color="auto"/>
            </w:tcBorders>
            <w:shd w:val="clear" w:color="auto" w:fill="F2F2F2" w:themeFill="background1" w:themeFillShade="F2"/>
            <w:vAlign w:val="bottom"/>
          </w:tcPr>
          <w:p w14:paraId="2AAA8A0E" w14:textId="77777777" w:rsidR="00D91288" w:rsidRPr="00022BA7" w:rsidRDefault="00D91288" w:rsidP="0067573D">
            <w:pPr>
              <w:jc w:val="center"/>
              <w:rPr>
                <w:b/>
                <w:sz w:val="16"/>
                <w:szCs w:val="16"/>
              </w:rPr>
            </w:pPr>
            <w:r w:rsidRPr="00022BA7">
              <w:rPr>
                <w:b/>
                <w:sz w:val="16"/>
                <w:szCs w:val="16"/>
              </w:rPr>
              <w:t>Average annual travel distance [km]</w:t>
            </w:r>
          </w:p>
        </w:tc>
      </w:tr>
      <w:tr w:rsidR="00D91288" w:rsidRPr="00022BA7" w14:paraId="4CD078D0" w14:textId="77777777" w:rsidTr="0067573D">
        <w:trPr>
          <w:trHeight w:val="34"/>
        </w:trPr>
        <w:tc>
          <w:tcPr>
            <w:tcW w:w="1882" w:type="dxa"/>
            <w:tcBorders>
              <w:top w:val="single" w:sz="18" w:space="0" w:color="auto"/>
            </w:tcBorders>
            <w:vAlign w:val="center"/>
            <w:hideMark/>
          </w:tcPr>
          <w:p w14:paraId="03083428" w14:textId="77777777" w:rsidR="00D91288" w:rsidRPr="00022BA7" w:rsidRDefault="00D91288" w:rsidP="0067573D">
            <w:pPr>
              <w:jc w:val="right"/>
              <w:rPr>
                <w:sz w:val="16"/>
                <w:szCs w:val="16"/>
              </w:rPr>
            </w:pPr>
            <w:r w:rsidRPr="00022BA7">
              <w:rPr>
                <w:sz w:val="16"/>
                <w:szCs w:val="16"/>
              </w:rPr>
              <w:t>Passenger</w:t>
            </w:r>
          </w:p>
        </w:tc>
        <w:tc>
          <w:tcPr>
            <w:tcW w:w="1327" w:type="dxa"/>
            <w:tcBorders>
              <w:top w:val="single" w:sz="18" w:space="0" w:color="auto"/>
            </w:tcBorders>
            <w:noWrap/>
            <w:vAlign w:val="center"/>
            <w:hideMark/>
          </w:tcPr>
          <w:p w14:paraId="6CC59268" w14:textId="77777777" w:rsidR="00D91288" w:rsidRPr="00022BA7" w:rsidRDefault="00D91288" w:rsidP="0067573D">
            <w:pPr>
              <w:jc w:val="right"/>
              <w:rPr>
                <w:sz w:val="16"/>
                <w:szCs w:val="16"/>
              </w:rPr>
            </w:pPr>
            <w:r w:rsidRPr="00022BA7">
              <w:rPr>
                <w:sz w:val="16"/>
                <w:szCs w:val="16"/>
              </w:rPr>
              <w:t xml:space="preserve">306 </w:t>
            </w:r>
          </w:p>
        </w:tc>
        <w:tc>
          <w:tcPr>
            <w:tcW w:w="2048" w:type="dxa"/>
            <w:tcBorders>
              <w:top w:val="single" w:sz="18" w:space="0" w:color="auto"/>
            </w:tcBorders>
            <w:noWrap/>
            <w:vAlign w:val="center"/>
            <w:hideMark/>
          </w:tcPr>
          <w:p w14:paraId="728EA29B" w14:textId="77777777" w:rsidR="00D91288" w:rsidRPr="00022BA7" w:rsidRDefault="00D91288" w:rsidP="0067573D">
            <w:pPr>
              <w:jc w:val="right"/>
              <w:rPr>
                <w:sz w:val="16"/>
                <w:szCs w:val="16"/>
              </w:rPr>
            </w:pPr>
            <w:r w:rsidRPr="00022BA7">
              <w:rPr>
                <w:sz w:val="16"/>
                <w:szCs w:val="16"/>
              </w:rPr>
              <w:t xml:space="preserve">                      221 </w:t>
            </w:r>
          </w:p>
        </w:tc>
        <w:tc>
          <w:tcPr>
            <w:tcW w:w="2049" w:type="dxa"/>
            <w:tcBorders>
              <w:top w:val="single" w:sz="18" w:space="0" w:color="auto"/>
            </w:tcBorders>
            <w:noWrap/>
            <w:vAlign w:val="center"/>
            <w:hideMark/>
          </w:tcPr>
          <w:p w14:paraId="65010AC5" w14:textId="77777777" w:rsidR="00D91288" w:rsidRPr="00022BA7" w:rsidRDefault="00D91288" w:rsidP="0067573D">
            <w:pPr>
              <w:jc w:val="right"/>
              <w:rPr>
                <w:sz w:val="16"/>
                <w:szCs w:val="16"/>
              </w:rPr>
            </w:pPr>
            <w:r w:rsidRPr="00022BA7">
              <w:rPr>
                <w:sz w:val="16"/>
                <w:szCs w:val="16"/>
              </w:rPr>
              <w:t xml:space="preserve">             1.3 </w:t>
            </w:r>
          </w:p>
        </w:tc>
        <w:tc>
          <w:tcPr>
            <w:tcW w:w="2049" w:type="dxa"/>
            <w:tcBorders>
              <w:top w:val="single" w:sz="18" w:space="0" w:color="auto"/>
            </w:tcBorders>
            <w:vAlign w:val="center"/>
          </w:tcPr>
          <w:p w14:paraId="74070825" w14:textId="77777777" w:rsidR="00D91288" w:rsidRPr="00022BA7" w:rsidRDefault="00D91288" w:rsidP="0067573D">
            <w:pPr>
              <w:jc w:val="right"/>
              <w:rPr>
                <w:sz w:val="16"/>
                <w:szCs w:val="16"/>
              </w:rPr>
            </w:pPr>
            <w:r w:rsidRPr="00022BA7">
              <w:rPr>
                <w:sz w:val="16"/>
                <w:szCs w:val="16"/>
              </w:rPr>
              <w:t xml:space="preserve">28,963 </w:t>
            </w:r>
          </w:p>
        </w:tc>
      </w:tr>
      <w:tr w:rsidR="00D91288" w:rsidRPr="00022BA7" w14:paraId="4E0DCE6C" w14:textId="77777777" w:rsidTr="0067573D">
        <w:trPr>
          <w:trHeight w:val="34"/>
        </w:trPr>
        <w:tc>
          <w:tcPr>
            <w:tcW w:w="1882" w:type="dxa"/>
            <w:vAlign w:val="center"/>
            <w:hideMark/>
          </w:tcPr>
          <w:p w14:paraId="74B7A9B0" w14:textId="77777777" w:rsidR="00D91288" w:rsidRPr="00022BA7" w:rsidRDefault="00D91288" w:rsidP="0067573D">
            <w:pPr>
              <w:jc w:val="right"/>
              <w:rPr>
                <w:sz w:val="16"/>
                <w:szCs w:val="16"/>
              </w:rPr>
            </w:pPr>
            <w:r w:rsidRPr="00022BA7">
              <w:rPr>
                <w:sz w:val="16"/>
                <w:szCs w:val="16"/>
              </w:rPr>
              <w:t>Tug (Coastal-Harbor)</w:t>
            </w:r>
          </w:p>
        </w:tc>
        <w:tc>
          <w:tcPr>
            <w:tcW w:w="1327" w:type="dxa"/>
            <w:noWrap/>
            <w:vAlign w:val="center"/>
            <w:hideMark/>
          </w:tcPr>
          <w:p w14:paraId="44F5B4E1" w14:textId="77777777" w:rsidR="00D91288" w:rsidRPr="00022BA7" w:rsidRDefault="00D91288" w:rsidP="0067573D">
            <w:pPr>
              <w:jc w:val="right"/>
              <w:rPr>
                <w:sz w:val="16"/>
                <w:szCs w:val="16"/>
              </w:rPr>
            </w:pPr>
            <w:r w:rsidRPr="00022BA7">
              <w:rPr>
                <w:sz w:val="16"/>
                <w:szCs w:val="16"/>
              </w:rPr>
              <w:t xml:space="preserve">1,395 </w:t>
            </w:r>
          </w:p>
        </w:tc>
        <w:tc>
          <w:tcPr>
            <w:tcW w:w="2048" w:type="dxa"/>
            <w:noWrap/>
            <w:vAlign w:val="center"/>
            <w:hideMark/>
          </w:tcPr>
          <w:p w14:paraId="212903F7" w14:textId="77777777" w:rsidR="00D91288" w:rsidRPr="00022BA7" w:rsidRDefault="00D91288" w:rsidP="0067573D">
            <w:pPr>
              <w:jc w:val="right"/>
              <w:rPr>
                <w:sz w:val="16"/>
                <w:szCs w:val="16"/>
              </w:rPr>
            </w:pPr>
            <w:r w:rsidRPr="00022BA7">
              <w:rPr>
                <w:sz w:val="16"/>
                <w:szCs w:val="16"/>
              </w:rPr>
              <w:t xml:space="preserve">                      251 </w:t>
            </w:r>
          </w:p>
        </w:tc>
        <w:tc>
          <w:tcPr>
            <w:tcW w:w="2049" w:type="dxa"/>
            <w:noWrap/>
            <w:vAlign w:val="center"/>
            <w:hideMark/>
          </w:tcPr>
          <w:p w14:paraId="3D89E79B" w14:textId="77777777" w:rsidR="00D91288" w:rsidRPr="00022BA7" w:rsidRDefault="00D91288" w:rsidP="0067573D">
            <w:pPr>
              <w:jc w:val="right"/>
              <w:rPr>
                <w:sz w:val="16"/>
                <w:szCs w:val="16"/>
              </w:rPr>
            </w:pPr>
            <w:r w:rsidRPr="00022BA7">
              <w:rPr>
                <w:sz w:val="16"/>
                <w:szCs w:val="16"/>
              </w:rPr>
              <w:t xml:space="preserve">             2.1 </w:t>
            </w:r>
          </w:p>
        </w:tc>
        <w:tc>
          <w:tcPr>
            <w:tcW w:w="2049" w:type="dxa"/>
            <w:vAlign w:val="center"/>
          </w:tcPr>
          <w:p w14:paraId="6E870D15" w14:textId="77777777" w:rsidR="00D91288" w:rsidRPr="00022BA7" w:rsidRDefault="00D91288" w:rsidP="0067573D">
            <w:pPr>
              <w:jc w:val="right"/>
              <w:rPr>
                <w:sz w:val="16"/>
                <w:szCs w:val="16"/>
              </w:rPr>
            </w:pPr>
            <w:r w:rsidRPr="00022BA7">
              <w:rPr>
                <w:sz w:val="16"/>
                <w:szCs w:val="16"/>
              </w:rPr>
              <w:t xml:space="preserve">28,823 </w:t>
            </w:r>
          </w:p>
        </w:tc>
      </w:tr>
      <w:tr w:rsidR="00D91288" w:rsidRPr="00022BA7" w14:paraId="049475CF" w14:textId="77777777" w:rsidTr="0067573D">
        <w:trPr>
          <w:trHeight w:val="215"/>
        </w:trPr>
        <w:tc>
          <w:tcPr>
            <w:tcW w:w="1882" w:type="dxa"/>
            <w:vAlign w:val="center"/>
          </w:tcPr>
          <w:p w14:paraId="02B4DF61" w14:textId="77777777" w:rsidR="00D91288" w:rsidRPr="00022BA7" w:rsidRDefault="00D91288" w:rsidP="0067573D">
            <w:pPr>
              <w:jc w:val="right"/>
              <w:rPr>
                <w:sz w:val="16"/>
                <w:szCs w:val="16"/>
              </w:rPr>
            </w:pPr>
            <w:r w:rsidRPr="00022BA7">
              <w:rPr>
                <w:sz w:val="16"/>
                <w:szCs w:val="16"/>
              </w:rPr>
              <w:t>Tug (Inland-Push Boats)</w:t>
            </w:r>
          </w:p>
        </w:tc>
        <w:tc>
          <w:tcPr>
            <w:tcW w:w="1327" w:type="dxa"/>
            <w:noWrap/>
            <w:vAlign w:val="center"/>
          </w:tcPr>
          <w:p w14:paraId="6FEA2D0E" w14:textId="77777777" w:rsidR="00D91288" w:rsidRPr="00022BA7" w:rsidRDefault="00D91288" w:rsidP="0067573D">
            <w:pPr>
              <w:jc w:val="right"/>
              <w:rPr>
                <w:sz w:val="16"/>
                <w:szCs w:val="16"/>
              </w:rPr>
            </w:pPr>
            <w:r w:rsidRPr="00022BA7">
              <w:rPr>
                <w:sz w:val="16"/>
                <w:szCs w:val="16"/>
              </w:rPr>
              <w:t xml:space="preserve">935 </w:t>
            </w:r>
          </w:p>
        </w:tc>
        <w:tc>
          <w:tcPr>
            <w:tcW w:w="2048" w:type="dxa"/>
            <w:noWrap/>
            <w:vAlign w:val="center"/>
          </w:tcPr>
          <w:p w14:paraId="05CF615C" w14:textId="77777777" w:rsidR="00D91288" w:rsidRPr="00022BA7" w:rsidRDefault="00D91288" w:rsidP="0067573D">
            <w:pPr>
              <w:jc w:val="right"/>
              <w:rPr>
                <w:sz w:val="16"/>
                <w:szCs w:val="16"/>
              </w:rPr>
            </w:pPr>
            <w:r w:rsidRPr="00022BA7">
              <w:rPr>
                <w:sz w:val="16"/>
                <w:szCs w:val="16"/>
              </w:rPr>
              <w:t xml:space="preserve">                      272 </w:t>
            </w:r>
          </w:p>
        </w:tc>
        <w:tc>
          <w:tcPr>
            <w:tcW w:w="2049" w:type="dxa"/>
            <w:noWrap/>
            <w:vAlign w:val="center"/>
          </w:tcPr>
          <w:p w14:paraId="7FD6C6C8" w14:textId="77777777" w:rsidR="00D91288" w:rsidRPr="00022BA7" w:rsidRDefault="00D91288" w:rsidP="0067573D">
            <w:pPr>
              <w:jc w:val="right"/>
              <w:rPr>
                <w:sz w:val="16"/>
                <w:szCs w:val="16"/>
              </w:rPr>
            </w:pPr>
            <w:r w:rsidRPr="00022BA7">
              <w:rPr>
                <w:sz w:val="16"/>
                <w:szCs w:val="16"/>
              </w:rPr>
              <w:t xml:space="preserve">             1.8 </w:t>
            </w:r>
          </w:p>
        </w:tc>
        <w:tc>
          <w:tcPr>
            <w:tcW w:w="2049" w:type="dxa"/>
            <w:vAlign w:val="center"/>
          </w:tcPr>
          <w:p w14:paraId="6D94E7FB" w14:textId="77777777" w:rsidR="00D91288" w:rsidRPr="00022BA7" w:rsidRDefault="00D91288" w:rsidP="0067573D">
            <w:pPr>
              <w:jc w:val="right"/>
              <w:rPr>
                <w:sz w:val="16"/>
                <w:szCs w:val="16"/>
              </w:rPr>
            </w:pPr>
            <w:r w:rsidRPr="00022BA7">
              <w:rPr>
                <w:sz w:val="16"/>
                <w:szCs w:val="16"/>
              </w:rPr>
              <w:t xml:space="preserve">29,641 </w:t>
            </w:r>
          </w:p>
        </w:tc>
      </w:tr>
      <w:tr w:rsidR="00D91288" w:rsidRPr="00022BA7" w14:paraId="07265069" w14:textId="77777777" w:rsidTr="0067573D">
        <w:trPr>
          <w:trHeight w:val="215"/>
        </w:trPr>
        <w:tc>
          <w:tcPr>
            <w:tcW w:w="1882" w:type="dxa"/>
            <w:vAlign w:val="center"/>
            <w:hideMark/>
          </w:tcPr>
          <w:p w14:paraId="4E782FC9" w14:textId="77777777" w:rsidR="00D91288" w:rsidRPr="00022BA7" w:rsidRDefault="00D91288" w:rsidP="0067573D">
            <w:pPr>
              <w:jc w:val="right"/>
              <w:rPr>
                <w:sz w:val="16"/>
                <w:szCs w:val="16"/>
              </w:rPr>
            </w:pPr>
            <w:r w:rsidRPr="00022BA7">
              <w:rPr>
                <w:sz w:val="16"/>
                <w:szCs w:val="16"/>
              </w:rPr>
              <w:t>Tug (ATB)</w:t>
            </w:r>
          </w:p>
        </w:tc>
        <w:tc>
          <w:tcPr>
            <w:tcW w:w="1327" w:type="dxa"/>
            <w:noWrap/>
            <w:vAlign w:val="center"/>
            <w:hideMark/>
          </w:tcPr>
          <w:p w14:paraId="73CE0496" w14:textId="77777777" w:rsidR="00D91288" w:rsidRPr="00022BA7" w:rsidRDefault="00D91288" w:rsidP="0067573D">
            <w:pPr>
              <w:jc w:val="right"/>
              <w:rPr>
                <w:sz w:val="16"/>
                <w:szCs w:val="16"/>
              </w:rPr>
            </w:pPr>
            <w:r w:rsidRPr="00022BA7">
              <w:rPr>
                <w:sz w:val="16"/>
                <w:szCs w:val="16"/>
              </w:rPr>
              <w:t xml:space="preserve">80 </w:t>
            </w:r>
          </w:p>
        </w:tc>
        <w:tc>
          <w:tcPr>
            <w:tcW w:w="2048" w:type="dxa"/>
            <w:noWrap/>
            <w:vAlign w:val="center"/>
            <w:hideMark/>
          </w:tcPr>
          <w:p w14:paraId="4192F523" w14:textId="77777777" w:rsidR="00D91288" w:rsidRPr="00022BA7" w:rsidRDefault="00D91288" w:rsidP="0067573D">
            <w:pPr>
              <w:jc w:val="right"/>
              <w:rPr>
                <w:sz w:val="16"/>
                <w:szCs w:val="16"/>
              </w:rPr>
            </w:pPr>
            <w:r w:rsidRPr="00022BA7">
              <w:rPr>
                <w:sz w:val="16"/>
                <w:szCs w:val="16"/>
              </w:rPr>
              <w:t xml:space="preserve">                      618 </w:t>
            </w:r>
          </w:p>
        </w:tc>
        <w:tc>
          <w:tcPr>
            <w:tcW w:w="2049" w:type="dxa"/>
            <w:noWrap/>
            <w:vAlign w:val="center"/>
            <w:hideMark/>
          </w:tcPr>
          <w:p w14:paraId="3DD3294A" w14:textId="77777777" w:rsidR="00D91288" w:rsidRPr="00022BA7" w:rsidRDefault="00D91288" w:rsidP="0067573D">
            <w:pPr>
              <w:jc w:val="right"/>
              <w:rPr>
                <w:sz w:val="16"/>
                <w:szCs w:val="16"/>
              </w:rPr>
            </w:pPr>
            <w:r w:rsidRPr="00022BA7">
              <w:rPr>
                <w:sz w:val="16"/>
                <w:szCs w:val="16"/>
              </w:rPr>
              <w:t xml:space="preserve">             4.0 </w:t>
            </w:r>
          </w:p>
        </w:tc>
        <w:tc>
          <w:tcPr>
            <w:tcW w:w="2049" w:type="dxa"/>
            <w:vAlign w:val="center"/>
          </w:tcPr>
          <w:p w14:paraId="68E3D319" w14:textId="77777777" w:rsidR="00D91288" w:rsidRPr="00022BA7" w:rsidRDefault="00D91288" w:rsidP="0067573D">
            <w:pPr>
              <w:jc w:val="right"/>
              <w:rPr>
                <w:sz w:val="16"/>
                <w:szCs w:val="16"/>
              </w:rPr>
            </w:pPr>
            <w:r w:rsidRPr="00022BA7">
              <w:rPr>
                <w:sz w:val="16"/>
                <w:szCs w:val="16"/>
              </w:rPr>
              <w:t xml:space="preserve"> 53,071 </w:t>
            </w:r>
          </w:p>
        </w:tc>
      </w:tr>
      <w:tr w:rsidR="00D91288" w:rsidRPr="00022BA7" w14:paraId="7DF30824" w14:textId="77777777" w:rsidTr="0067573D">
        <w:trPr>
          <w:trHeight w:val="225"/>
        </w:trPr>
        <w:tc>
          <w:tcPr>
            <w:tcW w:w="1882" w:type="dxa"/>
            <w:vAlign w:val="center"/>
            <w:hideMark/>
          </w:tcPr>
          <w:p w14:paraId="63E775F4" w14:textId="77777777" w:rsidR="00D91288" w:rsidRPr="00022BA7" w:rsidRDefault="00D91288" w:rsidP="0067573D">
            <w:pPr>
              <w:jc w:val="right"/>
              <w:rPr>
                <w:sz w:val="16"/>
                <w:szCs w:val="16"/>
              </w:rPr>
            </w:pPr>
            <w:r w:rsidRPr="00022BA7">
              <w:rPr>
                <w:rFonts w:hint="eastAsia"/>
                <w:sz w:val="16"/>
                <w:szCs w:val="16"/>
              </w:rPr>
              <w:t>S</w:t>
            </w:r>
            <w:r w:rsidRPr="00022BA7">
              <w:rPr>
                <w:sz w:val="16"/>
                <w:szCs w:val="16"/>
              </w:rPr>
              <w:t>ub-Total</w:t>
            </w:r>
          </w:p>
        </w:tc>
        <w:tc>
          <w:tcPr>
            <w:tcW w:w="1327" w:type="dxa"/>
            <w:noWrap/>
            <w:vAlign w:val="center"/>
            <w:hideMark/>
          </w:tcPr>
          <w:p w14:paraId="41A4F91E" w14:textId="77777777" w:rsidR="00D91288" w:rsidRPr="00022BA7" w:rsidRDefault="00D91288" w:rsidP="0067573D">
            <w:pPr>
              <w:jc w:val="right"/>
              <w:rPr>
                <w:sz w:val="16"/>
                <w:szCs w:val="16"/>
              </w:rPr>
            </w:pPr>
            <w:r w:rsidRPr="00022BA7">
              <w:rPr>
                <w:sz w:val="16"/>
                <w:szCs w:val="16"/>
              </w:rPr>
              <w:t>2,716</w:t>
            </w:r>
          </w:p>
        </w:tc>
        <w:tc>
          <w:tcPr>
            <w:tcW w:w="2048" w:type="dxa"/>
            <w:noWrap/>
            <w:vAlign w:val="center"/>
            <w:hideMark/>
          </w:tcPr>
          <w:p w14:paraId="70F5C7D1" w14:textId="77777777" w:rsidR="00D91288" w:rsidRPr="00022BA7" w:rsidRDefault="00D91288" w:rsidP="0067573D">
            <w:pPr>
              <w:jc w:val="right"/>
              <w:rPr>
                <w:sz w:val="16"/>
                <w:szCs w:val="16"/>
              </w:rPr>
            </w:pPr>
            <w:r w:rsidRPr="00022BA7">
              <w:rPr>
                <w:sz w:val="16"/>
                <w:szCs w:val="16"/>
              </w:rPr>
              <w:t xml:space="preserve">                      266 </w:t>
            </w:r>
          </w:p>
        </w:tc>
        <w:tc>
          <w:tcPr>
            <w:tcW w:w="2049" w:type="dxa"/>
            <w:noWrap/>
            <w:vAlign w:val="center"/>
            <w:hideMark/>
          </w:tcPr>
          <w:p w14:paraId="1FFF878D" w14:textId="77777777" w:rsidR="00D91288" w:rsidRPr="00022BA7" w:rsidRDefault="00D91288" w:rsidP="0067573D">
            <w:pPr>
              <w:jc w:val="right"/>
              <w:rPr>
                <w:sz w:val="16"/>
                <w:szCs w:val="16"/>
              </w:rPr>
            </w:pPr>
            <w:r w:rsidRPr="00022BA7">
              <w:rPr>
                <w:sz w:val="16"/>
                <w:szCs w:val="16"/>
              </w:rPr>
              <w:t>1.9</w:t>
            </w:r>
          </w:p>
        </w:tc>
        <w:tc>
          <w:tcPr>
            <w:tcW w:w="2049" w:type="dxa"/>
            <w:vAlign w:val="center"/>
          </w:tcPr>
          <w:p w14:paraId="28FFF1FC" w14:textId="77777777" w:rsidR="00D91288" w:rsidRPr="00022BA7" w:rsidRDefault="00D91288" w:rsidP="0067573D">
            <w:pPr>
              <w:jc w:val="right"/>
              <w:rPr>
                <w:sz w:val="16"/>
                <w:szCs w:val="16"/>
              </w:rPr>
            </w:pPr>
            <w:r w:rsidRPr="00022BA7">
              <w:rPr>
                <w:sz w:val="16"/>
                <w:szCs w:val="16"/>
              </w:rPr>
              <w:t xml:space="preserve">29,835 </w:t>
            </w:r>
          </w:p>
        </w:tc>
      </w:tr>
    </w:tbl>
    <w:p w14:paraId="6F8C44BC" w14:textId="58E3F925" w:rsidR="00D91288" w:rsidRDefault="00D91288" w:rsidP="00D91288">
      <w:pPr>
        <w:rPr>
          <w:sz w:val="16"/>
          <w:szCs w:val="16"/>
        </w:rPr>
      </w:pPr>
      <w:r w:rsidRPr="00022BA7">
        <w:rPr>
          <w:sz w:val="16"/>
          <w:szCs w:val="16"/>
        </w:rPr>
        <w:t>* For ships where the main engine capacity data is unavailable, estimated values are used as described in</w:t>
      </w:r>
      <w:r>
        <w:rPr>
          <w:sz w:val="16"/>
          <w:szCs w:val="16"/>
        </w:rPr>
        <w:t xml:space="preserve"> subsection “</w:t>
      </w:r>
      <w:r w:rsidRPr="00AE793C">
        <w:rPr>
          <w:color w:val="1F497D" w:themeColor="text2"/>
          <w:sz w:val="16"/>
          <w:szCs w:val="16"/>
        </w:rPr>
        <w:fldChar w:fldCharType="begin"/>
      </w:r>
      <w:r w:rsidRPr="00AE793C">
        <w:rPr>
          <w:color w:val="1F497D" w:themeColor="text2"/>
          <w:sz w:val="16"/>
          <w:szCs w:val="16"/>
        </w:rPr>
        <w:instrText xml:space="preserve"> REF _Ref144852563 \h  \* MERGEFORMAT </w:instrText>
      </w:r>
      <w:r w:rsidRPr="00AE793C">
        <w:rPr>
          <w:color w:val="1F497D" w:themeColor="text2"/>
          <w:sz w:val="16"/>
          <w:szCs w:val="16"/>
        </w:rPr>
      </w:r>
      <w:r w:rsidRPr="00AE793C">
        <w:rPr>
          <w:color w:val="1F497D" w:themeColor="text2"/>
          <w:sz w:val="16"/>
          <w:szCs w:val="16"/>
        </w:rPr>
        <w:fldChar w:fldCharType="separate"/>
      </w:r>
      <w:r w:rsidR="00C661AC" w:rsidRPr="00C661AC">
        <w:rPr>
          <w:color w:val="1F497D" w:themeColor="text2"/>
          <w:sz w:val="16"/>
          <w:szCs w:val="16"/>
        </w:rPr>
        <w:t>Imputation of Missing Specification Data</w:t>
      </w:r>
      <w:r w:rsidRPr="00AE793C">
        <w:rPr>
          <w:color w:val="1F497D" w:themeColor="text2"/>
          <w:sz w:val="16"/>
          <w:szCs w:val="16"/>
        </w:rPr>
        <w:fldChar w:fldCharType="end"/>
      </w:r>
      <w:r>
        <w:rPr>
          <w:sz w:val="16"/>
          <w:szCs w:val="16"/>
        </w:rPr>
        <w:t>.”</w:t>
      </w:r>
    </w:p>
    <w:p w14:paraId="756B1AD0" w14:textId="28F090BB" w:rsidR="00D91288" w:rsidRDefault="00D91288" w:rsidP="00D91288">
      <w:pPr>
        <w:rPr>
          <w:sz w:val="16"/>
          <w:szCs w:val="16"/>
        </w:rPr>
      </w:pPr>
    </w:p>
    <w:p w14:paraId="53A7F2D4" w14:textId="77777777" w:rsidR="00504D89" w:rsidRDefault="00504D89">
      <w:pPr>
        <w:widowControl/>
        <w:spacing w:line="240" w:lineRule="auto"/>
        <w:rPr>
          <w:sz w:val="16"/>
          <w:szCs w:val="16"/>
        </w:rPr>
      </w:pPr>
    </w:p>
    <w:p w14:paraId="576BE80D" w14:textId="77777777" w:rsidR="00504D89" w:rsidRDefault="00504D89">
      <w:pPr>
        <w:widowControl/>
        <w:spacing w:line="240" w:lineRule="auto"/>
        <w:rPr>
          <w:sz w:val="16"/>
          <w:szCs w:val="16"/>
        </w:rPr>
      </w:pPr>
    </w:p>
    <w:p w14:paraId="0C3DF6C6" w14:textId="431610A2" w:rsidR="002150CB" w:rsidRDefault="002150CB">
      <w:pPr>
        <w:widowControl/>
        <w:spacing w:line="240" w:lineRule="auto"/>
        <w:rPr>
          <w:sz w:val="16"/>
          <w:szCs w:val="16"/>
        </w:rPr>
      </w:pPr>
      <w:r>
        <w:rPr>
          <w:sz w:val="16"/>
          <w:szCs w:val="16"/>
        </w:rPr>
        <w:br w:type="page"/>
      </w:r>
    </w:p>
    <w:p w14:paraId="4030CEA4" w14:textId="0C6B7489" w:rsidR="00504D89" w:rsidRPr="00022BA7" w:rsidRDefault="00166350" w:rsidP="00504D89">
      <w:pPr>
        <w:pStyle w:val="Caption"/>
        <w:keepNext/>
        <w:spacing w:line="240" w:lineRule="auto"/>
      </w:pPr>
      <w:bookmarkStart w:id="107" w:name="_Ref145580116"/>
      <w:bookmarkStart w:id="108" w:name="_Toc146723130"/>
      <w:r>
        <w:t xml:space="preserve">Supplementary </w:t>
      </w:r>
      <w:r w:rsidR="00504D89" w:rsidRPr="00022BA7">
        <w:t xml:space="preserve">Table </w:t>
      </w:r>
      <w:r w:rsidR="00590C69">
        <w:fldChar w:fldCharType="begin"/>
      </w:r>
      <w:r w:rsidR="00590C69">
        <w:instrText xml:space="preserve"> SEQ Table \* ARABIC </w:instrText>
      </w:r>
      <w:r w:rsidR="00590C69">
        <w:fldChar w:fldCharType="separate"/>
      </w:r>
      <w:r w:rsidR="00C661AC">
        <w:rPr>
          <w:noProof/>
        </w:rPr>
        <w:t>5</w:t>
      </w:r>
      <w:r w:rsidR="00590C69">
        <w:rPr>
          <w:noProof/>
        </w:rPr>
        <w:fldChar w:fldCharType="end"/>
      </w:r>
      <w:bookmarkEnd w:id="107"/>
      <w:r w:rsidR="00504D89" w:rsidRPr="00022BA7">
        <w:t>. Data Availability in Each Ship List</w:t>
      </w:r>
      <w:bookmarkEnd w:id="108"/>
    </w:p>
    <w:tbl>
      <w:tblPr>
        <w:tblW w:w="9348" w:type="dxa"/>
        <w:tblCellMar>
          <w:left w:w="58" w:type="dxa"/>
          <w:right w:w="58" w:type="dxa"/>
        </w:tblCellMar>
        <w:tblLook w:val="0420" w:firstRow="1" w:lastRow="0" w:firstColumn="0" w:lastColumn="0" w:noHBand="0" w:noVBand="1"/>
      </w:tblPr>
      <w:tblGrid>
        <w:gridCol w:w="1352"/>
        <w:gridCol w:w="1510"/>
        <w:gridCol w:w="1847"/>
        <w:gridCol w:w="1544"/>
        <w:gridCol w:w="1544"/>
        <w:gridCol w:w="1544"/>
        <w:gridCol w:w="7"/>
      </w:tblGrid>
      <w:tr w:rsidR="00504D89" w:rsidRPr="00022BA7" w14:paraId="39D54779" w14:textId="77777777" w:rsidTr="0067573D">
        <w:trPr>
          <w:cantSplit/>
          <w:trHeight w:val="255"/>
        </w:trPr>
        <w:tc>
          <w:tcPr>
            <w:tcW w:w="1353" w:type="dxa"/>
            <w:tcBorders>
              <w:top w:val="single" w:sz="18" w:space="0" w:color="000000" w:themeColor="text1"/>
              <w:left w:val="single" w:sz="8" w:space="0" w:color="7F7F7F"/>
              <w:bottom w:val="single" w:sz="8" w:space="0" w:color="7F7F7F"/>
              <w:right w:val="single" w:sz="8" w:space="0" w:color="7F7F7F"/>
            </w:tcBorders>
            <w:shd w:val="clear" w:color="auto" w:fill="D9D9D9" w:themeFill="background1" w:themeFillShade="D9"/>
            <w:vAlign w:val="center"/>
          </w:tcPr>
          <w:p w14:paraId="2B7432B6" w14:textId="77777777" w:rsidR="00504D89" w:rsidRPr="00186A21" w:rsidRDefault="00504D89" w:rsidP="0067573D">
            <w:pPr>
              <w:jc w:val="center"/>
              <w:rPr>
                <w:b/>
                <w:sz w:val="18"/>
                <w:szCs w:val="18"/>
              </w:rPr>
            </w:pPr>
          </w:p>
        </w:tc>
        <w:tc>
          <w:tcPr>
            <w:tcW w:w="1511" w:type="dxa"/>
            <w:tcBorders>
              <w:top w:val="single" w:sz="18" w:space="0" w:color="000000" w:themeColor="text1"/>
              <w:left w:val="nil"/>
              <w:bottom w:val="single" w:sz="8" w:space="0" w:color="7F7F7F"/>
              <w:right w:val="single" w:sz="8" w:space="0" w:color="7F7F7F"/>
            </w:tcBorders>
            <w:shd w:val="clear" w:color="auto" w:fill="D9D9D9" w:themeFill="background1" w:themeFillShade="D9"/>
            <w:vAlign w:val="center"/>
          </w:tcPr>
          <w:p w14:paraId="23CA2E62" w14:textId="77777777" w:rsidR="00504D89" w:rsidRPr="00186A21" w:rsidRDefault="00504D89" w:rsidP="0067573D">
            <w:pPr>
              <w:jc w:val="center"/>
              <w:rPr>
                <w:b/>
                <w:sz w:val="18"/>
                <w:szCs w:val="18"/>
              </w:rPr>
            </w:pPr>
          </w:p>
        </w:tc>
        <w:tc>
          <w:tcPr>
            <w:tcW w:w="6484" w:type="dxa"/>
            <w:gridSpan w:val="5"/>
            <w:tcBorders>
              <w:top w:val="single" w:sz="18" w:space="0" w:color="000000" w:themeColor="text1"/>
              <w:left w:val="nil"/>
              <w:bottom w:val="single" w:sz="8" w:space="0" w:color="7F7F7F"/>
              <w:right w:val="single" w:sz="8" w:space="0" w:color="7F7F7F"/>
            </w:tcBorders>
            <w:shd w:val="clear" w:color="auto" w:fill="D9D9D9" w:themeFill="background1" w:themeFillShade="D9"/>
            <w:vAlign w:val="center"/>
          </w:tcPr>
          <w:p w14:paraId="1E623D45" w14:textId="77777777" w:rsidR="00504D89" w:rsidRPr="00186A21" w:rsidRDefault="00504D89" w:rsidP="0067573D">
            <w:pPr>
              <w:jc w:val="center"/>
              <w:rPr>
                <w:b/>
                <w:sz w:val="18"/>
                <w:szCs w:val="18"/>
              </w:rPr>
            </w:pPr>
            <w:r w:rsidRPr="00186A21">
              <w:rPr>
                <w:b/>
                <w:sz w:val="18"/>
                <w:szCs w:val="18"/>
              </w:rPr>
              <w:t>Data Source</w:t>
            </w:r>
          </w:p>
        </w:tc>
      </w:tr>
      <w:tr w:rsidR="00504D89" w:rsidRPr="00022BA7" w14:paraId="5865643E" w14:textId="77777777" w:rsidTr="0067573D">
        <w:trPr>
          <w:cantSplit/>
          <w:trHeight w:val="255"/>
        </w:trPr>
        <w:tc>
          <w:tcPr>
            <w:tcW w:w="1353" w:type="dxa"/>
            <w:tcBorders>
              <w:top w:val="single" w:sz="8" w:space="0" w:color="7F7F7F"/>
              <w:left w:val="single" w:sz="8" w:space="0" w:color="7F7F7F"/>
              <w:bottom w:val="single" w:sz="18" w:space="0" w:color="000000" w:themeColor="text1"/>
              <w:right w:val="single" w:sz="8" w:space="0" w:color="7F7F7F"/>
            </w:tcBorders>
            <w:shd w:val="clear" w:color="auto" w:fill="D9D9D9" w:themeFill="background1" w:themeFillShade="D9"/>
            <w:vAlign w:val="center"/>
            <w:hideMark/>
          </w:tcPr>
          <w:p w14:paraId="4623CAC4" w14:textId="77777777" w:rsidR="00504D89" w:rsidRPr="00186A21" w:rsidRDefault="00504D89" w:rsidP="0067573D">
            <w:pPr>
              <w:jc w:val="center"/>
              <w:rPr>
                <w:b/>
                <w:sz w:val="18"/>
                <w:szCs w:val="18"/>
              </w:rPr>
            </w:pPr>
            <w:r w:rsidRPr="00186A21">
              <w:rPr>
                <w:b/>
                <w:sz w:val="18"/>
                <w:szCs w:val="18"/>
              </w:rPr>
              <w:t>Data Class</w:t>
            </w:r>
          </w:p>
        </w:tc>
        <w:tc>
          <w:tcPr>
            <w:tcW w:w="1511" w:type="dxa"/>
            <w:tcBorders>
              <w:top w:val="single" w:sz="8" w:space="0" w:color="7F7F7F"/>
              <w:left w:val="nil"/>
              <w:bottom w:val="single" w:sz="18" w:space="0" w:color="000000" w:themeColor="text1"/>
              <w:right w:val="single" w:sz="8" w:space="0" w:color="7F7F7F"/>
            </w:tcBorders>
            <w:shd w:val="clear" w:color="auto" w:fill="D9D9D9" w:themeFill="background1" w:themeFillShade="D9"/>
            <w:vAlign w:val="center"/>
            <w:hideMark/>
          </w:tcPr>
          <w:p w14:paraId="6626AAED" w14:textId="77777777" w:rsidR="00504D89" w:rsidRPr="00186A21" w:rsidRDefault="00504D89" w:rsidP="0067573D">
            <w:pPr>
              <w:jc w:val="center"/>
              <w:rPr>
                <w:b/>
                <w:sz w:val="18"/>
                <w:szCs w:val="18"/>
              </w:rPr>
            </w:pPr>
            <w:r w:rsidRPr="00186A21">
              <w:rPr>
                <w:b/>
                <w:sz w:val="18"/>
                <w:szCs w:val="18"/>
              </w:rPr>
              <w:t>Data Item</w:t>
            </w:r>
          </w:p>
        </w:tc>
        <w:tc>
          <w:tcPr>
            <w:tcW w:w="1849" w:type="dxa"/>
            <w:tcBorders>
              <w:top w:val="single" w:sz="8" w:space="0" w:color="7F7F7F"/>
              <w:left w:val="nil"/>
              <w:bottom w:val="single" w:sz="18" w:space="0" w:color="000000" w:themeColor="text1"/>
              <w:right w:val="single" w:sz="8" w:space="0" w:color="7F7F7F"/>
            </w:tcBorders>
            <w:shd w:val="clear" w:color="auto" w:fill="D9D9D9" w:themeFill="background1" w:themeFillShade="D9"/>
            <w:vAlign w:val="center"/>
            <w:hideMark/>
          </w:tcPr>
          <w:p w14:paraId="74782B3F" w14:textId="2D249C7B" w:rsidR="00504D89" w:rsidRPr="00186A21" w:rsidRDefault="00504D89" w:rsidP="0067573D">
            <w:pPr>
              <w:jc w:val="center"/>
              <w:rPr>
                <w:b/>
                <w:sz w:val="18"/>
                <w:szCs w:val="18"/>
              </w:rPr>
            </w:pPr>
            <w:r w:rsidRPr="00186A21">
              <w:rPr>
                <w:b/>
                <w:sz w:val="18"/>
                <w:szCs w:val="18"/>
              </w:rPr>
              <w:t>USCG</w:t>
            </w:r>
            <w:r w:rsidRPr="00186A21">
              <w:rPr>
                <w:b/>
                <w:sz w:val="18"/>
                <w:szCs w:val="18"/>
              </w:rPr>
              <w:br/>
              <w:t>(2021)</w:t>
            </w:r>
            <w:r w:rsidR="0038552C">
              <w:rPr>
                <w:b/>
                <w:sz w:val="18"/>
                <w:szCs w:val="18"/>
              </w:rPr>
              <w:fldChar w:fldCharType="begin"/>
            </w:r>
            <w:r w:rsidR="0038552C">
              <w:rPr>
                <w:b/>
                <w:sz w:val="18"/>
                <w:szCs w:val="18"/>
              </w:rPr>
              <w:instrText xml:space="preserve"> ADDIN ZOTERO_ITEM CSL_CITATION {"citationID":"KFZcufZ0","properties":{"formattedCitation":"\\super 1\\nosupersub{}","plainCitation":"1","noteIndex":0},"citationItems":[{"id":268,"uris":["http://zotero.org/users/12468222/items/T2B3TFTN"],"itemData":{"id":268,"type":"webpage","container-title":"U.S. Coast Guard","title":"Annual Vessel Statistics","URL":"https://www.dco.uscg.mil/Our-Organization/Assistant-Commandant-for-Prevention-Policy-CG-5P/Commercial-Regulations-Standards-CG-5PS/Office-of-Standards-Evaluation-and-Development-CG-REG/Annual-Vessel-Statistics/","author":[{"literal":"U.S. Coast Guard"}],"accessed":{"date-parts":[["2023",9,26]]},"issued":{"date-parts":[["2021"]]}}}],"schema":"https://github.com/citation-style-language/schema/raw/master/csl-citation.json"} </w:instrText>
            </w:r>
            <w:r w:rsidR="0038552C">
              <w:rPr>
                <w:b/>
                <w:sz w:val="18"/>
                <w:szCs w:val="18"/>
              </w:rPr>
              <w:fldChar w:fldCharType="separate"/>
            </w:r>
            <w:r w:rsidR="0038552C" w:rsidRPr="0038552C">
              <w:rPr>
                <w:rFonts w:cs="Times New Roman"/>
                <w:sz w:val="18"/>
                <w:szCs w:val="24"/>
                <w:vertAlign w:val="superscript"/>
              </w:rPr>
              <w:t>1</w:t>
            </w:r>
            <w:r w:rsidR="0038552C">
              <w:rPr>
                <w:b/>
                <w:sz w:val="18"/>
                <w:szCs w:val="18"/>
              </w:rPr>
              <w:fldChar w:fldCharType="end"/>
            </w:r>
          </w:p>
        </w:tc>
        <w:tc>
          <w:tcPr>
            <w:tcW w:w="1545" w:type="dxa"/>
            <w:tcBorders>
              <w:top w:val="single" w:sz="8" w:space="0" w:color="7F7F7F"/>
              <w:left w:val="nil"/>
              <w:bottom w:val="single" w:sz="18" w:space="0" w:color="000000" w:themeColor="text1"/>
              <w:right w:val="single" w:sz="8" w:space="0" w:color="7F7F7F"/>
            </w:tcBorders>
            <w:shd w:val="clear" w:color="auto" w:fill="D9D9D9" w:themeFill="background1" w:themeFillShade="D9"/>
            <w:vAlign w:val="center"/>
            <w:hideMark/>
          </w:tcPr>
          <w:p w14:paraId="41201855" w14:textId="3668C7BE" w:rsidR="00504D89" w:rsidRPr="00186A21" w:rsidRDefault="00504D89" w:rsidP="0067573D">
            <w:pPr>
              <w:jc w:val="center"/>
              <w:rPr>
                <w:b/>
                <w:sz w:val="18"/>
                <w:szCs w:val="18"/>
              </w:rPr>
            </w:pPr>
            <w:r w:rsidRPr="00186A21">
              <w:rPr>
                <w:b/>
                <w:sz w:val="18"/>
                <w:szCs w:val="18"/>
              </w:rPr>
              <w:t>IHS</w:t>
            </w:r>
            <w:r w:rsidRPr="00186A21">
              <w:rPr>
                <w:b/>
                <w:sz w:val="18"/>
                <w:szCs w:val="18"/>
              </w:rPr>
              <w:br/>
              <w:t>(2021)</w:t>
            </w:r>
            <w:r w:rsidR="0038552C">
              <w:rPr>
                <w:b/>
                <w:sz w:val="18"/>
                <w:szCs w:val="18"/>
              </w:rPr>
              <w:fldChar w:fldCharType="begin"/>
            </w:r>
            <w:r w:rsidR="00B14453">
              <w:rPr>
                <w:b/>
                <w:sz w:val="18"/>
                <w:szCs w:val="18"/>
              </w:rPr>
              <w:instrText xml:space="preserve"> ADDIN ZOTERO_ITEM CSL_CITATION {"citationID":"1QZX6v0K","properties":{"formattedCitation":"\\super 3\\nosupersub{}","plainCitation":"3","noteIndex":0},"citationItems":[{"id":209,"uris":["http://zotero.org/users/12468222/items/Y59ZJI6E"],"itemData":{"id":209,"type":"webpage","abstract":"Lloyd’s Register of Ships is a hard copy, five-volume collection containing data on all sea-going, self-propelled merchant ships of 100 GT and above, irrespective of their classification.","title":"Lloyd’s Register of Ships","URL":"https://www.spglobal.com/marketintelligence/en/mi/products/maritime-ships-register.html","author":[{"family":"IHS Markit","given":""}],"accessed":{"date-parts":[["2023",9,26]]},"issued":{"date-parts":[["2021"]]}}}],"schema":"https://github.com/citation-style-language/schema/raw/master/csl-citation.json"} </w:instrText>
            </w:r>
            <w:r w:rsidR="0038552C">
              <w:rPr>
                <w:b/>
                <w:sz w:val="18"/>
                <w:szCs w:val="18"/>
              </w:rPr>
              <w:fldChar w:fldCharType="separate"/>
            </w:r>
            <w:r w:rsidR="00B14453" w:rsidRPr="00B14453">
              <w:rPr>
                <w:rFonts w:cs="Times New Roman"/>
                <w:sz w:val="18"/>
                <w:szCs w:val="24"/>
                <w:vertAlign w:val="superscript"/>
              </w:rPr>
              <w:t>3</w:t>
            </w:r>
            <w:r w:rsidR="0038552C">
              <w:rPr>
                <w:b/>
                <w:sz w:val="18"/>
                <w:szCs w:val="18"/>
              </w:rPr>
              <w:fldChar w:fldCharType="end"/>
            </w:r>
          </w:p>
        </w:tc>
        <w:tc>
          <w:tcPr>
            <w:tcW w:w="1545" w:type="dxa"/>
            <w:tcBorders>
              <w:top w:val="single" w:sz="8" w:space="0" w:color="7F7F7F"/>
              <w:left w:val="nil"/>
              <w:bottom w:val="single" w:sz="18" w:space="0" w:color="000000" w:themeColor="text1"/>
              <w:right w:val="single" w:sz="8" w:space="0" w:color="7F7F7F"/>
            </w:tcBorders>
            <w:shd w:val="clear" w:color="auto" w:fill="D9D9D9" w:themeFill="background1" w:themeFillShade="D9"/>
            <w:vAlign w:val="center"/>
            <w:hideMark/>
          </w:tcPr>
          <w:p w14:paraId="075245E1" w14:textId="42B31A2A" w:rsidR="00504D89" w:rsidRPr="00186A21" w:rsidRDefault="00504D89" w:rsidP="0067573D">
            <w:pPr>
              <w:jc w:val="center"/>
              <w:rPr>
                <w:b/>
                <w:sz w:val="18"/>
                <w:szCs w:val="18"/>
              </w:rPr>
            </w:pPr>
            <w:r w:rsidRPr="00186A21">
              <w:rPr>
                <w:b/>
                <w:sz w:val="18"/>
                <w:szCs w:val="18"/>
              </w:rPr>
              <w:t>USACE</w:t>
            </w:r>
            <w:r w:rsidRPr="00186A21">
              <w:rPr>
                <w:b/>
                <w:sz w:val="18"/>
                <w:szCs w:val="18"/>
              </w:rPr>
              <w:br/>
              <w:t>(2021)</w:t>
            </w:r>
            <w:r w:rsidR="0038552C">
              <w:rPr>
                <w:b/>
                <w:sz w:val="18"/>
                <w:szCs w:val="18"/>
              </w:rPr>
              <w:fldChar w:fldCharType="begin"/>
            </w:r>
            <w:r w:rsidR="00B14453">
              <w:rPr>
                <w:b/>
                <w:sz w:val="18"/>
                <w:szCs w:val="18"/>
              </w:rPr>
              <w:instrText xml:space="preserve"> ADDIN ZOTERO_ITEM CSL_CITATION {"citationID":"WfdGBVuP","properties":{"formattedCitation":"\\super 2\\nosupersub{}","plainCitation":"2","noteIndex":0},"citationItems":[{"id":264,"uris":["http://zotero.org/users/12468222/items/AKMESK8N"],"itemData":{"id":264,"type":"webpage","container-title":"U.S. Army Corps of Engineers","title":"Vessel Company Summary and Vessel Characteristics in 2020","URL":"https://usace.contentdm.oclc.org/utils/getfile/collection/p16021coll2/id/7440","author":[{"literal":"U.S. Army Corps of Engineers"}],"issued":{"date-parts":[["2021"]]}}}],"schema":"https://github.com/citation-style-language/schema/raw/master/csl-citation.json"} </w:instrText>
            </w:r>
            <w:r w:rsidR="0038552C">
              <w:rPr>
                <w:b/>
                <w:sz w:val="18"/>
                <w:szCs w:val="18"/>
              </w:rPr>
              <w:fldChar w:fldCharType="separate"/>
            </w:r>
            <w:r w:rsidR="00B14453" w:rsidRPr="00B14453">
              <w:rPr>
                <w:rFonts w:cs="Times New Roman"/>
                <w:sz w:val="18"/>
                <w:szCs w:val="24"/>
                <w:vertAlign w:val="superscript"/>
              </w:rPr>
              <w:t>2</w:t>
            </w:r>
            <w:r w:rsidR="0038552C">
              <w:rPr>
                <w:b/>
                <w:sz w:val="18"/>
                <w:szCs w:val="18"/>
              </w:rPr>
              <w:fldChar w:fldCharType="end"/>
            </w:r>
          </w:p>
        </w:tc>
        <w:tc>
          <w:tcPr>
            <w:tcW w:w="1545" w:type="dxa"/>
            <w:gridSpan w:val="2"/>
            <w:tcBorders>
              <w:top w:val="single" w:sz="8" w:space="0" w:color="7F7F7F"/>
              <w:left w:val="nil"/>
              <w:bottom w:val="single" w:sz="18" w:space="0" w:color="000000" w:themeColor="text1"/>
              <w:right w:val="single" w:sz="8" w:space="0" w:color="7F7F7F"/>
            </w:tcBorders>
            <w:shd w:val="clear" w:color="auto" w:fill="D9D9D9" w:themeFill="background1" w:themeFillShade="D9"/>
            <w:vAlign w:val="center"/>
            <w:hideMark/>
          </w:tcPr>
          <w:p w14:paraId="7A4F89C6" w14:textId="2A0AC2DE" w:rsidR="00504D89" w:rsidRPr="00186A21" w:rsidRDefault="00504D89" w:rsidP="0067573D">
            <w:pPr>
              <w:jc w:val="center"/>
              <w:rPr>
                <w:b/>
                <w:sz w:val="18"/>
                <w:szCs w:val="18"/>
              </w:rPr>
            </w:pPr>
            <w:r w:rsidRPr="00186A21">
              <w:rPr>
                <w:b/>
                <w:sz w:val="18"/>
                <w:szCs w:val="18"/>
              </w:rPr>
              <w:t>AIS</w:t>
            </w:r>
            <w:r w:rsidRPr="00186A21">
              <w:rPr>
                <w:b/>
                <w:sz w:val="18"/>
                <w:szCs w:val="18"/>
              </w:rPr>
              <w:br/>
              <w:t>(BOEM and NOAA 2021)</w:t>
            </w:r>
            <w:r w:rsidR="0038552C">
              <w:rPr>
                <w:b/>
                <w:sz w:val="18"/>
                <w:szCs w:val="18"/>
              </w:rPr>
              <w:fldChar w:fldCharType="begin"/>
            </w:r>
            <w:r w:rsidR="0071180F">
              <w:rPr>
                <w:b/>
                <w:sz w:val="18"/>
                <w:szCs w:val="18"/>
              </w:rPr>
              <w:instrText xml:space="preserve"> ADDIN ZOTERO_ITEM CSL_CITATION {"citationID":"nni94Hyr","properties":{"formattedCitation":"\\super 4\\nosupersub{}","plainCitation":"4","noteIndex":0},"citationItems":[{"id":172,"uris":["http://zotero.org/users/12468222/items/7K974STI"],"itemData":{"id":172,"type":"webpage","title":"Vessel Traffic Data in 2021","URL":"https://marinecadastre.gov/ais/","author":[{"literal":"Bureau of Ocean Energy Management"},{"literal":"National Oceanic and Atmospheric Administration"}],"accessed":{"date-parts":[["2023",9,26]]},"issued":{"date-parts":[["2022"]]}}}],"schema":"https://github.com/citation-style-language/schema/raw/master/csl-citation.json"} </w:instrText>
            </w:r>
            <w:r w:rsidR="0038552C">
              <w:rPr>
                <w:b/>
                <w:sz w:val="18"/>
                <w:szCs w:val="18"/>
              </w:rPr>
              <w:fldChar w:fldCharType="separate"/>
            </w:r>
            <w:r w:rsidR="0071180F" w:rsidRPr="0071180F">
              <w:rPr>
                <w:rFonts w:cs="Times New Roman"/>
                <w:sz w:val="18"/>
                <w:szCs w:val="24"/>
                <w:vertAlign w:val="superscript"/>
              </w:rPr>
              <w:t>4</w:t>
            </w:r>
            <w:r w:rsidR="0038552C">
              <w:rPr>
                <w:b/>
                <w:sz w:val="18"/>
                <w:szCs w:val="18"/>
              </w:rPr>
              <w:fldChar w:fldCharType="end"/>
            </w:r>
          </w:p>
        </w:tc>
      </w:tr>
      <w:tr w:rsidR="00504D89" w:rsidRPr="00022BA7" w14:paraId="2EC5DCE8" w14:textId="77777777" w:rsidTr="0067573D">
        <w:trPr>
          <w:cantSplit/>
          <w:trHeight w:val="255"/>
        </w:trPr>
        <w:tc>
          <w:tcPr>
            <w:tcW w:w="2864" w:type="dxa"/>
            <w:gridSpan w:val="2"/>
            <w:tcBorders>
              <w:top w:val="single" w:sz="18" w:space="0" w:color="000000" w:themeColor="text1"/>
              <w:left w:val="single" w:sz="8" w:space="0" w:color="7F7F7F"/>
              <w:bottom w:val="single" w:sz="8" w:space="0" w:color="7F7F7F"/>
              <w:right w:val="single" w:sz="8" w:space="0" w:color="7F7F7F"/>
            </w:tcBorders>
            <w:shd w:val="clear" w:color="auto" w:fill="F2F2F2" w:themeFill="background1" w:themeFillShade="F2"/>
            <w:vAlign w:val="center"/>
            <w:hideMark/>
          </w:tcPr>
          <w:p w14:paraId="44C38D58" w14:textId="77777777" w:rsidR="00504D89" w:rsidRPr="00022BA7" w:rsidRDefault="00504D89" w:rsidP="0067573D">
            <w:pPr>
              <w:rPr>
                <w:sz w:val="18"/>
                <w:szCs w:val="18"/>
              </w:rPr>
            </w:pPr>
            <w:r w:rsidRPr="00022BA7">
              <w:rPr>
                <w:sz w:val="18"/>
                <w:szCs w:val="18"/>
              </w:rPr>
              <w:t>Number of Ships</w:t>
            </w:r>
          </w:p>
        </w:tc>
        <w:tc>
          <w:tcPr>
            <w:tcW w:w="1849" w:type="dxa"/>
            <w:tcBorders>
              <w:top w:val="single" w:sz="18" w:space="0" w:color="000000" w:themeColor="text1"/>
              <w:left w:val="nil"/>
              <w:bottom w:val="single" w:sz="8" w:space="0" w:color="7F7F7F"/>
              <w:right w:val="single" w:sz="8" w:space="0" w:color="7F7F7F"/>
            </w:tcBorders>
            <w:shd w:val="clear" w:color="auto" w:fill="auto"/>
            <w:vAlign w:val="center"/>
            <w:hideMark/>
          </w:tcPr>
          <w:p w14:paraId="1D123540" w14:textId="77777777" w:rsidR="00504D89" w:rsidRPr="00022BA7" w:rsidRDefault="00504D89" w:rsidP="0067573D">
            <w:pPr>
              <w:rPr>
                <w:sz w:val="18"/>
                <w:szCs w:val="18"/>
              </w:rPr>
            </w:pPr>
            <w:r w:rsidRPr="00022BA7">
              <w:rPr>
                <w:sz w:val="18"/>
                <w:szCs w:val="18"/>
              </w:rPr>
              <w:t>11,269</w:t>
            </w:r>
          </w:p>
        </w:tc>
        <w:tc>
          <w:tcPr>
            <w:tcW w:w="1545" w:type="dxa"/>
            <w:tcBorders>
              <w:top w:val="single" w:sz="18" w:space="0" w:color="000000" w:themeColor="text1"/>
              <w:left w:val="nil"/>
              <w:bottom w:val="single" w:sz="8" w:space="0" w:color="7F7F7F"/>
              <w:right w:val="single" w:sz="8" w:space="0" w:color="7F7F7F"/>
            </w:tcBorders>
            <w:shd w:val="clear" w:color="auto" w:fill="auto"/>
            <w:vAlign w:val="center"/>
            <w:hideMark/>
          </w:tcPr>
          <w:p w14:paraId="5E918847" w14:textId="77777777" w:rsidR="00504D89" w:rsidRPr="00022BA7" w:rsidRDefault="00504D89" w:rsidP="0067573D">
            <w:pPr>
              <w:rPr>
                <w:sz w:val="18"/>
                <w:szCs w:val="18"/>
              </w:rPr>
            </w:pPr>
            <w:r w:rsidRPr="00022BA7">
              <w:rPr>
                <w:sz w:val="18"/>
                <w:szCs w:val="18"/>
              </w:rPr>
              <w:t>2,055</w:t>
            </w:r>
          </w:p>
        </w:tc>
        <w:tc>
          <w:tcPr>
            <w:tcW w:w="1545" w:type="dxa"/>
            <w:tcBorders>
              <w:top w:val="single" w:sz="18" w:space="0" w:color="000000" w:themeColor="text1"/>
              <w:left w:val="nil"/>
              <w:bottom w:val="single" w:sz="8" w:space="0" w:color="7F7F7F"/>
              <w:right w:val="single" w:sz="8" w:space="0" w:color="7F7F7F"/>
            </w:tcBorders>
            <w:shd w:val="clear" w:color="auto" w:fill="auto"/>
            <w:vAlign w:val="center"/>
            <w:hideMark/>
          </w:tcPr>
          <w:p w14:paraId="1025F632" w14:textId="77777777" w:rsidR="00504D89" w:rsidRPr="00022BA7" w:rsidRDefault="00504D89" w:rsidP="0067573D">
            <w:pPr>
              <w:rPr>
                <w:sz w:val="18"/>
                <w:szCs w:val="18"/>
              </w:rPr>
            </w:pPr>
            <w:r w:rsidRPr="00022BA7">
              <w:rPr>
                <w:sz w:val="18"/>
                <w:szCs w:val="18"/>
              </w:rPr>
              <w:t>10,273</w:t>
            </w:r>
          </w:p>
        </w:tc>
        <w:tc>
          <w:tcPr>
            <w:tcW w:w="1545" w:type="dxa"/>
            <w:gridSpan w:val="2"/>
            <w:tcBorders>
              <w:top w:val="single" w:sz="18" w:space="0" w:color="000000" w:themeColor="text1"/>
              <w:left w:val="nil"/>
              <w:bottom w:val="single" w:sz="8" w:space="0" w:color="7F7F7F"/>
              <w:right w:val="single" w:sz="8" w:space="0" w:color="7F7F7F"/>
            </w:tcBorders>
            <w:shd w:val="clear" w:color="auto" w:fill="auto"/>
            <w:vAlign w:val="center"/>
            <w:hideMark/>
          </w:tcPr>
          <w:p w14:paraId="1B628CF2" w14:textId="77777777" w:rsidR="00504D89" w:rsidRPr="00022BA7" w:rsidRDefault="00504D89" w:rsidP="0067573D">
            <w:pPr>
              <w:rPr>
                <w:sz w:val="18"/>
                <w:szCs w:val="18"/>
              </w:rPr>
            </w:pPr>
            <w:r w:rsidRPr="00022BA7">
              <w:rPr>
                <w:sz w:val="18"/>
                <w:szCs w:val="18"/>
              </w:rPr>
              <w:t>82,030</w:t>
            </w:r>
          </w:p>
        </w:tc>
      </w:tr>
      <w:tr w:rsidR="00504D89" w:rsidRPr="00022BA7" w14:paraId="32797A1F" w14:textId="77777777" w:rsidTr="0067573D">
        <w:trPr>
          <w:gridAfter w:val="1"/>
          <w:wAfter w:w="7" w:type="dxa"/>
          <w:cantSplit/>
          <w:trHeight w:val="44"/>
        </w:trPr>
        <w:tc>
          <w:tcPr>
            <w:tcW w:w="1353" w:type="dxa"/>
            <w:vMerge w:val="restart"/>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77B88493" w14:textId="77777777" w:rsidR="00504D89" w:rsidRPr="00022BA7" w:rsidRDefault="00504D89" w:rsidP="0067573D">
            <w:pPr>
              <w:rPr>
                <w:sz w:val="18"/>
                <w:szCs w:val="18"/>
              </w:rPr>
            </w:pPr>
            <w:r w:rsidRPr="00022BA7">
              <w:rPr>
                <w:sz w:val="18"/>
                <w:szCs w:val="18"/>
              </w:rPr>
              <w:t>Identification</w:t>
            </w: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7CC2E280" w14:textId="77777777" w:rsidR="00504D89" w:rsidRPr="00022BA7" w:rsidRDefault="00504D89" w:rsidP="0067573D">
            <w:pPr>
              <w:rPr>
                <w:sz w:val="18"/>
                <w:szCs w:val="18"/>
              </w:rPr>
            </w:pPr>
            <w:r w:rsidRPr="00022BA7">
              <w:rPr>
                <w:sz w:val="18"/>
                <w:szCs w:val="18"/>
              </w:rPr>
              <w:t>Ship Name</w:t>
            </w:r>
          </w:p>
        </w:tc>
        <w:tc>
          <w:tcPr>
            <w:tcW w:w="1849" w:type="dxa"/>
            <w:tcBorders>
              <w:top w:val="nil"/>
              <w:left w:val="nil"/>
              <w:bottom w:val="single" w:sz="8" w:space="0" w:color="7F7F7F"/>
              <w:right w:val="single" w:sz="8" w:space="0" w:color="7F7F7F"/>
            </w:tcBorders>
            <w:shd w:val="clear" w:color="auto" w:fill="auto"/>
            <w:vAlign w:val="center"/>
            <w:hideMark/>
          </w:tcPr>
          <w:p w14:paraId="5B78464E"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302DF747"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6E742992"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796BAA84" w14:textId="77777777" w:rsidR="00504D89" w:rsidRPr="00022BA7" w:rsidRDefault="00504D89" w:rsidP="0067573D">
            <w:pPr>
              <w:rPr>
                <w:sz w:val="18"/>
                <w:szCs w:val="18"/>
              </w:rPr>
            </w:pPr>
            <w:r w:rsidRPr="00022BA7">
              <w:rPr>
                <w:sz w:val="18"/>
                <w:szCs w:val="18"/>
              </w:rPr>
              <w:t>All</w:t>
            </w:r>
          </w:p>
        </w:tc>
      </w:tr>
      <w:tr w:rsidR="00504D89" w:rsidRPr="00022BA7" w14:paraId="37850D4C"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794ECDF3"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5F3FE98C" w14:textId="77777777" w:rsidR="00504D89" w:rsidRPr="00022BA7" w:rsidRDefault="00504D89" w:rsidP="0067573D">
            <w:pPr>
              <w:rPr>
                <w:sz w:val="18"/>
                <w:szCs w:val="18"/>
              </w:rPr>
            </w:pPr>
            <w:r w:rsidRPr="00022BA7">
              <w:rPr>
                <w:sz w:val="18"/>
                <w:szCs w:val="18"/>
              </w:rPr>
              <w:t>Call Sign</w:t>
            </w:r>
          </w:p>
        </w:tc>
        <w:tc>
          <w:tcPr>
            <w:tcW w:w="1849" w:type="dxa"/>
            <w:tcBorders>
              <w:top w:val="nil"/>
              <w:left w:val="nil"/>
              <w:bottom w:val="single" w:sz="8" w:space="0" w:color="7F7F7F"/>
              <w:right w:val="single" w:sz="8" w:space="0" w:color="7F7F7F"/>
            </w:tcBorders>
            <w:shd w:val="clear" w:color="auto" w:fill="auto"/>
            <w:vAlign w:val="center"/>
            <w:hideMark/>
          </w:tcPr>
          <w:p w14:paraId="31EF8CE2"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vAlign w:val="center"/>
            <w:hideMark/>
          </w:tcPr>
          <w:p w14:paraId="4DFC7897"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vAlign w:val="center"/>
            <w:hideMark/>
          </w:tcPr>
          <w:p w14:paraId="69AB256D"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65C7A801" w14:textId="77777777" w:rsidR="00504D89" w:rsidRPr="00022BA7" w:rsidRDefault="00504D89" w:rsidP="0067573D">
            <w:pPr>
              <w:rPr>
                <w:sz w:val="18"/>
                <w:szCs w:val="18"/>
              </w:rPr>
            </w:pPr>
            <w:r w:rsidRPr="00022BA7">
              <w:rPr>
                <w:sz w:val="18"/>
                <w:szCs w:val="18"/>
              </w:rPr>
              <w:t xml:space="preserve">Few </w:t>
            </w:r>
          </w:p>
        </w:tc>
      </w:tr>
      <w:tr w:rsidR="00504D89" w:rsidRPr="00022BA7" w14:paraId="41D23E7C"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065BFBC6"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11D68245" w14:textId="77777777" w:rsidR="00504D89" w:rsidRPr="00022BA7" w:rsidRDefault="00504D89" w:rsidP="0067573D">
            <w:pPr>
              <w:rPr>
                <w:sz w:val="18"/>
                <w:szCs w:val="18"/>
              </w:rPr>
            </w:pPr>
            <w:r w:rsidRPr="00022BA7">
              <w:rPr>
                <w:sz w:val="18"/>
                <w:szCs w:val="18"/>
              </w:rPr>
              <w:t>IMO Number</w:t>
            </w:r>
          </w:p>
        </w:tc>
        <w:tc>
          <w:tcPr>
            <w:tcW w:w="1849" w:type="dxa"/>
            <w:tcBorders>
              <w:top w:val="nil"/>
              <w:left w:val="nil"/>
              <w:bottom w:val="single" w:sz="8" w:space="0" w:color="7F7F7F"/>
              <w:right w:val="single" w:sz="8" w:space="0" w:color="7F7F7F"/>
            </w:tcBorders>
            <w:shd w:val="clear" w:color="auto" w:fill="auto"/>
            <w:vAlign w:val="center"/>
            <w:hideMark/>
          </w:tcPr>
          <w:p w14:paraId="6D505267" w14:textId="77777777" w:rsidR="00504D89" w:rsidRPr="00022BA7" w:rsidRDefault="00504D89" w:rsidP="0067573D">
            <w:pPr>
              <w:rPr>
                <w:sz w:val="18"/>
                <w:szCs w:val="18"/>
              </w:rPr>
            </w:pPr>
            <w:r w:rsidRPr="00022BA7">
              <w:rPr>
                <w:sz w:val="18"/>
                <w:szCs w:val="18"/>
              </w:rPr>
              <w:t>Some</w:t>
            </w:r>
          </w:p>
        </w:tc>
        <w:tc>
          <w:tcPr>
            <w:tcW w:w="1545" w:type="dxa"/>
            <w:tcBorders>
              <w:top w:val="nil"/>
              <w:left w:val="nil"/>
              <w:bottom w:val="single" w:sz="8" w:space="0" w:color="7F7F7F"/>
              <w:right w:val="single" w:sz="8" w:space="0" w:color="7F7F7F"/>
            </w:tcBorders>
            <w:shd w:val="clear" w:color="auto" w:fill="auto"/>
            <w:vAlign w:val="center"/>
            <w:hideMark/>
          </w:tcPr>
          <w:p w14:paraId="3D76223E"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780C82DB"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1304FFB3" w14:textId="77777777" w:rsidR="00504D89" w:rsidRPr="00022BA7" w:rsidRDefault="00504D89" w:rsidP="0067573D">
            <w:pPr>
              <w:rPr>
                <w:sz w:val="18"/>
                <w:szCs w:val="18"/>
              </w:rPr>
            </w:pPr>
            <w:r w:rsidRPr="00022BA7">
              <w:rPr>
                <w:sz w:val="18"/>
                <w:szCs w:val="18"/>
              </w:rPr>
              <w:t>Some</w:t>
            </w:r>
          </w:p>
        </w:tc>
      </w:tr>
      <w:tr w:rsidR="00504D89" w:rsidRPr="00022BA7" w14:paraId="1DA18676"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39B3E753"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45BE318B" w14:textId="77777777" w:rsidR="00504D89" w:rsidRPr="00022BA7" w:rsidRDefault="00504D89" w:rsidP="0067573D">
            <w:pPr>
              <w:rPr>
                <w:sz w:val="18"/>
                <w:szCs w:val="18"/>
              </w:rPr>
            </w:pPr>
            <w:r w:rsidRPr="00022BA7">
              <w:rPr>
                <w:sz w:val="18"/>
                <w:szCs w:val="18"/>
              </w:rPr>
              <w:t>MMSI Number</w:t>
            </w:r>
          </w:p>
        </w:tc>
        <w:tc>
          <w:tcPr>
            <w:tcW w:w="1849" w:type="dxa"/>
            <w:tcBorders>
              <w:top w:val="nil"/>
              <w:left w:val="nil"/>
              <w:bottom w:val="single" w:sz="8" w:space="0" w:color="7F7F7F"/>
              <w:right w:val="single" w:sz="8" w:space="0" w:color="7F7F7F"/>
            </w:tcBorders>
            <w:shd w:val="clear" w:color="auto" w:fill="auto"/>
            <w:vAlign w:val="center"/>
            <w:hideMark/>
          </w:tcPr>
          <w:p w14:paraId="2C7F8BE5"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3426A756"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vAlign w:val="center"/>
            <w:hideMark/>
          </w:tcPr>
          <w:p w14:paraId="49EE4B3C"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55C91117" w14:textId="77777777" w:rsidR="00504D89" w:rsidRPr="00022BA7" w:rsidRDefault="00504D89" w:rsidP="0067573D">
            <w:pPr>
              <w:rPr>
                <w:sz w:val="18"/>
                <w:szCs w:val="18"/>
              </w:rPr>
            </w:pPr>
            <w:r w:rsidRPr="00022BA7">
              <w:rPr>
                <w:sz w:val="18"/>
                <w:szCs w:val="18"/>
              </w:rPr>
              <w:t>All</w:t>
            </w:r>
          </w:p>
        </w:tc>
      </w:tr>
      <w:tr w:rsidR="00504D89" w:rsidRPr="00022BA7" w14:paraId="20B86C1A"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58B00DF2"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7513D5C7" w14:textId="77777777" w:rsidR="00504D89" w:rsidRPr="00022BA7" w:rsidRDefault="00504D89" w:rsidP="0067573D">
            <w:pPr>
              <w:rPr>
                <w:sz w:val="18"/>
                <w:szCs w:val="18"/>
              </w:rPr>
            </w:pPr>
            <w:r w:rsidRPr="00022BA7">
              <w:rPr>
                <w:sz w:val="18"/>
                <w:szCs w:val="18"/>
              </w:rPr>
              <w:t>CG Number</w:t>
            </w:r>
          </w:p>
        </w:tc>
        <w:tc>
          <w:tcPr>
            <w:tcW w:w="1849" w:type="dxa"/>
            <w:tcBorders>
              <w:top w:val="nil"/>
              <w:left w:val="nil"/>
              <w:bottom w:val="single" w:sz="8" w:space="0" w:color="7F7F7F"/>
              <w:right w:val="single" w:sz="8" w:space="0" w:color="7F7F7F"/>
            </w:tcBorders>
            <w:shd w:val="clear" w:color="auto" w:fill="auto"/>
            <w:vAlign w:val="center"/>
            <w:hideMark/>
          </w:tcPr>
          <w:p w14:paraId="14FD1D78"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4D6046E8"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018D029C"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vAlign w:val="center"/>
            <w:hideMark/>
          </w:tcPr>
          <w:p w14:paraId="19A9C35C" w14:textId="77777777" w:rsidR="00504D89" w:rsidRPr="00022BA7" w:rsidRDefault="00504D89" w:rsidP="0067573D">
            <w:pPr>
              <w:rPr>
                <w:sz w:val="18"/>
                <w:szCs w:val="18"/>
              </w:rPr>
            </w:pPr>
            <w:r w:rsidRPr="00022BA7">
              <w:rPr>
                <w:sz w:val="18"/>
                <w:szCs w:val="18"/>
              </w:rPr>
              <w:t>-</w:t>
            </w:r>
          </w:p>
        </w:tc>
      </w:tr>
      <w:tr w:rsidR="00504D89" w:rsidRPr="00022BA7" w14:paraId="325B0376" w14:textId="77777777" w:rsidTr="0067573D">
        <w:trPr>
          <w:gridAfter w:val="1"/>
          <w:wAfter w:w="7" w:type="dxa"/>
          <w:cantSplit/>
          <w:trHeight w:val="501"/>
        </w:trPr>
        <w:tc>
          <w:tcPr>
            <w:tcW w:w="1353" w:type="dxa"/>
            <w:vMerge w:val="restart"/>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5E17F1F4" w14:textId="77777777" w:rsidR="00504D89" w:rsidRPr="00022BA7" w:rsidRDefault="00504D89" w:rsidP="0067573D">
            <w:pPr>
              <w:rPr>
                <w:sz w:val="18"/>
                <w:szCs w:val="18"/>
              </w:rPr>
            </w:pPr>
            <w:r w:rsidRPr="00022BA7">
              <w:rPr>
                <w:sz w:val="18"/>
                <w:szCs w:val="18"/>
              </w:rPr>
              <w:t>Registry</w:t>
            </w:r>
          </w:p>
        </w:tc>
        <w:tc>
          <w:tcPr>
            <w:tcW w:w="1511" w:type="dxa"/>
            <w:tcBorders>
              <w:top w:val="nil"/>
              <w:left w:val="nil"/>
              <w:bottom w:val="nil"/>
              <w:right w:val="single" w:sz="8" w:space="0" w:color="7F7F7F"/>
            </w:tcBorders>
            <w:shd w:val="clear" w:color="auto" w:fill="F2F2F2" w:themeFill="background1" w:themeFillShade="F2"/>
            <w:vAlign w:val="center"/>
            <w:hideMark/>
          </w:tcPr>
          <w:p w14:paraId="57AA114B" w14:textId="77777777" w:rsidR="00504D89" w:rsidRPr="00022BA7" w:rsidRDefault="00504D89" w:rsidP="0067573D">
            <w:pPr>
              <w:rPr>
                <w:sz w:val="18"/>
                <w:szCs w:val="18"/>
              </w:rPr>
            </w:pPr>
            <w:r w:rsidRPr="00022BA7">
              <w:rPr>
                <w:sz w:val="18"/>
                <w:szCs w:val="18"/>
              </w:rPr>
              <w:t>Flag</w:t>
            </w:r>
          </w:p>
        </w:tc>
        <w:tc>
          <w:tcPr>
            <w:tcW w:w="1849" w:type="dxa"/>
            <w:tcBorders>
              <w:top w:val="nil"/>
              <w:left w:val="nil"/>
              <w:bottom w:val="nil"/>
              <w:right w:val="single" w:sz="8" w:space="0" w:color="7F7F7F"/>
            </w:tcBorders>
            <w:shd w:val="clear" w:color="auto" w:fill="auto"/>
            <w:vAlign w:val="center"/>
            <w:hideMark/>
          </w:tcPr>
          <w:p w14:paraId="32663EC4" w14:textId="77777777" w:rsidR="00504D89" w:rsidRPr="00022BA7" w:rsidRDefault="00504D89" w:rsidP="0067573D">
            <w:pPr>
              <w:rPr>
                <w:sz w:val="18"/>
                <w:szCs w:val="18"/>
              </w:rPr>
            </w:pPr>
            <w:r w:rsidRPr="00022BA7">
              <w:rPr>
                <w:sz w:val="18"/>
                <w:szCs w:val="18"/>
              </w:rPr>
              <w:t>US flagged</w:t>
            </w:r>
          </w:p>
        </w:tc>
        <w:tc>
          <w:tcPr>
            <w:tcW w:w="1545" w:type="dxa"/>
            <w:tcBorders>
              <w:top w:val="nil"/>
              <w:left w:val="nil"/>
              <w:bottom w:val="nil"/>
              <w:right w:val="single" w:sz="8" w:space="0" w:color="7F7F7F"/>
            </w:tcBorders>
            <w:shd w:val="clear" w:color="auto" w:fill="auto"/>
            <w:vAlign w:val="center"/>
            <w:hideMark/>
          </w:tcPr>
          <w:p w14:paraId="1782BAD9" w14:textId="77777777" w:rsidR="00504D89" w:rsidRPr="00022BA7" w:rsidRDefault="00504D89" w:rsidP="0067573D">
            <w:pPr>
              <w:rPr>
                <w:sz w:val="18"/>
                <w:szCs w:val="18"/>
              </w:rPr>
            </w:pPr>
            <w:r w:rsidRPr="00022BA7">
              <w:rPr>
                <w:sz w:val="18"/>
                <w:szCs w:val="18"/>
              </w:rPr>
              <w:t xml:space="preserve">US flagged </w:t>
            </w:r>
          </w:p>
        </w:tc>
        <w:tc>
          <w:tcPr>
            <w:tcW w:w="1545" w:type="dxa"/>
            <w:tcBorders>
              <w:top w:val="nil"/>
              <w:left w:val="nil"/>
              <w:bottom w:val="nil"/>
              <w:right w:val="single" w:sz="8" w:space="0" w:color="7F7F7F"/>
            </w:tcBorders>
            <w:shd w:val="clear" w:color="auto" w:fill="auto"/>
            <w:vAlign w:val="center"/>
            <w:hideMark/>
          </w:tcPr>
          <w:p w14:paraId="0D46E1EA" w14:textId="77777777" w:rsidR="00504D89" w:rsidRPr="00022BA7" w:rsidRDefault="00504D89" w:rsidP="0067573D">
            <w:pPr>
              <w:rPr>
                <w:sz w:val="18"/>
                <w:szCs w:val="18"/>
              </w:rPr>
            </w:pPr>
            <w:r w:rsidRPr="00022BA7">
              <w:rPr>
                <w:sz w:val="18"/>
                <w:szCs w:val="18"/>
              </w:rPr>
              <w:t>US flagged</w:t>
            </w:r>
          </w:p>
        </w:tc>
        <w:tc>
          <w:tcPr>
            <w:tcW w:w="1545" w:type="dxa"/>
            <w:tcBorders>
              <w:top w:val="nil"/>
              <w:left w:val="nil"/>
              <w:bottom w:val="nil"/>
              <w:right w:val="single" w:sz="8" w:space="0" w:color="7F7F7F"/>
            </w:tcBorders>
            <w:shd w:val="clear" w:color="auto" w:fill="auto"/>
            <w:vAlign w:val="center"/>
            <w:hideMark/>
          </w:tcPr>
          <w:p w14:paraId="735581A1" w14:textId="77777777" w:rsidR="00504D89" w:rsidRPr="00022BA7" w:rsidRDefault="00504D89" w:rsidP="0067573D">
            <w:pPr>
              <w:rPr>
                <w:sz w:val="18"/>
                <w:szCs w:val="18"/>
              </w:rPr>
            </w:pPr>
            <w:r w:rsidRPr="00022BA7">
              <w:rPr>
                <w:sz w:val="18"/>
                <w:szCs w:val="18"/>
              </w:rPr>
              <w:t>-</w:t>
            </w:r>
          </w:p>
        </w:tc>
      </w:tr>
      <w:tr w:rsidR="00504D89" w:rsidRPr="00022BA7" w14:paraId="5833EF48" w14:textId="77777777" w:rsidTr="0067573D">
        <w:trPr>
          <w:gridAfter w:val="1"/>
          <w:wAfter w:w="7" w:type="dxa"/>
          <w:cantSplit/>
          <w:trHeight w:val="992"/>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68A09703" w14:textId="77777777" w:rsidR="00504D89" w:rsidRPr="00022BA7" w:rsidRDefault="00504D89" w:rsidP="0067573D">
            <w:pPr>
              <w:rPr>
                <w:sz w:val="18"/>
                <w:szCs w:val="18"/>
              </w:rPr>
            </w:pPr>
          </w:p>
        </w:tc>
        <w:tc>
          <w:tcPr>
            <w:tcW w:w="1511" w:type="dxa"/>
            <w:tcBorders>
              <w:top w:val="single" w:sz="8" w:space="0" w:color="7F7F7F"/>
              <w:left w:val="nil"/>
              <w:bottom w:val="nil"/>
              <w:right w:val="single" w:sz="8" w:space="0" w:color="7F7F7F"/>
            </w:tcBorders>
            <w:shd w:val="clear" w:color="auto" w:fill="F2F2F2" w:themeFill="background1" w:themeFillShade="F2"/>
            <w:vAlign w:val="center"/>
            <w:hideMark/>
          </w:tcPr>
          <w:p w14:paraId="73CE436D" w14:textId="77777777" w:rsidR="00504D89" w:rsidRPr="00022BA7" w:rsidRDefault="00504D89" w:rsidP="0067573D">
            <w:pPr>
              <w:rPr>
                <w:sz w:val="18"/>
                <w:szCs w:val="18"/>
              </w:rPr>
            </w:pPr>
            <w:r w:rsidRPr="00022BA7">
              <w:rPr>
                <w:sz w:val="18"/>
                <w:szCs w:val="18"/>
              </w:rPr>
              <w:t>Type</w:t>
            </w:r>
          </w:p>
        </w:tc>
        <w:tc>
          <w:tcPr>
            <w:tcW w:w="1849" w:type="dxa"/>
            <w:tcBorders>
              <w:top w:val="single" w:sz="8" w:space="0" w:color="7F7F7F"/>
              <w:left w:val="nil"/>
              <w:bottom w:val="nil"/>
              <w:right w:val="single" w:sz="8" w:space="0" w:color="7F7F7F"/>
            </w:tcBorders>
            <w:shd w:val="clear" w:color="auto" w:fill="auto"/>
            <w:vAlign w:val="center"/>
            <w:hideMark/>
          </w:tcPr>
          <w:p w14:paraId="4AFD97AB" w14:textId="77777777" w:rsidR="00504D89" w:rsidRPr="00022BA7" w:rsidRDefault="00504D89" w:rsidP="0067573D">
            <w:pPr>
              <w:rPr>
                <w:sz w:val="18"/>
                <w:szCs w:val="18"/>
              </w:rPr>
            </w:pPr>
            <w:r w:rsidRPr="00022BA7">
              <w:rPr>
                <w:sz w:val="18"/>
                <w:szCs w:val="18"/>
              </w:rPr>
              <w:t>All</w:t>
            </w:r>
          </w:p>
        </w:tc>
        <w:tc>
          <w:tcPr>
            <w:tcW w:w="1545" w:type="dxa"/>
            <w:tcBorders>
              <w:top w:val="single" w:sz="8" w:space="0" w:color="7F7F7F"/>
              <w:left w:val="nil"/>
              <w:bottom w:val="nil"/>
              <w:right w:val="single" w:sz="8" w:space="0" w:color="7F7F7F"/>
            </w:tcBorders>
            <w:shd w:val="clear" w:color="auto" w:fill="auto"/>
            <w:vAlign w:val="center"/>
            <w:hideMark/>
          </w:tcPr>
          <w:p w14:paraId="7DB06AB0" w14:textId="77777777" w:rsidR="00504D89" w:rsidRPr="00022BA7" w:rsidRDefault="00504D89" w:rsidP="0067573D">
            <w:pPr>
              <w:rPr>
                <w:sz w:val="18"/>
                <w:szCs w:val="18"/>
              </w:rPr>
            </w:pPr>
            <w:r w:rsidRPr="00022BA7">
              <w:rPr>
                <w:sz w:val="18"/>
                <w:szCs w:val="18"/>
              </w:rPr>
              <w:t>All</w:t>
            </w:r>
          </w:p>
        </w:tc>
        <w:tc>
          <w:tcPr>
            <w:tcW w:w="1545" w:type="dxa"/>
            <w:tcBorders>
              <w:top w:val="single" w:sz="8" w:space="0" w:color="7F7F7F"/>
              <w:left w:val="nil"/>
              <w:bottom w:val="nil"/>
              <w:right w:val="single" w:sz="8" w:space="0" w:color="7F7F7F"/>
            </w:tcBorders>
            <w:shd w:val="clear" w:color="auto" w:fill="auto"/>
            <w:vAlign w:val="center"/>
            <w:hideMark/>
          </w:tcPr>
          <w:p w14:paraId="73F9CD88" w14:textId="77777777" w:rsidR="00504D89" w:rsidRPr="00022BA7" w:rsidRDefault="00504D89" w:rsidP="0067573D">
            <w:pPr>
              <w:rPr>
                <w:sz w:val="18"/>
                <w:szCs w:val="18"/>
              </w:rPr>
            </w:pPr>
            <w:r w:rsidRPr="00022BA7">
              <w:rPr>
                <w:sz w:val="18"/>
                <w:szCs w:val="18"/>
              </w:rPr>
              <w:t>All but categorized by only two types (Self</w:t>
            </w:r>
            <w:r>
              <w:rPr>
                <w:sz w:val="18"/>
                <w:szCs w:val="18"/>
              </w:rPr>
              <w:t>-</w:t>
            </w:r>
            <w:r w:rsidRPr="00022BA7">
              <w:rPr>
                <w:sz w:val="18"/>
                <w:szCs w:val="18"/>
              </w:rPr>
              <w:t>propelled &amp; tugs)</w:t>
            </w:r>
          </w:p>
        </w:tc>
        <w:tc>
          <w:tcPr>
            <w:tcW w:w="1545" w:type="dxa"/>
            <w:tcBorders>
              <w:top w:val="single" w:sz="8" w:space="0" w:color="7F7F7F"/>
              <w:left w:val="nil"/>
              <w:bottom w:val="nil"/>
              <w:right w:val="single" w:sz="8" w:space="0" w:color="7F7F7F"/>
            </w:tcBorders>
            <w:shd w:val="clear" w:color="auto" w:fill="auto"/>
            <w:vAlign w:val="center"/>
            <w:hideMark/>
          </w:tcPr>
          <w:p w14:paraId="514ED450" w14:textId="77777777" w:rsidR="00504D89" w:rsidRPr="00022BA7" w:rsidRDefault="00504D89" w:rsidP="0067573D">
            <w:pPr>
              <w:rPr>
                <w:sz w:val="18"/>
                <w:szCs w:val="18"/>
              </w:rPr>
            </w:pPr>
            <w:r w:rsidRPr="00022BA7">
              <w:rPr>
                <w:sz w:val="18"/>
                <w:szCs w:val="18"/>
              </w:rPr>
              <w:t>31, 32 (Tows), 52 (Tug), 60s (Passengers), 70s (General Cargos), 80s (Tankers)</w:t>
            </w:r>
          </w:p>
        </w:tc>
      </w:tr>
      <w:tr w:rsidR="00504D89" w:rsidRPr="00022BA7" w14:paraId="49E63D71"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5B6F7E69" w14:textId="77777777" w:rsidR="00504D89" w:rsidRPr="00022BA7" w:rsidRDefault="00504D89" w:rsidP="0067573D">
            <w:pPr>
              <w:rPr>
                <w:sz w:val="18"/>
                <w:szCs w:val="18"/>
              </w:rPr>
            </w:pPr>
          </w:p>
        </w:tc>
        <w:tc>
          <w:tcPr>
            <w:tcW w:w="1511" w:type="dxa"/>
            <w:tcBorders>
              <w:top w:val="single" w:sz="8" w:space="0" w:color="7F7F7F"/>
              <w:left w:val="nil"/>
              <w:bottom w:val="single" w:sz="8" w:space="0" w:color="7F7F7F"/>
              <w:right w:val="single" w:sz="8" w:space="0" w:color="7F7F7F"/>
            </w:tcBorders>
            <w:shd w:val="clear" w:color="auto" w:fill="F2F2F2" w:themeFill="background1" w:themeFillShade="F2"/>
            <w:vAlign w:val="center"/>
            <w:hideMark/>
          </w:tcPr>
          <w:p w14:paraId="5F517981" w14:textId="77777777" w:rsidR="00504D89" w:rsidRPr="00022BA7" w:rsidRDefault="00504D89" w:rsidP="0067573D">
            <w:pPr>
              <w:rPr>
                <w:sz w:val="18"/>
                <w:szCs w:val="18"/>
              </w:rPr>
            </w:pPr>
            <w:r w:rsidRPr="00022BA7">
              <w:rPr>
                <w:sz w:val="18"/>
                <w:szCs w:val="18"/>
              </w:rPr>
              <w:t>Build of Year</w:t>
            </w:r>
          </w:p>
        </w:tc>
        <w:tc>
          <w:tcPr>
            <w:tcW w:w="1849" w:type="dxa"/>
            <w:tcBorders>
              <w:top w:val="single" w:sz="8" w:space="0" w:color="7F7F7F"/>
              <w:left w:val="nil"/>
              <w:bottom w:val="single" w:sz="8" w:space="0" w:color="7F7F7F"/>
              <w:right w:val="single" w:sz="8" w:space="0" w:color="7F7F7F"/>
            </w:tcBorders>
            <w:shd w:val="clear" w:color="auto" w:fill="auto"/>
            <w:vAlign w:val="center"/>
            <w:hideMark/>
          </w:tcPr>
          <w:p w14:paraId="53AF3143" w14:textId="77777777" w:rsidR="00504D89" w:rsidRPr="00022BA7" w:rsidRDefault="00504D89" w:rsidP="0067573D">
            <w:pPr>
              <w:rPr>
                <w:sz w:val="18"/>
                <w:szCs w:val="18"/>
              </w:rPr>
            </w:pPr>
            <w:r w:rsidRPr="00022BA7">
              <w:rPr>
                <w:sz w:val="18"/>
                <w:szCs w:val="18"/>
              </w:rPr>
              <w:t>Most</w:t>
            </w:r>
          </w:p>
        </w:tc>
        <w:tc>
          <w:tcPr>
            <w:tcW w:w="1545" w:type="dxa"/>
            <w:tcBorders>
              <w:top w:val="single" w:sz="8" w:space="0" w:color="7F7F7F"/>
              <w:left w:val="nil"/>
              <w:bottom w:val="single" w:sz="8" w:space="0" w:color="7F7F7F"/>
              <w:right w:val="single" w:sz="8" w:space="0" w:color="7F7F7F"/>
            </w:tcBorders>
            <w:shd w:val="clear" w:color="auto" w:fill="auto"/>
            <w:vAlign w:val="center"/>
            <w:hideMark/>
          </w:tcPr>
          <w:p w14:paraId="0301CAA9" w14:textId="77777777" w:rsidR="00504D89" w:rsidRPr="00022BA7" w:rsidRDefault="00504D89" w:rsidP="0067573D">
            <w:pPr>
              <w:rPr>
                <w:sz w:val="18"/>
                <w:szCs w:val="18"/>
              </w:rPr>
            </w:pPr>
            <w:r w:rsidRPr="00022BA7">
              <w:rPr>
                <w:sz w:val="18"/>
                <w:szCs w:val="18"/>
              </w:rPr>
              <w:t xml:space="preserve">Most </w:t>
            </w:r>
          </w:p>
        </w:tc>
        <w:tc>
          <w:tcPr>
            <w:tcW w:w="1545" w:type="dxa"/>
            <w:tcBorders>
              <w:top w:val="single" w:sz="8" w:space="0" w:color="7F7F7F"/>
              <w:left w:val="nil"/>
              <w:bottom w:val="single" w:sz="8" w:space="0" w:color="7F7F7F"/>
              <w:right w:val="single" w:sz="8" w:space="0" w:color="7F7F7F"/>
            </w:tcBorders>
            <w:shd w:val="clear" w:color="auto" w:fill="auto"/>
            <w:vAlign w:val="center"/>
            <w:hideMark/>
          </w:tcPr>
          <w:p w14:paraId="76C85769" w14:textId="77777777" w:rsidR="00504D89" w:rsidRPr="00022BA7" w:rsidRDefault="00504D89" w:rsidP="0067573D">
            <w:pPr>
              <w:rPr>
                <w:sz w:val="18"/>
                <w:szCs w:val="18"/>
              </w:rPr>
            </w:pPr>
            <w:r w:rsidRPr="00022BA7">
              <w:rPr>
                <w:sz w:val="18"/>
                <w:szCs w:val="18"/>
              </w:rPr>
              <w:t>Most</w:t>
            </w:r>
          </w:p>
        </w:tc>
        <w:tc>
          <w:tcPr>
            <w:tcW w:w="1545" w:type="dxa"/>
            <w:tcBorders>
              <w:top w:val="single" w:sz="8" w:space="0" w:color="7F7F7F"/>
              <w:left w:val="nil"/>
              <w:bottom w:val="single" w:sz="8" w:space="0" w:color="7F7F7F"/>
              <w:right w:val="single" w:sz="8" w:space="0" w:color="7F7F7F"/>
            </w:tcBorders>
            <w:shd w:val="clear" w:color="auto" w:fill="auto"/>
            <w:hideMark/>
          </w:tcPr>
          <w:p w14:paraId="7ECE42D1" w14:textId="77777777" w:rsidR="00504D89" w:rsidRPr="00022BA7" w:rsidRDefault="00504D89" w:rsidP="0067573D">
            <w:pPr>
              <w:rPr>
                <w:sz w:val="18"/>
                <w:szCs w:val="18"/>
              </w:rPr>
            </w:pPr>
            <w:r w:rsidRPr="00022BA7">
              <w:rPr>
                <w:sz w:val="18"/>
                <w:szCs w:val="18"/>
              </w:rPr>
              <w:t>-</w:t>
            </w:r>
          </w:p>
        </w:tc>
      </w:tr>
      <w:tr w:rsidR="00504D89" w:rsidRPr="00022BA7" w14:paraId="57E6F657"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20CFF916"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65937D15" w14:textId="77777777" w:rsidR="00504D89" w:rsidRPr="00022BA7" w:rsidRDefault="00504D89" w:rsidP="0067573D">
            <w:pPr>
              <w:rPr>
                <w:sz w:val="18"/>
                <w:szCs w:val="18"/>
              </w:rPr>
            </w:pPr>
            <w:r w:rsidRPr="00022BA7">
              <w:rPr>
                <w:sz w:val="18"/>
                <w:szCs w:val="18"/>
              </w:rPr>
              <w:t>State</w:t>
            </w:r>
          </w:p>
        </w:tc>
        <w:tc>
          <w:tcPr>
            <w:tcW w:w="1849" w:type="dxa"/>
            <w:tcBorders>
              <w:top w:val="nil"/>
              <w:left w:val="nil"/>
              <w:bottom w:val="single" w:sz="8" w:space="0" w:color="7F7F7F"/>
              <w:right w:val="single" w:sz="8" w:space="0" w:color="7F7F7F"/>
            </w:tcBorders>
            <w:shd w:val="clear" w:color="auto" w:fill="auto"/>
            <w:vAlign w:val="center"/>
            <w:hideMark/>
          </w:tcPr>
          <w:p w14:paraId="66328264"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3AC12885" w14:textId="77777777" w:rsidR="00504D89" w:rsidRPr="00022BA7" w:rsidRDefault="00504D89" w:rsidP="0067573D">
            <w:pPr>
              <w:rPr>
                <w:sz w:val="18"/>
                <w:szCs w:val="18"/>
              </w:rPr>
            </w:pPr>
            <w:r w:rsidRPr="00022BA7">
              <w:rPr>
                <w:sz w:val="18"/>
                <w:szCs w:val="18"/>
              </w:rPr>
              <w:t xml:space="preserve">Most </w:t>
            </w:r>
          </w:p>
        </w:tc>
        <w:tc>
          <w:tcPr>
            <w:tcW w:w="1545" w:type="dxa"/>
            <w:tcBorders>
              <w:top w:val="nil"/>
              <w:left w:val="nil"/>
              <w:bottom w:val="single" w:sz="8" w:space="0" w:color="7F7F7F"/>
              <w:right w:val="single" w:sz="8" w:space="0" w:color="7F7F7F"/>
            </w:tcBorders>
            <w:shd w:val="clear" w:color="auto" w:fill="auto"/>
            <w:vAlign w:val="center"/>
            <w:hideMark/>
          </w:tcPr>
          <w:p w14:paraId="1F3C4944"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hideMark/>
          </w:tcPr>
          <w:p w14:paraId="66D36C19" w14:textId="77777777" w:rsidR="00504D89" w:rsidRPr="00022BA7" w:rsidRDefault="00504D89" w:rsidP="0067573D">
            <w:pPr>
              <w:rPr>
                <w:sz w:val="18"/>
                <w:szCs w:val="18"/>
              </w:rPr>
            </w:pPr>
            <w:r w:rsidRPr="00022BA7">
              <w:rPr>
                <w:sz w:val="18"/>
                <w:szCs w:val="18"/>
              </w:rPr>
              <w:t>-</w:t>
            </w:r>
          </w:p>
        </w:tc>
      </w:tr>
      <w:tr w:rsidR="00504D89" w:rsidRPr="00022BA7" w14:paraId="52E3D376"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528539BA"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5C047168" w14:textId="77777777" w:rsidR="00504D89" w:rsidRPr="00022BA7" w:rsidRDefault="00504D89" w:rsidP="0067573D">
            <w:pPr>
              <w:rPr>
                <w:sz w:val="18"/>
                <w:szCs w:val="18"/>
              </w:rPr>
            </w:pPr>
            <w:r w:rsidRPr="00022BA7">
              <w:rPr>
                <w:sz w:val="18"/>
                <w:szCs w:val="18"/>
              </w:rPr>
              <w:t>Port</w:t>
            </w:r>
          </w:p>
        </w:tc>
        <w:tc>
          <w:tcPr>
            <w:tcW w:w="1849" w:type="dxa"/>
            <w:tcBorders>
              <w:top w:val="nil"/>
              <w:left w:val="nil"/>
              <w:bottom w:val="single" w:sz="8" w:space="0" w:color="7F7F7F"/>
              <w:right w:val="single" w:sz="8" w:space="0" w:color="7F7F7F"/>
            </w:tcBorders>
            <w:shd w:val="clear" w:color="auto" w:fill="auto"/>
            <w:vAlign w:val="center"/>
            <w:hideMark/>
          </w:tcPr>
          <w:p w14:paraId="317F7EA5" w14:textId="77777777" w:rsidR="00504D89" w:rsidRPr="00022BA7" w:rsidRDefault="00504D89" w:rsidP="0067573D">
            <w:pPr>
              <w:rPr>
                <w:sz w:val="18"/>
                <w:szCs w:val="18"/>
              </w:rPr>
            </w:pPr>
            <w:r w:rsidRPr="00022BA7">
              <w:rPr>
                <w:sz w:val="18"/>
                <w:szCs w:val="18"/>
              </w:rPr>
              <w:t>All (CG office)</w:t>
            </w:r>
          </w:p>
        </w:tc>
        <w:tc>
          <w:tcPr>
            <w:tcW w:w="1545" w:type="dxa"/>
            <w:tcBorders>
              <w:top w:val="nil"/>
              <w:left w:val="nil"/>
              <w:bottom w:val="single" w:sz="8" w:space="0" w:color="7F7F7F"/>
              <w:right w:val="single" w:sz="8" w:space="0" w:color="7F7F7F"/>
            </w:tcBorders>
            <w:shd w:val="clear" w:color="auto" w:fill="auto"/>
            <w:vAlign w:val="center"/>
            <w:hideMark/>
          </w:tcPr>
          <w:p w14:paraId="032A4DF2" w14:textId="77777777" w:rsidR="00504D89" w:rsidRPr="00022BA7" w:rsidRDefault="00504D89" w:rsidP="0067573D">
            <w:pPr>
              <w:rPr>
                <w:sz w:val="18"/>
                <w:szCs w:val="18"/>
              </w:rPr>
            </w:pPr>
            <w:r w:rsidRPr="00022BA7">
              <w:rPr>
                <w:sz w:val="18"/>
                <w:szCs w:val="18"/>
              </w:rPr>
              <w:t xml:space="preserve">Most </w:t>
            </w:r>
          </w:p>
        </w:tc>
        <w:tc>
          <w:tcPr>
            <w:tcW w:w="1545" w:type="dxa"/>
            <w:tcBorders>
              <w:top w:val="nil"/>
              <w:left w:val="nil"/>
              <w:bottom w:val="single" w:sz="8" w:space="0" w:color="7F7F7F"/>
              <w:right w:val="single" w:sz="8" w:space="0" w:color="7F7F7F"/>
            </w:tcBorders>
            <w:shd w:val="clear" w:color="auto" w:fill="auto"/>
            <w:vAlign w:val="center"/>
            <w:hideMark/>
          </w:tcPr>
          <w:p w14:paraId="08FCF3C4"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hideMark/>
          </w:tcPr>
          <w:p w14:paraId="6B20582E" w14:textId="77777777" w:rsidR="00504D89" w:rsidRPr="00022BA7" w:rsidRDefault="00504D89" w:rsidP="0067573D">
            <w:pPr>
              <w:rPr>
                <w:sz w:val="18"/>
                <w:szCs w:val="18"/>
              </w:rPr>
            </w:pPr>
            <w:r w:rsidRPr="00022BA7">
              <w:rPr>
                <w:sz w:val="18"/>
                <w:szCs w:val="18"/>
              </w:rPr>
              <w:t>-</w:t>
            </w:r>
          </w:p>
        </w:tc>
      </w:tr>
      <w:tr w:rsidR="00504D89" w:rsidRPr="00022BA7" w14:paraId="08A168C6" w14:textId="77777777" w:rsidTr="0067573D">
        <w:trPr>
          <w:gridAfter w:val="1"/>
          <w:wAfter w:w="7" w:type="dxa"/>
          <w:cantSplit/>
          <w:trHeight w:val="255"/>
        </w:trPr>
        <w:tc>
          <w:tcPr>
            <w:tcW w:w="1353" w:type="dxa"/>
            <w:vMerge w:val="restart"/>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0934430B" w14:textId="77777777" w:rsidR="00504D89" w:rsidRPr="00022BA7" w:rsidRDefault="00504D89" w:rsidP="0067573D">
            <w:pPr>
              <w:rPr>
                <w:sz w:val="18"/>
                <w:szCs w:val="18"/>
              </w:rPr>
            </w:pPr>
            <w:r w:rsidRPr="00022BA7">
              <w:rPr>
                <w:sz w:val="18"/>
                <w:szCs w:val="18"/>
              </w:rPr>
              <w:t>Specification</w:t>
            </w: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34FCA310" w14:textId="77777777" w:rsidR="00504D89" w:rsidRPr="00022BA7" w:rsidRDefault="00504D89" w:rsidP="0067573D">
            <w:pPr>
              <w:rPr>
                <w:sz w:val="18"/>
                <w:szCs w:val="18"/>
              </w:rPr>
            </w:pPr>
            <w:r w:rsidRPr="00022BA7">
              <w:rPr>
                <w:sz w:val="18"/>
                <w:szCs w:val="18"/>
              </w:rPr>
              <w:t>GT</w:t>
            </w:r>
          </w:p>
        </w:tc>
        <w:tc>
          <w:tcPr>
            <w:tcW w:w="1849" w:type="dxa"/>
            <w:tcBorders>
              <w:top w:val="nil"/>
              <w:left w:val="nil"/>
              <w:bottom w:val="single" w:sz="8" w:space="0" w:color="7F7F7F"/>
              <w:right w:val="single" w:sz="8" w:space="0" w:color="7F7F7F"/>
            </w:tcBorders>
            <w:shd w:val="clear" w:color="auto" w:fill="auto"/>
            <w:vAlign w:val="center"/>
            <w:hideMark/>
          </w:tcPr>
          <w:p w14:paraId="5B085AC7" w14:textId="77777777" w:rsidR="00504D89" w:rsidRPr="00022BA7" w:rsidRDefault="00504D89" w:rsidP="0067573D">
            <w:pPr>
              <w:rPr>
                <w:sz w:val="18"/>
                <w:szCs w:val="18"/>
              </w:rPr>
            </w:pPr>
            <w:r w:rsidRPr="00022BA7">
              <w:rPr>
                <w:sz w:val="18"/>
                <w:szCs w:val="18"/>
              </w:rPr>
              <w:t>Most</w:t>
            </w:r>
          </w:p>
        </w:tc>
        <w:tc>
          <w:tcPr>
            <w:tcW w:w="1545" w:type="dxa"/>
            <w:tcBorders>
              <w:top w:val="nil"/>
              <w:left w:val="nil"/>
              <w:bottom w:val="single" w:sz="8" w:space="0" w:color="7F7F7F"/>
              <w:right w:val="single" w:sz="8" w:space="0" w:color="7F7F7F"/>
            </w:tcBorders>
            <w:shd w:val="clear" w:color="auto" w:fill="auto"/>
            <w:vAlign w:val="center"/>
            <w:hideMark/>
          </w:tcPr>
          <w:p w14:paraId="6A8F6672" w14:textId="77777777" w:rsidR="00504D89" w:rsidRPr="00022BA7" w:rsidRDefault="00504D89" w:rsidP="0067573D">
            <w:pPr>
              <w:rPr>
                <w:sz w:val="18"/>
                <w:szCs w:val="18"/>
              </w:rPr>
            </w:pPr>
            <w:r w:rsidRPr="00022BA7">
              <w:rPr>
                <w:sz w:val="18"/>
                <w:szCs w:val="18"/>
              </w:rPr>
              <w:t>All</w:t>
            </w:r>
          </w:p>
        </w:tc>
        <w:tc>
          <w:tcPr>
            <w:tcW w:w="1545" w:type="dxa"/>
            <w:tcBorders>
              <w:top w:val="nil"/>
              <w:left w:val="nil"/>
              <w:bottom w:val="single" w:sz="8" w:space="0" w:color="7F7F7F"/>
              <w:right w:val="single" w:sz="8" w:space="0" w:color="7F7F7F"/>
            </w:tcBorders>
            <w:shd w:val="clear" w:color="auto" w:fill="auto"/>
            <w:vAlign w:val="center"/>
            <w:hideMark/>
          </w:tcPr>
          <w:p w14:paraId="1A5A21AC"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hideMark/>
          </w:tcPr>
          <w:p w14:paraId="0ECA7970" w14:textId="77777777" w:rsidR="00504D89" w:rsidRPr="00022BA7" w:rsidRDefault="00504D89" w:rsidP="0067573D">
            <w:pPr>
              <w:rPr>
                <w:sz w:val="18"/>
                <w:szCs w:val="18"/>
              </w:rPr>
            </w:pPr>
            <w:r w:rsidRPr="00022BA7">
              <w:rPr>
                <w:sz w:val="18"/>
                <w:szCs w:val="18"/>
              </w:rPr>
              <w:t>-</w:t>
            </w:r>
          </w:p>
        </w:tc>
      </w:tr>
      <w:tr w:rsidR="00504D89" w:rsidRPr="00022BA7" w14:paraId="47852E5B"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333D386A"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4EAA1518" w14:textId="77777777" w:rsidR="00504D89" w:rsidRPr="00022BA7" w:rsidRDefault="00504D89" w:rsidP="0067573D">
            <w:pPr>
              <w:rPr>
                <w:sz w:val="18"/>
                <w:szCs w:val="18"/>
              </w:rPr>
            </w:pPr>
            <w:r w:rsidRPr="00022BA7">
              <w:rPr>
                <w:sz w:val="18"/>
                <w:szCs w:val="18"/>
              </w:rPr>
              <w:t>Power [unit]</w:t>
            </w:r>
          </w:p>
        </w:tc>
        <w:tc>
          <w:tcPr>
            <w:tcW w:w="1849" w:type="dxa"/>
            <w:tcBorders>
              <w:top w:val="nil"/>
              <w:left w:val="nil"/>
              <w:bottom w:val="single" w:sz="8" w:space="0" w:color="7F7F7F"/>
              <w:right w:val="single" w:sz="8" w:space="0" w:color="7F7F7F"/>
            </w:tcBorders>
            <w:shd w:val="clear" w:color="auto" w:fill="auto"/>
            <w:vAlign w:val="center"/>
            <w:hideMark/>
          </w:tcPr>
          <w:p w14:paraId="6DF82AB5"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648B5EA8" w14:textId="77777777" w:rsidR="00504D89" w:rsidRPr="00022BA7" w:rsidRDefault="00504D89" w:rsidP="0067573D">
            <w:pPr>
              <w:rPr>
                <w:sz w:val="18"/>
                <w:szCs w:val="18"/>
              </w:rPr>
            </w:pPr>
            <w:r w:rsidRPr="00022BA7">
              <w:rPr>
                <w:sz w:val="18"/>
                <w:szCs w:val="18"/>
              </w:rPr>
              <w:t>Most [kW]</w:t>
            </w:r>
          </w:p>
        </w:tc>
        <w:tc>
          <w:tcPr>
            <w:tcW w:w="1545" w:type="dxa"/>
            <w:tcBorders>
              <w:top w:val="nil"/>
              <w:left w:val="nil"/>
              <w:bottom w:val="single" w:sz="8" w:space="0" w:color="7F7F7F"/>
              <w:right w:val="single" w:sz="8" w:space="0" w:color="7F7F7F"/>
            </w:tcBorders>
            <w:shd w:val="clear" w:color="auto" w:fill="auto"/>
            <w:vAlign w:val="center"/>
            <w:hideMark/>
          </w:tcPr>
          <w:p w14:paraId="51BB4B71" w14:textId="77777777" w:rsidR="00504D89" w:rsidRPr="00022BA7" w:rsidRDefault="00504D89" w:rsidP="0067573D">
            <w:pPr>
              <w:rPr>
                <w:sz w:val="18"/>
                <w:szCs w:val="18"/>
              </w:rPr>
            </w:pPr>
            <w:r w:rsidRPr="00022BA7">
              <w:rPr>
                <w:sz w:val="18"/>
                <w:szCs w:val="18"/>
              </w:rPr>
              <w:t>Most [HP]</w:t>
            </w:r>
          </w:p>
        </w:tc>
        <w:tc>
          <w:tcPr>
            <w:tcW w:w="1545" w:type="dxa"/>
            <w:tcBorders>
              <w:top w:val="nil"/>
              <w:left w:val="nil"/>
              <w:bottom w:val="single" w:sz="8" w:space="0" w:color="7F7F7F"/>
              <w:right w:val="single" w:sz="8" w:space="0" w:color="7F7F7F"/>
            </w:tcBorders>
            <w:shd w:val="clear" w:color="auto" w:fill="auto"/>
            <w:hideMark/>
          </w:tcPr>
          <w:p w14:paraId="194A03EC" w14:textId="77777777" w:rsidR="00504D89" w:rsidRPr="00022BA7" w:rsidRDefault="00504D89" w:rsidP="0067573D">
            <w:pPr>
              <w:rPr>
                <w:sz w:val="18"/>
                <w:szCs w:val="18"/>
              </w:rPr>
            </w:pPr>
            <w:r w:rsidRPr="00022BA7">
              <w:rPr>
                <w:sz w:val="18"/>
                <w:szCs w:val="18"/>
              </w:rPr>
              <w:t>-</w:t>
            </w:r>
          </w:p>
        </w:tc>
      </w:tr>
      <w:tr w:rsidR="00504D89" w:rsidRPr="00022BA7" w14:paraId="0990F16D" w14:textId="77777777" w:rsidTr="0067573D">
        <w:trPr>
          <w:gridAfter w:val="1"/>
          <w:wAfter w:w="7" w:type="dxa"/>
          <w:cantSplit/>
          <w:trHeight w:val="255"/>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5B5026AF"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2CE8E84F" w14:textId="77777777" w:rsidR="00504D89" w:rsidRPr="00022BA7" w:rsidRDefault="00504D89" w:rsidP="0067573D">
            <w:pPr>
              <w:rPr>
                <w:sz w:val="18"/>
                <w:szCs w:val="18"/>
              </w:rPr>
            </w:pPr>
            <w:r w:rsidRPr="00022BA7">
              <w:rPr>
                <w:sz w:val="18"/>
                <w:szCs w:val="18"/>
              </w:rPr>
              <w:t>Speed Max</w:t>
            </w:r>
          </w:p>
        </w:tc>
        <w:tc>
          <w:tcPr>
            <w:tcW w:w="1849" w:type="dxa"/>
            <w:tcBorders>
              <w:top w:val="nil"/>
              <w:left w:val="nil"/>
              <w:bottom w:val="single" w:sz="8" w:space="0" w:color="7F7F7F"/>
              <w:right w:val="single" w:sz="8" w:space="0" w:color="7F7F7F"/>
            </w:tcBorders>
            <w:shd w:val="clear" w:color="auto" w:fill="auto"/>
            <w:vAlign w:val="center"/>
            <w:hideMark/>
          </w:tcPr>
          <w:p w14:paraId="7E24E547"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vAlign w:val="center"/>
            <w:hideMark/>
          </w:tcPr>
          <w:p w14:paraId="687CD90A" w14:textId="77777777" w:rsidR="00504D89" w:rsidRPr="00022BA7" w:rsidRDefault="00504D89" w:rsidP="0067573D">
            <w:pPr>
              <w:rPr>
                <w:sz w:val="18"/>
                <w:szCs w:val="18"/>
              </w:rPr>
            </w:pPr>
            <w:r w:rsidRPr="00022BA7">
              <w:rPr>
                <w:sz w:val="18"/>
                <w:szCs w:val="18"/>
              </w:rPr>
              <w:t>Some</w:t>
            </w:r>
          </w:p>
        </w:tc>
        <w:tc>
          <w:tcPr>
            <w:tcW w:w="1545" w:type="dxa"/>
            <w:tcBorders>
              <w:top w:val="nil"/>
              <w:left w:val="nil"/>
              <w:bottom w:val="single" w:sz="8" w:space="0" w:color="7F7F7F"/>
              <w:right w:val="single" w:sz="8" w:space="0" w:color="7F7F7F"/>
            </w:tcBorders>
            <w:shd w:val="clear" w:color="auto" w:fill="auto"/>
            <w:vAlign w:val="center"/>
            <w:hideMark/>
          </w:tcPr>
          <w:p w14:paraId="189F4567"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single" w:sz="8" w:space="0" w:color="7F7F7F"/>
              <w:right w:val="single" w:sz="8" w:space="0" w:color="7F7F7F"/>
            </w:tcBorders>
            <w:shd w:val="clear" w:color="auto" w:fill="auto"/>
            <w:hideMark/>
          </w:tcPr>
          <w:p w14:paraId="3136420E" w14:textId="77777777" w:rsidR="00504D89" w:rsidRPr="00022BA7" w:rsidRDefault="00504D89" w:rsidP="0067573D">
            <w:pPr>
              <w:rPr>
                <w:sz w:val="18"/>
                <w:szCs w:val="18"/>
              </w:rPr>
            </w:pPr>
            <w:r w:rsidRPr="00022BA7">
              <w:rPr>
                <w:sz w:val="18"/>
                <w:szCs w:val="18"/>
              </w:rPr>
              <w:t>-</w:t>
            </w:r>
          </w:p>
        </w:tc>
      </w:tr>
      <w:tr w:rsidR="00504D89" w:rsidRPr="00022BA7" w14:paraId="5F1D473B" w14:textId="77777777" w:rsidTr="0067573D">
        <w:trPr>
          <w:gridAfter w:val="1"/>
          <w:wAfter w:w="7" w:type="dxa"/>
          <w:cantSplit/>
          <w:trHeight w:val="501"/>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188A8A03" w14:textId="77777777" w:rsidR="00504D89" w:rsidRPr="00022BA7" w:rsidRDefault="00504D89" w:rsidP="0067573D">
            <w:pPr>
              <w:rPr>
                <w:sz w:val="18"/>
                <w:szCs w:val="18"/>
              </w:rPr>
            </w:pPr>
          </w:p>
        </w:tc>
        <w:tc>
          <w:tcPr>
            <w:tcW w:w="1511" w:type="dxa"/>
            <w:tcBorders>
              <w:top w:val="nil"/>
              <w:left w:val="nil"/>
              <w:bottom w:val="single" w:sz="8" w:space="0" w:color="7F7F7F"/>
              <w:right w:val="single" w:sz="8" w:space="0" w:color="7F7F7F"/>
            </w:tcBorders>
            <w:shd w:val="clear" w:color="auto" w:fill="F2F2F2" w:themeFill="background1" w:themeFillShade="F2"/>
            <w:vAlign w:val="center"/>
            <w:hideMark/>
          </w:tcPr>
          <w:p w14:paraId="15DD5D66" w14:textId="77777777" w:rsidR="00504D89" w:rsidRPr="00022BA7" w:rsidRDefault="00504D89" w:rsidP="0067573D">
            <w:pPr>
              <w:rPr>
                <w:sz w:val="18"/>
                <w:szCs w:val="18"/>
              </w:rPr>
            </w:pPr>
            <w:r w:rsidRPr="00022BA7">
              <w:rPr>
                <w:sz w:val="18"/>
                <w:szCs w:val="18"/>
              </w:rPr>
              <w:t xml:space="preserve">Length [unit] </w:t>
            </w:r>
          </w:p>
        </w:tc>
        <w:tc>
          <w:tcPr>
            <w:tcW w:w="1849" w:type="dxa"/>
            <w:tcBorders>
              <w:top w:val="nil"/>
              <w:left w:val="nil"/>
              <w:bottom w:val="single" w:sz="8" w:space="0" w:color="7F7F7F"/>
              <w:right w:val="single" w:sz="8" w:space="0" w:color="7F7F7F"/>
            </w:tcBorders>
            <w:shd w:val="clear" w:color="auto" w:fill="auto"/>
            <w:vAlign w:val="center"/>
            <w:hideMark/>
          </w:tcPr>
          <w:p w14:paraId="6854D065" w14:textId="77777777" w:rsidR="00504D89" w:rsidRPr="00022BA7" w:rsidRDefault="00504D89" w:rsidP="0067573D">
            <w:pPr>
              <w:rPr>
                <w:sz w:val="18"/>
                <w:szCs w:val="18"/>
              </w:rPr>
            </w:pPr>
            <w:r w:rsidRPr="00022BA7">
              <w:rPr>
                <w:sz w:val="18"/>
                <w:szCs w:val="18"/>
              </w:rPr>
              <w:t>Most [ft]</w:t>
            </w:r>
          </w:p>
        </w:tc>
        <w:tc>
          <w:tcPr>
            <w:tcW w:w="1545" w:type="dxa"/>
            <w:tcBorders>
              <w:top w:val="nil"/>
              <w:left w:val="nil"/>
              <w:bottom w:val="single" w:sz="8" w:space="0" w:color="7F7F7F"/>
              <w:right w:val="single" w:sz="8" w:space="0" w:color="7F7F7F"/>
            </w:tcBorders>
            <w:shd w:val="clear" w:color="auto" w:fill="auto"/>
            <w:vAlign w:val="center"/>
            <w:hideMark/>
          </w:tcPr>
          <w:p w14:paraId="18CB9154" w14:textId="77777777" w:rsidR="00504D89" w:rsidRPr="00022BA7" w:rsidRDefault="00504D89" w:rsidP="0067573D">
            <w:pPr>
              <w:rPr>
                <w:sz w:val="18"/>
                <w:szCs w:val="18"/>
              </w:rPr>
            </w:pPr>
            <w:r w:rsidRPr="00022BA7">
              <w:rPr>
                <w:sz w:val="18"/>
                <w:szCs w:val="18"/>
              </w:rPr>
              <w:t>Most [m]</w:t>
            </w:r>
          </w:p>
        </w:tc>
        <w:tc>
          <w:tcPr>
            <w:tcW w:w="1545" w:type="dxa"/>
            <w:tcBorders>
              <w:top w:val="nil"/>
              <w:left w:val="nil"/>
              <w:bottom w:val="single" w:sz="8" w:space="0" w:color="7F7F7F"/>
              <w:right w:val="single" w:sz="8" w:space="0" w:color="7F7F7F"/>
            </w:tcBorders>
            <w:shd w:val="clear" w:color="auto" w:fill="auto"/>
            <w:vAlign w:val="center"/>
            <w:hideMark/>
          </w:tcPr>
          <w:p w14:paraId="549306CD" w14:textId="77777777" w:rsidR="00504D89" w:rsidRPr="00022BA7" w:rsidRDefault="00504D89" w:rsidP="0067573D">
            <w:pPr>
              <w:rPr>
                <w:sz w:val="18"/>
                <w:szCs w:val="18"/>
              </w:rPr>
            </w:pPr>
            <w:r w:rsidRPr="00022BA7">
              <w:rPr>
                <w:sz w:val="18"/>
                <w:szCs w:val="18"/>
              </w:rPr>
              <w:t xml:space="preserve">Most [ft] </w:t>
            </w:r>
          </w:p>
        </w:tc>
        <w:tc>
          <w:tcPr>
            <w:tcW w:w="1545" w:type="dxa"/>
            <w:tcBorders>
              <w:top w:val="nil"/>
              <w:left w:val="nil"/>
              <w:bottom w:val="single" w:sz="8" w:space="0" w:color="7F7F7F"/>
              <w:right w:val="single" w:sz="8" w:space="0" w:color="7F7F7F"/>
            </w:tcBorders>
            <w:shd w:val="clear" w:color="auto" w:fill="auto"/>
            <w:vAlign w:val="center"/>
            <w:hideMark/>
          </w:tcPr>
          <w:p w14:paraId="2778C4A9" w14:textId="77777777" w:rsidR="00504D89" w:rsidRPr="00022BA7" w:rsidRDefault="00504D89" w:rsidP="0067573D">
            <w:pPr>
              <w:rPr>
                <w:sz w:val="18"/>
                <w:szCs w:val="18"/>
              </w:rPr>
            </w:pPr>
            <w:r w:rsidRPr="00022BA7">
              <w:rPr>
                <w:sz w:val="18"/>
                <w:szCs w:val="18"/>
              </w:rPr>
              <w:t>Some [m]</w:t>
            </w:r>
          </w:p>
        </w:tc>
      </w:tr>
      <w:tr w:rsidR="00504D89" w:rsidRPr="00022BA7" w14:paraId="334FED72" w14:textId="77777777" w:rsidTr="0067573D">
        <w:trPr>
          <w:gridAfter w:val="1"/>
          <w:wAfter w:w="7" w:type="dxa"/>
          <w:cantSplit/>
          <w:trHeight w:val="501"/>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01429959" w14:textId="77777777" w:rsidR="00504D89" w:rsidRPr="00022BA7" w:rsidRDefault="00504D89" w:rsidP="0067573D">
            <w:pPr>
              <w:rPr>
                <w:sz w:val="18"/>
                <w:szCs w:val="18"/>
              </w:rPr>
            </w:pPr>
          </w:p>
        </w:tc>
        <w:tc>
          <w:tcPr>
            <w:tcW w:w="1511" w:type="dxa"/>
            <w:tcBorders>
              <w:top w:val="nil"/>
              <w:left w:val="nil"/>
              <w:bottom w:val="nil"/>
              <w:right w:val="single" w:sz="8" w:space="0" w:color="7F7F7F"/>
            </w:tcBorders>
            <w:shd w:val="clear" w:color="auto" w:fill="F2F2F2" w:themeFill="background1" w:themeFillShade="F2"/>
            <w:vAlign w:val="center"/>
            <w:hideMark/>
          </w:tcPr>
          <w:p w14:paraId="7301A8EC" w14:textId="77777777" w:rsidR="00504D89" w:rsidRPr="00022BA7" w:rsidRDefault="00504D89" w:rsidP="0067573D">
            <w:pPr>
              <w:rPr>
                <w:sz w:val="18"/>
                <w:szCs w:val="18"/>
              </w:rPr>
            </w:pPr>
            <w:r w:rsidRPr="00022BA7">
              <w:rPr>
                <w:sz w:val="18"/>
                <w:szCs w:val="18"/>
              </w:rPr>
              <w:t xml:space="preserve">Breadth [unit] </w:t>
            </w:r>
          </w:p>
        </w:tc>
        <w:tc>
          <w:tcPr>
            <w:tcW w:w="1849" w:type="dxa"/>
            <w:tcBorders>
              <w:top w:val="nil"/>
              <w:left w:val="nil"/>
              <w:bottom w:val="nil"/>
              <w:right w:val="single" w:sz="8" w:space="0" w:color="7F7F7F"/>
            </w:tcBorders>
            <w:shd w:val="clear" w:color="auto" w:fill="auto"/>
            <w:vAlign w:val="center"/>
            <w:hideMark/>
          </w:tcPr>
          <w:p w14:paraId="21BA4B6A" w14:textId="77777777" w:rsidR="00504D89" w:rsidRPr="00022BA7" w:rsidRDefault="00504D89" w:rsidP="0067573D">
            <w:pPr>
              <w:rPr>
                <w:sz w:val="18"/>
                <w:szCs w:val="18"/>
              </w:rPr>
            </w:pPr>
            <w:r w:rsidRPr="00022BA7">
              <w:rPr>
                <w:sz w:val="18"/>
                <w:szCs w:val="18"/>
              </w:rPr>
              <w:t>-</w:t>
            </w:r>
          </w:p>
        </w:tc>
        <w:tc>
          <w:tcPr>
            <w:tcW w:w="1545" w:type="dxa"/>
            <w:tcBorders>
              <w:top w:val="nil"/>
              <w:left w:val="nil"/>
              <w:bottom w:val="nil"/>
              <w:right w:val="single" w:sz="8" w:space="0" w:color="7F7F7F"/>
            </w:tcBorders>
            <w:shd w:val="clear" w:color="auto" w:fill="auto"/>
            <w:vAlign w:val="center"/>
            <w:hideMark/>
          </w:tcPr>
          <w:p w14:paraId="02EBF342" w14:textId="77777777" w:rsidR="00504D89" w:rsidRPr="00022BA7" w:rsidRDefault="00504D89" w:rsidP="0067573D">
            <w:pPr>
              <w:rPr>
                <w:sz w:val="18"/>
                <w:szCs w:val="18"/>
              </w:rPr>
            </w:pPr>
            <w:r w:rsidRPr="00022BA7">
              <w:rPr>
                <w:sz w:val="18"/>
                <w:szCs w:val="18"/>
              </w:rPr>
              <w:t>Some [m]</w:t>
            </w:r>
          </w:p>
        </w:tc>
        <w:tc>
          <w:tcPr>
            <w:tcW w:w="1545" w:type="dxa"/>
            <w:tcBorders>
              <w:top w:val="nil"/>
              <w:left w:val="nil"/>
              <w:bottom w:val="nil"/>
              <w:right w:val="single" w:sz="8" w:space="0" w:color="7F7F7F"/>
            </w:tcBorders>
            <w:shd w:val="clear" w:color="auto" w:fill="auto"/>
            <w:vAlign w:val="center"/>
            <w:hideMark/>
          </w:tcPr>
          <w:p w14:paraId="30DFE4F9" w14:textId="77777777" w:rsidR="00504D89" w:rsidRPr="00022BA7" w:rsidRDefault="00504D89" w:rsidP="0067573D">
            <w:pPr>
              <w:rPr>
                <w:sz w:val="18"/>
                <w:szCs w:val="18"/>
              </w:rPr>
            </w:pPr>
            <w:r w:rsidRPr="00022BA7">
              <w:rPr>
                <w:sz w:val="18"/>
                <w:szCs w:val="18"/>
              </w:rPr>
              <w:t xml:space="preserve">Most [ft] </w:t>
            </w:r>
          </w:p>
        </w:tc>
        <w:tc>
          <w:tcPr>
            <w:tcW w:w="1545" w:type="dxa"/>
            <w:tcBorders>
              <w:top w:val="nil"/>
              <w:left w:val="nil"/>
              <w:bottom w:val="nil"/>
              <w:right w:val="single" w:sz="8" w:space="0" w:color="7F7F7F"/>
            </w:tcBorders>
            <w:shd w:val="clear" w:color="auto" w:fill="auto"/>
            <w:vAlign w:val="center"/>
            <w:hideMark/>
          </w:tcPr>
          <w:p w14:paraId="185FEE91" w14:textId="77777777" w:rsidR="00504D89" w:rsidRPr="00022BA7" w:rsidRDefault="00504D89" w:rsidP="0067573D">
            <w:pPr>
              <w:rPr>
                <w:sz w:val="18"/>
                <w:szCs w:val="18"/>
              </w:rPr>
            </w:pPr>
            <w:r w:rsidRPr="00022BA7">
              <w:rPr>
                <w:sz w:val="18"/>
                <w:szCs w:val="18"/>
              </w:rPr>
              <w:t xml:space="preserve">Some [m] </w:t>
            </w:r>
          </w:p>
        </w:tc>
      </w:tr>
      <w:tr w:rsidR="00504D89" w:rsidRPr="00022BA7" w14:paraId="4D12F957" w14:textId="77777777" w:rsidTr="0067573D">
        <w:trPr>
          <w:gridAfter w:val="1"/>
          <w:wAfter w:w="7" w:type="dxa"/>
          <w:cantSplit/>
          <w:trHeight w:val="501"/>
        </w:trPr>
        <w:tc>
          <w:tcPr>
            <w:tcW w:w="1353" w:type="dxa"/>
            <w:vMerge/>
            <w:tcBorders>
              <w:top w:val="nil"/>
              <w:left w:val="single" w:sz="8" w:space="0" w:color="7F7F7F"/>
              <w:bottom w:val="single" w:sz="8" w:space="0" w:color="7F7F7F"/>
              <w:right w:val="single" w:sz="8" w:space="0" w:color="7F7F7F"/>
            </w:tcBorders>
            <w:shd w:val="clear" w:color="auto" w:fill="F2F2F2" w:themeFill="background1" w:themeFillShade="F2"/>
            <w:vAlign w:val="center"/>
            <w:hideMark/>
          </w:tcPr>
          <w:p w14:paraId="1C54EDCE" w14:textId="77777777" w:rsidR="00504D89" w:rsidRPr="00022BA7" w:rsidRDefault="00504D89" w:rsidP="0067573D">
            <w:pPr>
              <w:rPr>
                <w:sz w:val="18"/>
                <w:szCs w:val="18"/>
              </w:rPr>
            </w:pPr>
          </w:p>
        </w:tc>
        <w:tc>
          <w:tcPr>
            <w:tcW w:w="1511" w:type="dxa"/>
            <w:tcBorders>
              <w:top w:val="single" w:sz="8" w:space="0" w:color="7F7F7F"/>
              <w:left w:val="nil"/>
              <w:bottom w:val="single" w:sz="8" w:space="0" w:color="7F7F7F"/>
              <w:right w:val="single" w:sz="8" w:space="0" w:color="7F7F7F"/>
            </w:tcBorders>
            <w:shd w:val="clear" w:color="auto" w:fill="F2F2F2" w:themeFill="background1" w:themeFillShade="F2"/>
            <w:vAlign w:val="center"/>
            <w:hideMark/>
          </w:tcPr>
          <w:p w14:paraId="0133C4F1" w14:textId="77777777" w:rsidR="00504D89" w:rsidRPr="00022BA7" w:rsidRDefault="00504D89" w:rsidP="0067573D">
            <w:pPr>
              <w:rPr>
                <w:sz w:val="18"/>
                <w:szCs w:val="18"/>
              </w:rPr>
            </w:pPr>
            <w:r w:rsidRPr="00022BA7">
              <w:rPr>
                <w:sz w:val="18"/>
                <w:szCs w:val="18"/>
              </w:rPr>
              <w:t>Draft [unit] (type)</w:t>
            </w:r>
          </w:p>
        </w:tc>
        <w:tc>
          <w:tcPr>
            <w:tcW w:w="1849" w:type="dxa"/>
            <w:tcBorders>
              <w:top w:val="single" w:sz="8" w:space="0" w:color="7F7F7F"/>
              <w:left w:val="nil"/>
              <w:bottom w:val="single" w:sz="8" w:space="0" w:color="7F7F7F"/>
              <w:right w:val="single" w:sz="8" w:space="0" w:color="7F7F7F"/>
            </w:tcBorders>
            <w:shd w:val="clear" w:color="auto" w:fill="auto"/>
            <w:vAlign w:val="center"/>
            <w:hideMark/>
          </w:tcPr>
          <w:p w14:paraId="3A170181" w14:textId="77777777" w:rsidR="00504D89" w:rsidRPr="00022BA7" w:rsidRDefault="00504D89" w:rsidP="0067573D">
            <w:pPr>
              <w:rPr>
                <w:sz w:val="18"/>
                <w:szCs w:val="18"/>
              </w:rPr>
            </w:pPr>
            <w:r w:rsidRPr="00022BA7">
              <w:rPr>
                <w:sz w:val="18"/>
                <w:szCs w:val="18"/>
              </w:rPr>
              <w:t>-</w:t>
            </w:r>
          </w:p>
        </w:tc>
        <w:tc>
          <w:tcPr>
            <w:tcW w:w="1545" w:type="dxa"/>
            <w:tcBorders>
              <w:top w:val="single" w:sz="8" w:space="0" w:color="7F7F7F"/>
              <w:left w:val="nil"/>
              <w:bottom w:val="single" w:sz="8" w:space="0" w:color="7F7F7F"/>
              <w:right w:val="single" w:sz="8" w:space="0" w:color="7F7F7F"/>
            </w:tcBorders>
            <w:shd w:val="clear" w:color="auto" w:fill="auto"/>
            <w:vAlign w:val="center"/>
            <w:hideMark/>
          </w:tcPr>
          <w:p w14:paraId="1FA1954C" w14:textId="77777777" w:rsidR="00504D89" w:rsidRPr="00022BA7" w:rsidRDefault="00504D89" w:rsidP="0067573D">
            <w:pPr>
              <w:rPr>
                <w:sz w:val="18"/>
                <w:szCs w:val="18"/>
              </w:rPr>
            </w:pPr>
            <w:r w:rsidRPr="00022BA7">
              <w:rPr>
                <w:sz w:val="18"/>
                <w:szCs w:val="18"/>
              </w:rPr>
              <w:t>Most [m]</w:t>
            </w:r>
          </w:p>
        </w:tc>
        <w:tc>
          <w:tcPr>
            <w:tcW w:w="1545" w:type="dxa"/>
            <w:tcBorders>
              <w:top w:val="single" w:sz="8" w:space="0" w:color="7F7F7F"/>
              <w:left w:val="nil"/>
              <w:bottom w:val="single" w:sz="8" w:space="0" w:color="7F7F7F"/>
              <w:right w:val="single" w:sz="8" w:space="0" w:color="7F7F7F"/>
            </w:tcBorders>
            <w:shd w:val="clear" w:color="auto" w:fill="auto"/>
            <w:vAlign w:val="center"/>
            <w:hideMark/>
          </w:tcPr>
          <w:p w14:paraId="14E944FA" w14:textId="77777777" w:rsidR="00504D89" w:rsidRPr="00022BA7" w:rsidRDefault="00504D89" w:rsidP="0067573D">
            <w:pPr>
              <w:rPr>
                <w:sz w:val="18"/>
                <w:szCs w:val="18"/>
              </w:rPr>
            </w:pPr>
            <w:r w:rsidRPr="00022BA7">
              <w:rPr>
                <w:sz w:val="18"/>
                <w:szCs w:val="18"/>
              </w:rPr>
              <w:t xml:space="preserve">Most ships [ft] </w:t>
            </w:r>
          </w:p>
        </w:tc>
        <w:tc>
          <w:tcPr>
            <w:tcW w:w="1545" w:type="dxa"/>
            <w:tcBorders>
              <w:top w:val="single" w:sz="8" w:space="0" w:color="7F7F7F"/>
              <w:left w:val="nil"/>
              <w:bottom w:val="single" w:sz="8" w:space="0" w:color="7F7F7F"/>
              <w:right w:val="single" w:sz="8" w:space="0" w:color="7F7F7F"/>
            </w:tcBorders>
            <w:shd w:val="clear" w:color="auto" w:fill="auto"/>
            <w:vAlign w:val="center"/>
            <w:hideMark/>
          </w:tcPr>
          <w:p w14:paraId="5407DF6B" w14:textId="77777777" w:rsidR="00504D89" w:rsidRPr="00022BA7" w:rsidRDefault="00504D89" w:rsidP="0067573D">
            <w:pPr>
              <w:rPr>
                <w:sz w:val="18"/>
                <w:szCs w:val="18"/>
              </w:rPr>
            </w:pPr>
            <w:r w:rsidRPr="00022BA7">
              <w:rPr>
                <w:sz w:val="18"/>
                <w:szCs w:val="18"/>
              </w:rPr>
              <w:t xml:space="preserve">Some [m] </w:t>
            </w:r>
          </w:p>
        </w:tc>
      </w:tr>
    </w:tbl>
    <w:p w14:paraId="6BF466E7" w14:textId="77777777" w:rsidR="00504D89" w:rsidRDefault="00504D89" w:rsidP="00504D89">
      <w:pPr>
        <w:widowControl/>
        <w:spacing w:line="240" w:lineRule="auto"/>
        <w:rPr>
          <w:color w:val="1F497D" w:themeColor="text2"/>
        </w:rPr>
      </w:pPr>
    </w:p>
    <w:p w14:paraId="091FE89F" w14:textId="77777777" w:rsidR="009B1D80" w:rsidRDefault="009B1D80">
      <w:pPr>
        <w:widowControl/>
        <w:spacing w:line="240" w:lineRule="auto"/>
        <w:rPr>
          <w:sz w:val="16"/>
          <w:szCs w:val="16"/>
        </w:rPr>
      </w:pPr>
    </w:p>
    <w:p w14:paraId="32BD3437" w14:textId="77777777" w:rsidR="009B1D80" w:rsidRDefault="009B1D80">
      <w:pPr>
        <w:widowControl/>
        <w:spacing w:line="240" w:lineRule="auto"/>
        <w:rPr>
          <w:sz w:val="16"/>
          <w:szCs w:val="16"/>
        </w:rPr>
      </w:pPr>
    </w:p>
    <w:p w14:paraId="61FB5DF2" w14:textId="77777777" w:rsidR="009B1D80" w:rsidRDefault="009B1D80" w:rsidP="009B1D80"/>
    <w:p w14:paraId="2FED1074" w14:textId="1F88E664" w:rsidR="00D91288" w:rsidRDefault="00D91288" w:rsidP="009B1D80">
      <w:r>
        <w:br w:type="page"/>
      </w:r>
    </w:p>
    <w:p w14:paraId="2C1D86B2" w14:textId="326F9E2C" w:rsidR="007732A7" w:rsidRPr="00022BA7" w:rsidRDefault="00166350" w:rsidP="007732A7">
      <w:pPr>
        <w:pStyle w:val="Caption"/>
        <w:keepNext/>
        <w:spacing w:line="240" w:lineRule="auto"/>
      </w:pPr>
      <w:bookmarkStart w:id="109" w:name="_Ref144852122"/>
      <w:bookmarkStart w:id="110" w:name="_Toc146723131"/>
      <w:r>
        <w:t xml:space="preserve">Supplementary </w:t>
      </w:r>
      <w:r w:rsidR="007732A7" w:rsidRPr="00022BA7">
        <w:t xml:space="preserve">Table </w:t>
      </w:r>
      <w:r w:rsidR="00590C69">
        <w:fldChar w:fldCharType="begin"/>
      </w:r>
      <w:r w:rsidR="00590C69">
        <w:instrText xml:space="preserve"> SEQ Table \* ARABIC </w:instrText>
      </w:r>
      <w:r w:rsidR="00590C69">
        <w:fldChar w:fldCharType="separate"/>
      </w:r>
      <w:r w:rsidR="00C661AC">
        <w:rPr>
          <w:noProof/>
        </w:rPr>
        <w:t>6</w:t>
      </w:r>
      <w:r w:rsidR="00590C69">
        <w:rPr>
          <w:noProof/>
        </w:rPr>
        <w:fldChar w:fldCharType="end"/>
      </w:r>
      <w:bookmarkEnd w:id="109"/>
      <w:r w:rsidR="007732A7" w:rsidRPr="00022BA7">
        <w:t>. Parameters for Estimating Main Engine</w:t>
      </w:r>
      <w:r w:rsidR="007732A7">
        <w:t xml:space="preserve"> Capacity</w:t>
      </w:r>
      <w:bookmarkEnd w:id="1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172"/>
        <w:gridCol w:w="2248"/>
        <w:gridCol w:w="2340"/>
        <w:gridCol w:w="1080"/>
        <w:gridCol w:w="1067"/>
      </w:tblGrid>
      <w:tr w:rsidR="007732A7" w:rsidRPr="00022BA7" w14:paraId="22E5362E" w14:textId="77777777" w:rsidTr="0067573D">
        <w:trPr>
          <w:trHeight w:val="286"/>
        </w:trPr>
        <w:tc>
          <w:tcPr>
            <w:tcW w:w="1345" w:type="dxa"/>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03C51988" w14:textId="77777777" w:rsidR="007732A7" w:rsidRPr="00186A21" w:rsidRDefault="007732A7" w:rsidP="0067573D">
            <w:pPr>
              <w:jc w:val="center"/>
              <w:rPr>
                <w:b/>
                <w:sz w:val="18"/>
                <w:szCs w:val="18"/>
              </w:rPr>
            </w:pPr>
            <w:r w:rsidRPr="00186A21">
              <w:rPr>
                <w:b/>
                <w:sz w:val="18"/>
                <w:szCs w:val="18"/>
              </w:rPr>
              <w:t>Ship Type (</w:t>
            </w:r>
            <m:oMath>
              <m:sSub>
                <m:sSubPr>
                  <m:ctrlPr>
                    <w:rPr>
                      <w:rFonts w:ascii="Cambria Math" w:hAnsi="Cambria Math"/>
                      <w:b/>
                      <w:sz w:val="18"/>
                      <w:szCs w:val="18"/>
                    </w:rPr>
                  </m:ctrlPr>
                </m:sSubPr>
                <m:e>
                  <m:r>
                    <m:rPr>
                      <m:sty m:val="bi"/>
                    </m:rPr>
                    <w:rPr>
                      <w:rFonts w:ascii="Cambria Math" w:hAnsi="Cambria Math"/>
                      <w:sz w:val="18"/>
                      <w:szCs w:val="18"/>
                    </w:rPr>
                    <m:t>ST</m:t>
                  </m:r>
                </m:e>
                <m:sub>
                  <m:r>
                    <m:rPr>
                      <m:sty m:val="bi"/>
                    </m:rPr>
                    <w:rPr>
                      <w:rFonts w:ascii="Cambria Math" w:hAnsi="Cambria Math"/>
                      <w:sz w:val="18"/>
                      <w:szCs w:val="18"/>
                    </w:rPr>
                    <m:t>v</m:t>
                  </m:r>
                </m:sub>
              </m:sSub>
            </m:oMath>
            <w:r w:rsidRPr="00186A21">
              <w:rPr>
                <w:b/>
                <w:sz w:val="18"/>
                <w:szCs w:val="18"/>
              </w:rPr>
              <w:t>)</w:t>
            </w:r>
          </w:p>
        </w:tc>
        <w:tc>
          <w:tcPr>
            <w:tcW w:w="1172" w:type="dxa"/>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vAlign w:val="bottom"/>
          </w:tcPr>
          <w:p w14:paraId="3B713918" w14:textId="77777777" w:rsidR="007732A7" w:rsidRPr="00186A21" w:rsidRDefault="007732A7" w:rsidP="0067573D">
            <w:pPr>
              <w:jc w:val="center"/>
              <w:rPr>
                <w:b/>
                <w:sz w:val="18"/>
                <w:szCs w:val="18"/>
              </w:rPr>
            </w:pPr>
            <w:r w:rsidRPr="00186A21">
              <w:rPr>
                <w:b/>
                <w:sz w:val="18"/>
                <w:szCs w:val="18"/>
              </w:rPr>
              <w:t># of ships used for parameter estimation</w:t>
            </w:r>
          </w:p>
        </w:tc>
        <w:tc>
          <w:tcPr>
            <w:tcW w:w="4588" w:type="dxa"/>
            <w:gridSpan w:val="2"/>
            <w:tcBorders>
              <w:top w:val="single" w:sz="18" w:space="0" w:color="auto"/>
              <w:left w:val="single" w:sz="2" w:space="0" w:color="auto"/>
              <w:bottom w:val="single" w:sz="2" w:space="0" w:color="auto"/>
              <w:right w:val="single" w:sz="2" w:space="0" w:color="auto"/>
            </w:tcBorders>
            <w:shd w:val="clear" w:color="auto" w:fill="F2F2F2" w:themeFill="background1" w:themeFillShade="F2"/>
            <w:vAlign w:val="bottom"/>
          </w:tcPr>
          <w:p w14:paraId="01A81A86" w14:textId="77777777" w:rsidR="007732A7" w:rsidRPr="00186A21" w:rsidRDefault="007732A7" w:rsidP="0067573D">
            <w:pPr>
              <w:jc w:val="center"/>
              <w:rPr>
                <w:b/>
                <w:sz w:val="18"/>
                <w:szCs w:val="18"/>
              </w:rPr>
            </w:pPr>
            <w:r w:rsidRPr="00186A21">
              <w:rPr>
                <w:b/>
                <w:sz w:val="18"/>
                <w:szCs w:val="18"/>
              </w:rPr>
              <w:t>Estimated parameters</w:t>
            </w:r>
          </w:p>
        </w:tc>
        <w:tc>
          <w:tcPr>
            <w:tcW w:w="2147" w:type="dxa"/>
            <w:gridSpan w:val="2"/>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bottom"/>
          </w:tcPr>
          <w:p w14:paraId="290E4120" w14:textId="77777777" w:rsidR="007732A7" w:rsidRPr="00186A21" w:rsidRDefault="007732A7" w:rsidP="0067573D">
            <w:pPr>
              <w:jc w:val="center"/>
              <w:rPr>
                <w:b/>
                <w:sz w:val="18"/>
                <w:szCs w:val="18"/>
              </w:rPr>
            </w:pPr>
            <w:r w:rsidRPr="00186A21">
              <w:rPr>
                <w:b/>
                <w:sz w:val="18"/>
                <w:szCs w:val="18"/>
              </w:rPr>
              <w:t>R-squared</w:t>
            </w:r>
          </w:p>
        </w:tc>
      </w:tr>
      <w:tr w:rsidR="007732A7" w:rsidRPr="00022BA7" w14:paraId="23BEB1FC" w14:textId="77777777" w:rsidTr="0067573D">
        <w:trPr>
          <w:trHeight w:val="286"/>
        </w:trPr>
        <w:tc>
          <w:tcPr>
            <w:tcW w:w="1345"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bottom"/>
            <w:hideMark/>
          </w:tcPr>
          <w:p w14:paraId="4E5C419D" w14:textId="77777777" w:rsidR="007732A7" w:rsidRPr="00186A21" w:rsidRDefault="007732A7" w:rsidP="0067573D">
            <w:pPr>
              <w:jc w:val="center"/>
              <w:rPr>
                <w:b/>
                <w:sz w:val="18"/>
                <w:szCs w:val="18"/>
              </w:rPr>
            </w:pPr>
          </w:p>
        </w:tc>
        <w:tc>
          <w:tcPr>
            <w:tcW w:w="1172"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vAlign w:val="bottom"/>
          </w:tcPr>
          <w:p w14:paraId="444DFD63" w14:textId="77777777" w:rsidR="007732A7" w:rsidRPr="00186A21" w:rsidRDefault="007732A7" w:rsidP="0067573D">
            <w:pPr>
              <w:jc w:val="center"/>
              <w:rPr>
                <w:b/>
                <w:sz w:val="18"/>
                <w:szCs w:val="18"/>
              </w:rPr>
            </w:pPr>
          </w:p>
        </w:tc>
        <w:tc>
          <w:tcPr>
            <w:tcW w:w="2248" w:type="dxa"/>
            <w:tcBorders>
              <w:top w:val="single" w:sz="2" w:space="0" w:color="auto"/>
              <w:left w:val="single" w:sz="2" w:space="0" w:color="auto"/>
              <w:bottom w:val="single" w:sz="18" w:space="0" w:color="auto"/>
              <w:right w:val="single" w:sz="2" w:space="0" w:color="auto"/>
            </w:tcBorders>
            <w:shd w:val="clear" w:color="auto" w:fill="F2F2F2" w:themeFill="background1" w:themeFillShade="F2"/>
            <w:vAlign w:val="bottom"/>
          </w:tcPr>
          <w:p w14:paraId="7EFE9CEC" w14:textId="77777777" w:rsidR="007732A7" w:rsidRPr="00186A21" w:rsidRDefault="007732A7" w:rsidP="0067573D">
            <w:pPr>
              <w:jc w:val="center"/>
              <w:rPr>
                <w:b/>
                <w:sz w:val="18"/>
                <w:szCs w:val="18"/>
              </w:rPr>
            </w:pPr>
            <w:r w:rsidRPr="00186A21">
              <w:rPr>
                <w:b/>
                <w:sz w:val="18"/>
                <w:szCs w:val="18"/>
              </w:rPr>
              <w:t>Suggested model</w:t>
            </w:r>
          </w:p>
          <w:p w14:paraId="08D70166" w14:textId="77777777" w:rsidR="007732A7" w:rsidRPr="00186A21" w:rsidRDefault="007732A7" w:rsidP="0067573D">
            <w:pPr>
              <w:jc w:val="center"/>
              <w:rPr>
                <w:b/>
                <w:sz w:val="18"/>
                <w:szCs w:val="18"/>
              </w:rPr>
            </w:pPr>
            <w:r w:rsidRPr="00186A21" w:rsidDel="00C12FF4">
              <w:rPr>
                <w:b/>
                <w:sz w:val="18"/>
                <w:szCs w:val="18"/>
              </w:rPr>
              <w:t xml:space="preserve"> </w:t>
            </w:r>
            <w:r w:rsidRPr="00186A21">
              <w:rPr>
                <w:b/>
                <w:sz w:val="18"/>
                <w:szCs w:val="18"/>
              </w:rPr>
              <w:t>[b</w:t>
            </w:r>
            <w:r w:rsidRPr="00186A21">
              <w:rPr>
                <w:b/>
                <w:sz w:val="18"/>
                <w:szCs w:val="18"/>
                <w:vertAlign w:val="subscript"/>
              </w:rPr>
              <w:t>1</w:t>
            </w:r>
            <w:r w:rsidRPr="00186A21">
              <w:rPr>
                <w:b/>
                <w:sz w:val="18"/>
                <w:szCs w:val="18"/>
              </w:rPr>
              <w:t>, b</w:t>
            </w:r>
            <w:r w:rsidRPr="00186A21">
              <w:rPr>
                <w:b/>
                <w:sz w:val="18"/>
                <w:szCs w:val="18"/>
                <w:vertAlign w:val="subscript"/>
              </w:rPr>
              <w:t>2</w:t>
            </w:r>
            <w:r w:rsidRPr="00186A21">
              <w:rPr>
                <w:b/>
                <w:sz w:val="18"/>
                <w:szCs w:val="18"/>
              </w:rPr>
              <w:t>, b</w:t>
            </w:r>
            <w:r w:rsidRPr="00186A21">
              <w:rPr>
                <w:b/>
                <w:sz w:val="18"/>
                <w:szCs w:val="18"/>
                <w:vertAlign w:val="subscript"/>
              </w:rPr>
              <w:t>3</w:t>
            </w:r>
            <w:r w:rsidRPr="00186A21">
              <w:rPr>
                <w:b/>
                <w:sz w:val="18"/>
                <w:szCs w:val="18"/>
              </w:rPr>
              <w:t>,</w:t>
            </w:r>
          </w:p>
          <w:p w14:paraId="3B5D5CAE" w14:textId="77777777" w:rsidR="007732A7" w:rsidRPr="00186A21" w:rsidRDefault="007732A7" w:rsidP="0067573D">
            <w:pPr>
              <w:jc w:val="center"/>
              <w:rPr>
                <w:b/>
                <w:sz w:val="18"/>
                <w:szCs w:val="18"/>
              </w:rPr>
            </w:pPr>
            <w:r w:rsidRPr="00186A21">
              <w:rPr>
                <w:b/>
                <w:sz w:val="18"/>
                <w:szCs w:val="18"/>
              </w:rPr>
              <w:t>b</w:t>
            </w:r>
            <w:r w:rsidRPr="00186A21">
              <w:rPr>
                <w:b/>
                <w:sz w:val="18"/>
                <w:szCs w:val="18"/>
                <w:vertAlign w:val="subscript"/>
              </w:rPr>
              <w:t>4</w:t>
            </w:r>
            <w:r w:rsidRPr="00186A21">
              <w:rPr>
                <w:b/>
                <w:sz w:val="18"/>
                <w:szCs w:val="18"/>
              </w:rPr>
              <w:t>, b</w:t>
            </w:r>
            <w:r w:rsidRPr="00186A21">
              <w:rPr>
                <w:b/>
                <w:sz w:val="18"/>
                <w:szCs w:val="18"/>
                <w:vertAlign w:val="subscript"/>
              </w:rPr>
              <w:t>5</w:t>
            </w:r>
            <w:r w:rsidRPr="00186A21">
              <w:rPr>
                <w:b/>
                <w:sz w:val="18"/>
                <w:szCs w:val="18"/>
              </w:rPr>
              <w:t>, b</w:t>
            </w:r>
            <w:r w:rsidRPr="00186A21">
              <w:rPr>
                <w:b/>
                <w:sz w:val="18"/>
                <w:szCs w:val="18"/>
                <w:vertAlign w:val="subscript"/>
              </w:rPr>
              <w:t>6</w:t>
            </w:r>
            <w:r w:rsidRPr="00186A21">
              <w:rPr>
                <w:b/>
                <w:sz w:val="18"/>
                <w:szCs w:val="18"/>
              </w:rPr>
              <w:t>]</w:t>
            </w:r>
          </w:p>
        </w:tc>
        <w:tc>
          <w:tcPr>
            <w:tcW w:w="2340" w:type="dxa"/>
            <w:tcBorders>
              <w:top w:val="single" w:sz="2" w:space="0" w:color="auto"/>
              <w:left w:val="single" w:sz="2" w:space="0" w:color="auto"/>
              <w:bottom w:val="single" w:sz="18" w:space="0" w:color="auto"/>
              <w:right w:val="single" w:sz="2" w:space="0" w:color="auto"/>
            </w:tcBorders>
            <w:shd w:val="clear" w:color="auto" w:fill="F2F2F2" w:themeFill="background1" w:themeFillShade="F2"/>
            <w:vAlign w:val="center"/>
          </w:tcPr>
          <w:p w14:paraId="07B942A6" w14:textId="1355C597" w:rsidR="007732A7" w:rsidRPr="00186A21" w:rsidRDefault="007732A7" w:rsidP="0067573D">
            <w:pPr>
              <w:jc w:val="center"/>
              <w:rPr>
                <w:b/>
                <w:sz w:val="18"/>
                <w:szCs w:val="18"/>
              </w:rPr>
            </w:pPr>
            <w:r w:rsidRPr="00186A21">
              <w:rPr>
                <w:b/>
                <w:sz w:val="18"/>
                <w:szCs w:val="18"/>
              </w:rPr>
              <w:t>IMO (2020)</w:t>
            </w:r>
            <w:r w:rsidR="00185728">
              <w:rPr>
                <w:rFonts w:eastAsia="Times New Roman"/>
                <w:color w:val="000000"/>
              </w:rPr>
              <w:fldChar w:fldCharType="begin"/>
            </w:r>
            <w:r w:rsidR="00C61E16">
              <w:rPr>
                <w:rFonts w:eastAsia="Times New Roman"/>
                <w:color w:val="000000"/>
              </w:rPr>
              <w:instrText xml:space="preserve"> ADDIN ZOTERO_ITEM CSL_CITATION {"citationID":"GwHi4hSU","properties":{"formattedCitation":"\\super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185728">
              <w:rPr>
                <w:rFonts w:eastAsia="Times New Roman"/>
                <w:color w:val="000000"/>
              </w:rPr>
              <w:fldChar w:fldCharType="separate"/>
            </w:r>
            <w:r w:rsidR="00C61E16" w:rsidRPr="00C61E16">
              <w:rPr>
                <w:rFonts w:cs="Times New Roman"/>
                <w:szCs w:val="24"/>
                <w:vertAlign w:val="superscript"/>
              </w:rPr>
              <w:t>7</w:t>
            </w:r>
            <w:r w:rsidR="00185728">
              <w:rPr>
                <w:rFonts w:eastAsia="Times New Roman"/>
                <w:color w:val="000000"/>
              </w:rPr>
              <w:fldChar w:fldCharType="end"/>
            </w:r>
          </w:p>
          <w:p w14:paraId="693EA010" w14:textId="77777777" w:rsidR="007732A7" w:rsidRPr="00186A21" w:rsidRDefault="007732A7" w:rsidP="0067573D">
            <w:pPr>
              <w:jc w:val="center"/>
              <w:rPr>
                <w:b/>
                <w:sz w:val="18"/>
                <w:szCs w:val="18"/>
              </w:rPr>
            </w:pPr>
            <w:r w:rsidRPr="00186A21">
              <w:rPr>
                <w:b/>
                <w:sz w:val="18"/>
                <w:szCs w:val="18"/>
              </w:rPr>
              <w:t>[a</w:t>
            </w:r>
            <w:r w:rsidRPr="00186A21">
              <w:rPr>
                <w:b/>
                <w:sz w:val="18"/>
                <w:szCs w:val="18"/>
                <w:vertAlign w:val="subscript"/>
              </w:rPr>
              <w:t>0</w:t>
            </w:r>
            <w:r w:rsidRPr="00186A21">
              <w:rPr>
                <w:b/>
                <w:sz w:val="18"/>
                <w:szCs w:val="18"/>
              </w:rPr>
              <w:t>, a</w:t>
            </w:r>
            <w:r w:rsidRPr="00186A21">
              <w:rPr>
                <w:b/>
                <w:sz w:val="18"/>
                <w:szCs w:val="18"/>
                <w:vertAlign w:val="subscript"/>
              </w:rPr>
              <w:t>1</w:t>
            </w:r>
            <w:r w:rsidRPr="00186A21">
              <w:rPr>
                <w:b/>
                <w:sz w:val="18"/>
                <w:szCs w:val="18"/>
              </w:rPr>
              <w:t>, a</w:t>
            </w:r>
            <w:r w:rsidRPr="00186A21">
              <w:rPr>
                <w:b/>
                <w:sz w:val="18"/>
                <w:szCs w:val="18"/>
                <w:vertAlign w:val="subscript"/>
              </w:rPr>
              <w:t>2</w:t>
            </w:r>
            <w:r w:rsidRPr="00186A21">
              <w:rPr>
                <w:b/>
                <w:sz w:val="18"/>
                <w:szCs w:val="18"/>
              </w:rPr>
              <w:t>, a</w:t>
            </w:r>
            <w:r w:rsidRPr="00186A21">
              <w:rPr>
                <w:b/>
                <w:sz w:val="18"/>
                <w:szCs w:val="18"/>
                <w:vertAlign w:val="subscript"/>
              </w:rPr>
              <w:t>3</w:t>
            </w:r>
            <w:r w:rsidRPr="00186A21">
              <w:rPr>
                <w:b/>
                <w:sz w:val="18"/>
                <w:szCs w:val="18"/>
              </w:rPr>
              <w:t>]</w:t>
            </w:r>
          </w:p>
        </w:tc>
        <w:tc>
          <w:tcPr>
            <w:tcW w:w="1080"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tcPr>
          <w:p w14:paraId="228F63C6" w14:textId="77777777" w:rsidR="007732A7" w:rsidRPr="00186A21" w:rsidRDefault="007732A7" w:rsidP="0067573D">
            <w:pPr>
              <w:jc w:val="center"/>
              <w:rPr>
                <w:b/>
                <w:sz w:val="18"/>
                <w:szCs w:val="18"/>
              </w:rPr>
            </w:pPr>
            <w:r w:rsidRPr="00186A21">
              <w:rPr>
                <w:b/>
                <w:sz w:val="18"/>
                <w:szCs w:val="18"/>
              </w:rPr>
              <w:t>Suggested model</w:t>
            </w:r>
          </w:p>
        </w:tc>
        <w:tc>
          <w:tcPr>
            <w:tcW w:w="1067" w:type="dxa"/>
            <w:tcBorders>
              <w:top w:val="single" w:sz="2" w:space="0" w:color="auto"/>
              <w:left w:val="single" w:sz="2" w:space="0" w:color="auto"/>
              <w:bottom w:val="single" w:sz="18" w:space="0" w:color="auto"/>
              <w:right w:val="single" w:sz="2" w:space="0" w:color="auto"/>
            </w:tcBorders>
            <w:shd w:val="clear" w:color="auto" w:fill="F2F2F2" w:themeFill="background1" w:themeFillShade="F2"/>
            <w:vAlign w:val="center"/>
          </w:tcPr>
          <w:p w14:paraId="71F37439" w14:textId="0D257FA0" w:rsidR="007732A7" w:rsidRPr="00186A21" w:rsidRDefault="007732A7" w:rsidP="0067573D">
            <w:pPr>
              <w:jc w:val="center"/>
              <w:rPr>
                <w:b/>
                <w:sz w:val="18"/>
                <w:szCs w:val="18"/>
              </w:rPr>
            </w:pPr>
            <w:r w:rsidRPr="00186A21">
              <w:rPr>
                <w:b/>
                <w:sz w:val="18"/>
                <w:szCs w:val="18"/>
              </w:rPr>
              <w:t>IMO (2020)</w:t>
            </w:r>
            <w:r w:rsidR="00276E81">
              <w:rPr>
                <w:rFonts w:eastAsia="Times New Roman"/>
                <w:color w:val="000000"/>
              </w:rPr>
              <w:fldChar w:fldCharType="begin"/>
            </w:r>
            <w:r w:rsidR="00C61E16">
              <w:rPr>
                <w:rFonts w:eastAsia="Times New Roman"/>
                <w:color w:val="000000"/>
              </w:rPr>
              <w:instrText xml:space="preserve"> ADDIN ZOTERO_ITEM CSL_CITATION {"citationID":"1MLlfEZN","properties":{"formattedCitation":"\\super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276E81">
              <w:rPr>
                <w:rFonts w:eastAsia="Times New Roman"/>
                <w:color w:val="000000"/>
              </w:rPr>
              <w:fldChar w:fldCharType="separate"/>
            </w:r>
            <w:r w:rsidR="00C61E16" w:rsidRPr="00C61E16">
              <w:rPr>
                <w:rFonts w:cs="Times New Roman"/>
                <w:szCs w:val="24"/>
                <w:vertAlign w:val="superscript"/>
              </w:rPr>
              <w:t>7</w:t>
            </w:r>
            <w:r w:rsidR="00276E81">
              <w:rPr>
                <w:rFonts w:eastAsia="Times New Roman"/>
                <w:color w:val="000000"/>
              </w:rPr>
              <w:fldChar w:fldCharType="end"/>
            </w:r>
          </w:p>
        </w:tc>
      </w:tr>
      <w:tr w:rsidR="007732A7" w:rsidRPr="00022BA7" w14:paraId="396D2AAC" w14:textId="77777777" w:rsidTr="0067573D">
        <w:trPr>
          <w:trHeight w:val="286"/>
        </w:trPr>
        <w:tc>
          <w:tcPr>
            <w:tcW w:w="1345" w:type="dxa"/>
            <w:tcBorders>
              <w:top w:val="single" w:sz="18" w:space="0" w:color="auto"/>
            </w:tcBorders>
            <w:shd w:val="clear" w:color="auto" w:fill="auto"/>
            <w:noWrap/>
            <w:vAlign w:val="center"/>
            <w:hideMark/>
          </w:tcPr>
          <w:p w14:paraId="65BECD03" w14:textId="77777777" w:rsidR="007732A7" w:rsidRPr="00022BA7" w:rsidRDefault="007732A7" w:rsidP="0067573D">
            <w:pPr>
              <w:jc w:val="center"/>
              <w:rPr>
                <w:sz w:val="18"/>
                <w:szCs w:val="18"/>
              </w:rPr>
            </w:pPr>
            <w:r w:rsidRPr="00022BA7">
              <w:rPr>
                <w:sz w:val="18"/>
                <w:szCs w:val="18"/>
              </w:rPr>
              <w:t>Passenger</w:t>
            </w:r>
          </w:p>
        </w:tc>
        <w:tc>
          <w:tcPr>
            <w:tcW w:w="1172" w:type="dxa"/>
            <w:tcBorders>
              <w:top w:val="single" w:sz="18" w:space="0" w:color="auto"/>
            </w:tcBorders>
            <w:vAlign w:val="center"/>
          </w:tcPr>
          <w:p w14:paraId="63CBDC55" w14:textId="77777777" w:rsidR="007732A7" w:rsidRPr="00022BA7" w:rsidRDefault="007732A7" w:rsidP="0067573D">
            <w:pPr>
              <w:jc w:val="center"/>
              <w:rPr>
                <w:sz w:val="18"/>
                <w:szCs w:val="18"/>
              </w:rPr>
            </w:pPr>
            <w:r w:rsidRPr="00022BA7">
              <w:rPr>
                <w:sz w:val="18"/>
                <w:szCs w:val="18"/>
              </w:rPr>
              <w:t>382</w:t>
            </w:r>
          </w:p>
        </w:tc>
        <w:tc>
          <w:tcPr>
            <w:tcW w:w="2248" w:type="dxa"/>
            <w:tcBorders>
              <w:top w:val="single" w:sz="18" w:space="0" w:color="auto"/>
            </w:tcBorders>
            <w:vAlign w:val="center"/>
          </w:tcPr>
          <w:p w14:paraId="1ED08677" w14:textId="77777777" w:rsidR="007732A7" w:rsidRPr="00022BA7" w:rsidRDefault="007732A7" w:rsidP="0067573D">
            <w:pPr>
              <w:jc w:val="center"/>
              <w:rPr>
                <w:sz w:val="18"/>
                <w:szCs w:val="18"/>
              </w:rPr>
            </w:pPr>
            <w:r w:rsidRPr="00022BA7">
              <w:rPr>
                <w:sz w:val="18"/>
                <w:szCs w:val="18"/>
              </w:rPr>
              <w:t>[1.18, 0.372, -27.95,</w:t>
            </w:r>
          </w:p>
          <w:p w14:paraId="40C3580D" w14:textId="77777777" w:rsidR="007732A7" w:rsidRPr="00022BA7" w:rsidRDefault="007732A7" w:rsidP="0067573D">
            <w:pPr>
              <w:jc w:val="center"/>
              <w:rPr>
                <w:sz w:val="18"/>
                <w:szCs w:val="18"/>
              </w:rPr>
            </w:pPr>
            <w:r w:rsidRPr="00022BA7">
              <w:rPr>
                <w:sz w:val="18"/>
                <w:szCs w:val="18"/>
              </w:rPr>
              <w:t>-0.0004, 0.410, 2.949]</w:t>
            </w:r>
          </w:p>
        </w:tc>
        <w:tc>
          <w:tcPr>
            <w:tcW w:w="2340" w:type="dxa"/>
            <w:tcBorders>
              <w:top w:val="single" w:sz="18" w:space="0" w:color="auto"/>
            </w:tcBorders>
            <w:vAlign w:val="center"/>
          </w:tcPr>
          <w:p w14:paraId="2115B5E1" w14:textId="77777777" w:rsidR="007732A7" w:rsidRPr="00022BA7" w:rsidRDefault="007732A7" w:rsidP="0067573D">
            <w:pPr>
              <w:jc w:val="center"/>
              <w:rPr>
                <w:sz w:val="18"/>
                <w:szCs w:val="18"/>
              </w:rPr>
            </w:pPr>
            <w:r w:rsidRPr="00022BA7">
              <w:rPr>
                <w:sz w:val="18"/>
                <w:szCs w:val="18"/>
              </w:rPr>
              <w:t>[-1650, 0.874, 32.6, 103]</w:t>
            </w:r>
          </w:p>
        </w:tc>
        <w:tc>
          <w:tcPr>
            <w:tcW w:w="1080" w:type="dxa"/>
            <w:tcBorders>
              <w:top w:val="single" w:sz="18" w:space="0" w:color="auto"/>
            </w:tcBorders>
            <w:shd w:val="clear" w:color="auto" w:fill="auto"/>
            <w:noWrap/>
            <w:vAlign w:val="center"/>
          </w:tcPr>
          <w:p w14:paraId="58EF3355" w14:textId="77777777" w:rsidR="007732A7" w:rsidRPr="00022BA7" w:rsidRDefault="007732A7" w:rsidP="0067573D">
            <w:pPr>
              <w:jc w:val="center"/>
              <w:rPr>
                <w:sz w:val="18"/>
                <w:szCs w:val="18"/>
              </w:rPr>
            </w:pPr>
            <w:r w:rsidRPr="00022BA7">
              <w:rPr>
                <w:sz w:val="18"/>
                <w:szCs w:val="18"/>
              </w:rPr>
              <w:t>0.680</w:t>
            </w:r>
          </w:p>
        </w:tc>
        <w:tc>
          <w:tcPr>
            <w:tcW w:w="1067" w:type="dxa"/>
            <w:tcBorders>
              <w:top w:val="single" w:sz="18" w:space="0" w:color="auto"/>
            </w:tcBorders>
            <w:vAlign w:val="center"/>
          </w:tcPr>
          <w:p w14:paraId="6B911F5D" w14:textId="77777777" w:rsidR="007732A7" w:rsidRPr="00022BA7" w:rsidRDefault="007732A7" w:rsidP="0067573D">
            <w:pPr>
              <w:jc w:val="center"/>
              <w:rPr>
                <w:sz w:val="18"/>
                <w:szCs w:val="18"/>
              </w:rPr>
            </w:pPr>
            <w:r w:rsidRPr="00022BA7">
              <w:rPr>
                <w:sz w:val="18"/>
                <w:szCs w:val="18"/>
              </w:rPr>
              <w:t>0.666</w:t>
            </w:r>
          </w:p>
        </w:tc>
      </w:tr>
      <w:tr w:rsidR="007732A7" w:rsidRPr="00022BA7" w14:paraId="7B6AA9FA" w14:textId="77777777" w:rsidTr="0067573D">
        <w:trPr>
          <w:trHeight w:val="286"/>
        </w:trPr>
        <w:tc>
          <w:tcPr>
            <w:tcW w:w="1345" w:type="dxa"/>
            <w:shd w:val="clear" w:color="auto" w:fill="auto"/>
            <w:noWrap/>
            <w:vAlign w:val="center"/>
          </w:tcPr>
          <w:p w14:paraId="2C0AD3F0" w14:textId="77777777" w:rsidR="007732A7" w:rsidRPr="00022BA7" w:rsidRDefault="007732A7" w:rsidP="0067573D">
            <w:pPr>
              <w:jc w:val="center"/>
              <w:rPr>
                <w:sz w:val="18"/>
                <w:szCs w:val="18"/>
              </w:rPr>
            </w:pPr>
            <w:r w:rsidRPr="00022BA7">
              <w:rPr>
                <w:sz w:val="18"/>
                <w:szCs w:val="18"/>
              </w:rPr>
              <w:t>Tug (Coastal-Harbor)</w:t>
            </w:r>
          </w:p>
        </w:tc>
        <w:tc>
          <w:tcPr>
            <w:tcW w:w="1172" w:type="dxa"/>
            <w:vAlign w:val="center"/>
          </w:tcPr>
          <w:p w14:paraId="367174A8" w14:textId="77777777" w:rsidR="007732A7" w:rsidRPr="00022BA7" w:rsidRDefault="007732A7" w:rsidP="0067573D">
            <w:pPr>
              <w:jc w:val="center"/>
              <w:rPr>
                <w:sz w:val="18"/>
                <w:szCs w:val="18"/>
              </w:rPr>
            </w:pPr>
            <w:r w:rsidRPr="00022BA7">
              <w:rPr>
                <w:sz w:val="18"/>
                <w:szCs w:val="18"/>
              </w:rPr>
              <w:t>1496</w:t>
            </w:r>
          </w:p>
        </w:tc>
        <w:tc>
          <w:tcPr>
            <w:tcW w:w="2248" w:type="dxa"/>
            <w:vAlign w:val="center"/>
          </w:tcPr>
          <w:p w14:paraId="39951C09" w14:textId="77777777" w:rsidR="007732A7" w:rsidRPr="00022BA7" w:rsidRDefault="007732A7" w:rsidP="0067573D">
            <w:pPr>
              <w:jc w:val="center"/>
              <w:rPr>
                <w:sz w:val="18"/>
                <w:szCs w:val="18"/>
              </w:rPr>
            </w:pPr>
            <w:r w:rsidRPr="00022BA7">
              <w:rPr>
                <w:sz w:val="18"/>
                <w:szCs w:val="18"/>
              </w:rPr>
              <w:t>[6.683, -4.62, -16.9,</w:t>
            </w:r>
          </w:p>
          <w:p w14:paraId="2861584B" w14:textId="77777777" w:rsidR="007732A7" w:rsidRPr="00022BA7" w:rsidRDefault="007732A7" w:rsidP="0067573D">
            <w:pPr>
              <w:jc w:val="center"/>
              <w:rPr>
                <w:sz w:val="18"/>
                <w:szCs w:val="18"/>
              </w:rPr>
            </w:pPr>
            <w:r w:rsidRPr="00022BA7">
              <w:rPr>
                <w:sz w:val="18"/>
                <w:szCs w:val="18"/>
              </w:rPr>
              <w:t>-0.0022, 0.0616, 6.68]</w:t>
            </w:r>
          </w:p>
        </w:tc>
        <w:tc>
          <w:tcPr>
            <w:tcW w:w="2340" w:type="dxa"/>
            <w:vAlign w:val="center"/>
          </w:tcPr>
          <w:p w14:paraId="3984F29D" w14:textId="77777777" w:rsidR="007732A7" w:rsidRPr="00022BA7" w:rsidRDefault="007732A7" w:rsidP="0067573D">
            <w:pPr>
              <w:jc w:val="center"/>
              <w:rPr>
                <w:sz w:val="18"/>
                <w:szCs w:val="18"/>
              </w:rPr>
            </w:pPr>
            <w:r w:rsidRPr="00022BA7">
              <w:rPr>
                <w:sz w:val="18"/>
                <w:szCs w:val="18"/>
              </w:rPr>
              <w:t>[-1130, 4.73, 11.5, 154]</w:t>
            </w:r>
          </w:p>
        </w:tc>
        <w:tc>
          <w:tcPr>
            <w:tcW w:w="1080" w:type="dxa"/>
            <w:shd w:val="clear" w:color="auto" w:fill="auto"/>
            <w:noWrap/>
            <w:vAlign w:val="center"/>
          </w:tcPr>
          <w:p w14:paraId="3C5C41CF" w14:textId="77777777" w:rsidR="007732A7" w:rsidRPr="00022BA7" w:rsidRDefault="007732A7" w:rsidP="0067573D">
            <w:pPr>
              <w:jc w:val="center"/>
              <w:rPr>
                <w:sz w:val="18"/>
                <w:szCs w:val="18"/>
              </w:rPr>
            </w:pPr>
            <w:r w:rsidRPr="00022BA7">
              <w:rPr>
                <w:sz w:val="18"/>
                <w:szCs w:val="18"/>
              </w:rPr>
              <w:t>0.657</w:t>
            </w:r>
          </w:p>
        </w:tc>
        <w:tc>
          <w:tcPr>
            <w:tcW w:w="1067" w:type="dxa"/>
            <w:vAlign w:val="center"/>
          </w:tcPr>
          <w:p w14:paraId="3A5574B2" w14:textId="77777777" w:rsidR="007732A7" w:rsidRPr="00022BA7" w:rsidRDefault="007732A7" w:rsidP="0067573D">
            <w:pPr>
              <w:jc w:val="center"/>
              <w:rPr>
                <w:sz w:val="18"/>
                <w:szCs w:val="18"/>
              </w:rPr>
            </w:pPr>
            <w:r w:rsidRPr="00022BA7">
              <w:rPr>
                <w:sz w:val="18"/>
                <w:szCs w:val="18"/>
              </w:rPr>
              <w:t>0.659</w:t>
            </w:r>
          </w:p>
        </w:tc>
      </w:tr>
      <w:tr w:rsidR="007732A7" w:rsidRPr="00022BA7" w14:paraId="42604F46" w14:textId="77777777" w:rsidTr="0067573D">
        <w:trPr>
          <w:trHeight w:val="286"/>
        </w:trPr>
        <w:tc>
          <w:tcPr>
            <w:tcW w:w="1345" w:type="dxa"/>
            <w:shd w:val="clear" w:color="auto" w:fill="auto"/>
            <w:noWrap/>
            <w:vAlign w:val="center"/>
          </w:tcPr>
          <w:p w14:paraId="4607C971" w14:textId="77777777" w:rsidR="007732A7" w:rsidRPr="00022BA7" w:rsidRDefault="007732A7" w:rsidP="0067573D">
            <w:pPr>
              <w:jc w:val="center"/>
              <w:rPr>
                <w:sz w:val="18"/>
                <w:szCs w:val="18"/>
              </w:rPr>
            </w:pPr>
            <w:r w:rsidRPr="00022BA7">
              <w:rPr>
                <w:sz w:val="18"/>
                <w:szCs w:val="18"/>
              </w:rPr>
              <w:t>Tug (Inland-Push Boats)</w:t>
            </w:r>
          </w:p>
        </w:tc>
        <w:tc>
          <w:tcPr>
            <w:tcW w:w="1172" w:type="dxa"/>
            <w:vAlign w:val="center"/>
          </w:tcPr>
          <w:p w14:paraId="33C7C400" w14:textId="77777777" w:rsidR="007732A7" w:rsidRPr="00022BA7" w:rsidRDefault="007732A7" w:rsidP="0067573D">
            <w:pPr>
              <w:jc w:val="center"/>
              <w:rPr>
                <w:sz w:val="18"/>
                <w:szCs w:val="18"/>
              </w:rPr>
            </w:pPr>
            <w:r w:rsidRPr="00022BA7">
              <w:rPr>
                <w:sz w:val="18"/>
                <w:szCs w:val="18"/>
              </w:rPr>
              <w:t>994</w:t>
            </w:r>
          </w:p>
        </w:tc>
        <w:tc>
          <w:tcPr>
            <w:tcW w:w="2248" w:type="dxa"/>
            <w:vAlign w:val="center"/>
          </w:tcPr>
          <w:p w14:paraId="11B70693" w14:textId="77777777" w:rsidR="007732A7" w:rsidRPr="00022BA7" w:rsidRDefault="007732A7" w:rsidP="0067573D">
            <w:pPr>
              <w:jc w:val="center"/>
              <w:rPr>
                <w:sz w:val="18"/>
                <w:szCs w:val="18"/>
              </w:rPr>
            </w:pPr>
            <w:r w:rsidRPr="00022BA7">
              <w:rPr>
                <w:sz w:val="18"/>
                <w:szCs w:val="18"/>
              </w:rPr>
              <w:t>[1.06, 40.7, -62.0,</w:t>
            </w:r>
          </w:p>
          <w:p w14:paraId="3583EF53" w14:textId="77777777" w:rsidR="007732A7" w:rsidRPr="00022BA7" w:rsidRDefault="007732A7" w:rsidP="0067573D">
            <w:pPr>
              <w:jc w:val="center"/>
              <w:rPr>
                <w:sz w:val="18"/>
                <w:szCs w:val="18"/>
              </w:rPr>
            </w:pPr>
            <w:r w:rsidRPr="00022BA7">
              <w:rPr>
                <w:sz w:val="18"/>
                <w:szCs w:val="18"/>
              </w:rPr>
              <w:t>0.0016, 0.434, 4.98]</w:t>
            </w:r>
          </w:p>
        </w:tc>
        <w:tc>
          <w:tcPr>
            <w:tcW w:w="2340" w:type="dxa"/>
            <w:vAlign w:val="center"/>
          </w:tcPr>
          <w:p w14:paraId="2181064A" w14:textId="77777777" w:rsidR="007732A7" w:rsidRPr="00022BA7" w:rsidRDefault="007732A7" w:rsidP="0067573D">
            <w:pPr>
              <w:jc w:val="center"/>
              <w:rPr>
                <w:sz w:val="18"/>
                <w:szCs w:val="18"/>
              </w:rPr>
            </w:pPr>
            <w:r w:rsidRPr="00022BA7">
              <w:rPr>
                <w:sz w:val="18"/>
                <w:szCs w:val="18"/>
              </w:rPr>
              <w:t>[-846, 2.87, 57.5, 35.5]</w:t>
            </w:r>
          </w:p>
        </w:tc>
        <w:tc>
          <w:tcPr>
            <w:tcW w:w="1080" w:type="dxa"/>
            <w:shd w:val="clear" w:color="auto" w:fill="auto"/>
            <w:noWrap/>
            <w:vAlign w:val="center"/>
          </w:tcPr>
          <w:p w14:paraId="6DDB1521" w14:textId="77777777" w:rsidR="007732A7" w:rsidRPr="00022BA7" w:rsidRDefault="007732A7" w:rsidP="0067573D">
            <w:pPr>
              <w:jc w:val="center"/>
              <w:rPr>
                <w:sz w:val="18"/>
                <w:szCs w:val="18"/>
              </w:rPr>
            </w:pPr>
            <w:r w:rsidRPr="00022BA7">
              <w:rPr>
                <w:sz w:val="18"/>
                <w:szCs w:val="18"/>
              </w:rPr>
              <w:t>0.887</w:t>
            </w:r>
          </w:p>
        </w:tc>
        <w:tc>
          <w:tcPr>
            <w:tcW w:w="1067" w:type="dxa"/>
            <w:vAlign w:val="center"/>
          </w:tcPr>
          <w:p w14:paraId="08C68170" w14:textId="77777777" w:rsidR="007732A7" w:rsidRPr="00022BA7" w:rsidRDefault="007732A7" w:rsidP="0067573D">
            <w:pPr>
              <w:jc w:val="center"/>
              <w:rPr>
                <w:sz w:val="18"/>
                <w:szCs w:val="18"/>
              </w:rPr>
            </w:pPr>
            <w:r w:rsidRPr="00022BA7">
              <w:rPr>
                <w:sz w:val="18"/>
                <w:szCs w:val="18"/>
              </w:rPr>
              <w:t>0.880</w:t>
            </w:r>
          </w:p>
        </w:tc>
      </w:tr>
      <w:tr w:rsidR="007732A7" w:rsidRPr="00022BA7" w14:paraId="7D91E186" w14:textId="77777777" w:rsidTr="0067573D">
        <w:trPr>
          <w:trHeight w:val="286"/>
        </w:trPr>
        <w:tc>
          <w:tcPr>
            <w:tcW w:w="1345" w:type="dxa"/>
            <w:shd w:val="clear" w:color="auto" w:fill="auto"/>
            <w:noWrap/>
            <w:vAlign w:val="center"/>
          </w:tcPr>
          <w:p w14:paraId="03CE0301" w14:textId="77777777" w:rsidR="007732A7" w:rsidRPr="00022BA7" w:rsidRDefault="007732A7" w:rsidP="0067573D">
            <w:pPr>
              <w:jc w:val="center"/>
              <w:rPr>
                <w:sz w:val="18"/>
                <w:szCs w:val="18"/>
              </w:rPr>
            </w:pPr>
            <w:r w:rsidRPr="00022BA7">
              <w:rPr>
                <w:sz w:val="18"/>
                <w:szCs w:val="18"/>
              </w:rPr>
              <w:t>Tug (ATB)</w:t>
            </w:r>
          </w:p>
        </w:tc>
        <w:tc>
          <w:tcPr>
            <w:tcW w:w="1172" w:type="dxa"/>
            <w:vAlign w:val="center"/>
          </w:tcPr>
          <w:p w14:paraId="1155F749" w14:textId="77777777" w:rsidR="007732A7" w:rsidRPr="00022BA7" w:rsidRDefault="007732A7" w:rsidP="0067573D">
            <w:pPr>
              <w:jc w:val="center"/>
              <w:rPr>
                <w:sz w:val="18"/>
                <w:szCs w:val="18"/>
              </w:rPr>
            </w:pPr>
            <w:r w:rsidRPr="00022BA7">
              <w:rPr>
                <w:sz w:val="18"/>
                <w:szCs w:val="18"/>
              </w:rPr>
              <w:t>92</w:t>
            </w:r>
          </w:p>
        </w:tc>
        <w:tc>
          <w:tcPr>
            <w:tcW w:w="2248" w:type="dxa"/>
            <w:vAlign w:val="center"/>
          </w:tcPr>
          <w:p w14:paraId="29FC6EA8" w14:textId="77777777" w:rsidR="007732A7" w:rsidRPr="00022BA7" w:rsidRDefault="007732A7" w:rsidP="0067573D">
            <w:pPr>
              <w:jc w:val="center"/>
              <w:rPr>
                <w:sz w:val="18"/>
                <w:szCs w:val="18"/>
              </w:rPr>
            </w:pPr>
            <w:r w:rsidRPr="00022BA7">
              <w:rPr>
                <w:sz w:val="18"/>
                <w:szCs w:val="18"/>
              </w:rPr>
              <w:t>[-0.815, 149, -85.7,</w:t>
            </w:r>
          </w:p>
          <w:p w14:paraId="542DF347" w14:textId="77777777" w:rsidR="007732A7" w:rsidRPr="00022BA7" w:rsidRDefault="007732A7" w:rsidP="0067573D">
            <w:pPr>
              <w:jc w:val="center"/>
              <w:rPr>
                <w:sz w:val="18"/>
                <w:szCs w:val="18"/>
              </w:rPr>
            </w:pPr>
            <w:r w:rsidRPr="00022BA7">
              <w:rPr>
                <w:sz w:val="18"/>
                <w:szCs w:val="18"/>
              </w:rPr>
              <w:t>0.005, -1.50, 0.594]</w:t>
            </w:r>
          </w:p>
        </w:tc>
        <w:tc>
          <w:tcPr>
            <w:tcW w:w="2340" w:type="dxa"/>
            <w:vAlign w:val="center"/>
          </w:tcPr>
          <w:p w14:paraId="01DAD93E" w14:textId="77777777" w:rsidR="007732A7" w:rsidRPr="00022BA7" w:rsidRDefault="007732A7" w:rsidP="0067573D">
            <w:pPr>
              <w:jc w:val="center"/>
              <w:rPr>
                <w:sz w:val="18"/>
                <w:szCs w:val="18"/>
              </w:rPr>
            </w:pPr>
            <w:r w:rsidRPr="00022BA7">
              <w:rPr>
                <w:sz w:val="18"/>
                <w:szCs w:val="18"/>
              </w:rPr>
              <w:t>[-1090, 4.80, 59.6, -0.821]</w:t>
            </w:r>
          </w:p>
        </w:tc>
        <w:tc>
          <w:tcPr>
            <w:tcW w:w="1080" w:type="dxa"/>
            <w:shd w:val="clear" w:color="auto" w:fill="auto"/>
            <w:noWrap/>
            <w:vAlign w:val="center"/>
          </w:tcPr>
          <w:p w14:paraId="43CCC8F5" w14:textId="77777777" w:rsidR="007732A7" w:rsidRPr="00022BA7" w:rsidRDefault="007732A7" w:rsidP="0067573D">
            <w:pPr>
              <w:jc w:val="center"/>
              <w:rPr>
                <w:sz w:val="18"/>
                <w:szCs w:val="18"/>
              </w:rPr>
            </w:pPr>
            <w:r w:rsidRPr="00022BA7">
              <w:rPr>
                <w:sz w:val="18"/>
                <w:szCs w:val="18"/>
              </w:rPr>
              <w:t>0.725</w:t>
            </w:r>
          </w:p>
        </w:tc>
        <w:tc>
          <w:tcPr>
            <w:tcW w:w="1067" w:type="dxa"/>
            <w:vAlign w:val="center"/>
          </w:tcPr>
          <w:p w14:paraId="22464A02" w14:textId="77777777" w:rsidR="007732A7" w:rsidRPr="00022BA7" w:rsidRDefault="007732A7" w:rsidP="0067573D">
            <w:pPr>
              <w:jc w:val="center"/>
              <w:rPr>
                <w:sz w:val="18"/>
                <w:szCs w:val="18"/>
              </w:rPr>
            </w:pPr>
            <w:r w:rsidRPr="00022BA7">
              <w:rPr>
                <w:sz w:val="18"/>
                <w:szCs w:val="18"/>
              </w:rPr>
              <w:t>0.693</w:t>
            </w:r>
          </w:p>
        </w:tc>
      </w:tr>
    </w:tbl>
    <w:p w14:paraId="6085D7BA" w14:textId="77777777" w:rsidR="007732A7" w:rsidRPr="00022BA7" w:rsidRDefault="007732A7" w:rsidP="007732A7"/>
    <w:p w14:paraId="1374DC90" w14:textId="52686678" w:rsidR="009B1D80" w:rsidRDefault="009B1D80" w:rsidP="009B1D80"/>
    <w:p w14:paraId="0A2FF498" w14:textId="6CC72D61" w:rsidR="009B1D80" w:rsidRDefault="009B1D80" w:rsidP="009B1D80"/>
    <w:p w14:paraId="3024CAFD" w14:textId="0E8C235B" w:rsidR="009B1D80" w:rsidRDefault="009B1D80" w:rsidP="009B1D80"/>
    <w:p w14:paraId="31350C90" w14:textId="5B2FB41F" w:rsidR="009B1D80" w:rsidRDefault="009B1D80" w:rsidP="009B1D80"/>
    <w:p w14:paraId="501DF1DC" w14:textId="27D474A4" w:rsidR="009B1D80" w:rsidRDefault="009B1D80" w:rsidP="009B1D80"/>
    <w:p w14:paraId="1C8B8AC0" w14:textId="77777777" w:rsidR="009B1D80" w:rsidRDefault="009B1D80" w:rsidP="009B1D80"/>
    <w:p w14:paraId="0715570B" w14:textId="77777777" w:rsidR="00D91288" w:rsidRPr="00022BA7" w:rsidRDefault="00D91288" w:rsidP="009B1D80"/>
    <w:p w14:paraId="742E9495" w14:textId="77777777" w:rsidR="007732A7" w:rsidRDefault="00BC1F06" w:rsidP="009B1D80">
      <w:pPr>
        <w:rPr>
          <w:color w:val="1F497D" w:themeColor="text2"/>
        </w:rPr>
      </w:pPr>
      <w:r w:rsidRPr="00022BA7">
        <w:rPr>
          <w:color w:val="1F497D" w:themeColor="text2"/>
        </w:rPr>
        <w:br w:type="page"/>
      </w:r>
    </w:p>
    <w:p w14:paraId="09343829" w14:textId="050AA006" w:rsidR="007732A7" w:rsidRPr="00022BA7" w:rsidRDefault="00166350" w:rsidP="007732A7">
      <w:pPr>
        <w:pStyle w:val="Caption"/>
        <w:keepNext/>
        <w:spacing w:line="240" w:lineRule="auto"/>
      </w:pPr>
      <w:bookmarkStart w:id="111" w:name="_Ref144852158"/>
      <w:bookmarkStart w:id="112" w:name="_Toc146723132"/>
      <w:r>
        <w:t xml:space="preserve">Supplementary </w:t>
      </w:r>
      <w:r w:rsidR="007732A7" w:rsidRPr="00022BA7">
        <w:t xml:space="preserve">Table </w:t>
      </w:r>
      <w:r w:rsidR="00590C69">
        <w:fldChar w:fldCharType="begin"/>
      </w:r>
      <w:r w:rsidR="00590C69">
        <w:instrText xml:space="preserve"> SEQ Table \* ARABIC </w:instrText>
      </w:r>
      <w:r w:rsidR="00590C69">
        <w:fldChar w:fldCharType="separate"/>
      </w:r>
      <w:r w:rsidR="00C661AC">
        <w:rPr>
          <w:noProof/>
        </w:rPr>
        <w:t>7</w:t>
      </w:r>
      <w:r w:rsidR="00590C69">
        <w:rPr>
          <w:noProof/>
        </w:rPr>
        <w:fldChar w:fldCharType="end"/>
      </w:r>
      <w:bookmarkEnd w:id="111"/>
      <w:r w:rsidR="007732A7" w:rsidRPr="00022BA7">
        <w:t xml:space="preserve">. Parameters for Estimating </w:t>
      </w:r>
      <w:r w:rsidR="007732A7">
        <w:t xml:space="preserve">Main Engine </w:t>
      </w:r>
      <w:r w:rsidR="007732A7" w:rsidRPr="00022BA7">
        <w:t>Capacity</w:t>
      </w:r>
      <w:r w:rsidR="008871EE">
        <w:fldChar w:fldCharType="begin"/>
      </w:r>
      <w:r w:rsidR="00C61E16">
        <w:instrText xml:space="preserve"> ADDIN ZOTERO_ITEM CSL_CITATION {"citationID":"Bo1ScFTS","properties":{"formattedCitation":"\\super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8871EE">
        <w:fldChar w:fldCharType="separate"/>
      </w:r>
      <w:r w:rsidR="00C61E16" w:rsidRPr="00C61E16">
        <w:rPr>
          <w:szCs w:val="24"/>
          <w:vertAlign w:val="superscript"/>
        </w:rPr>
        <w:t>10</w:t>
      </w:r>
      <w:bookmarkEnd w:id="112"/>
      <w:r w:rsidR="008871EE">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9"/>
        <w:gridCol w:w="1645"/>
        <w:gridCol w:w="1645"/>
      </w:tblGrid>
      <w:tr w:rsidR="007732A7" w:rsidRPr="00302AA1" w14:paraId="2C23C10D" w14:textId="77777777" w:rsidTr="0067573D">
        <w:trPr>
          <w:trHeight w:val="327"/>
        </w:trPr>
        <w:tc>
          <w:tcPr>
            <w:tcW w:w="1969"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335B407B" w14:textId="77777777" w:rsidR="007732A7" w:rsidRPr="00FF3945" w:rsidRDefault="007732A7" w:rsidP="0067573D">
            <w:pPr>
              <w:jc w:val="center"/>
              <w:rPr>
                <w:b/>
                <w:bCs/>
                <w:sz w:val="18"/>
                <w:szCs w:val="18"/>
              </w:rPr>
            </w:pPr>
            <w:r w:rsidRPr="00FF3945">
              <w:rPr>
                <w:b/>
                <w:bCs/>
                <w:sz w:val="18"/>
                <w:szCs w:val="18"/>
              </w:rPr>
              <w:t>Ship Type (</w:t>
            </w:r>
            <m:oMath>
              <m:sSub>
                <m:sSubPr>
                  <m:ctrlPr>
                    <w:rPr>
                      <w:rFonts w:ascii="Cambria Math" w:hAnsi="Cambria Math"/>
                      <w:b/>
                      <w:bCs/>
                      <w:sz w:val="18"/>
                      <w:szCs w:val="18"/>
                    </w:rPr>
                  </m:ctrlPr>
                </m:sSubPr>
                <m:e>
                  <m:r>
                    <m:rPr>
                      <m:sty m:val="bi"/>
                    </m:rPr>
                    <w:rPr>
                      <w:rFonts w:ascii="Cambria Math" w:hAnsi="Cambria Math"/>
                      <w:sz w:val="18"/>
                      <w:szCs w:val="18"/>
                    </w:rPr>
                    <m:t>ST</m:t>
                  </m:r>
                </m:e>
                <m:sub>
                  <m:r>
                    <m:rPr>
                      <m:sty m:val="bi"/>
                    </m:rPr>
                    <w:rPr>
                      <w:rFonts w:ascii="Cambria Math" w:hAnsi="Cambria Math"/>
                      <w:sz w:val="18"/>
                      <w:szCs w:val="18"/>
                    </w:rPr>
                    <m:t>v</m:t>
                  </m:r>
                </m:sub>
              </m:sSub>
            </m:oMath>
            <w:r w:rsidRPr="00FF3945">
              <w:rPr>
                <w:b/>
                <w:bCs/>
                <w:sz w:val="18"/>
                <w:szCs w:val="18"/>
              </w:rPr>
              <w:t>)</w:t>
            </w:r>
          </w:p>
        </w:tc>
        <w:tc>
          <w:tcPr>
            <w:tcW w:w="1645" w:type="dxa"/>
            <w:tcBorders>
              <w:top w:val="single" w:sz="18" w:space="0" w:color="auto"/>
              <w:left w:val="single" w:sz="2" w:space="0" w:color="auto"/>
              <w:bottom w:val="single" w:sz="18" w:space="0" w:color="auto"/>
              <w:right w:val="single" w:sz="2" w:space="0" w:color="auto"/>
            </w:tcBorders>
            <w:shd w:val="clear" w:color="auto" w:fill="F2F2F2" w:themeFill="background1" w:themeFillShade="F2"/>
            <w:vAlign w:val="center"/>
          </w:tcPr>
          <w:p w14:paraId="4EC58261" w14:textId="77777777" w:rsidR="007732A7" w:rsidRPr="00FF3945" w:rsidRDefault="00590C69" w:rsidP="0067573D">
            <w:pPr>
              <w:jc w:val="center"/>
              <w:rPr>
                <w:b/>
                <w:bCs/>
                <w:sz w:val="18"/>
                <w:szCs w:val="18"/>
              </w:rPr>
            </w:pPr>
            <m:oMathPara>
              <m:oMath>
                <m:sSub>
                  <m:sSubPr>
                    <m:ctrlPr>
                      <w:rPr>
                        <w:rFonts w:ascii="Cambria Math" w:hAnsi="Cambria Math"/>
                        <w:b/>
                        <w:bCs/>
                        <w:sz w:val="18"/>
                        <w:szCs w:val="18"/>
                      </w:rPr>
                    </m:ctrlPr>
                  </m:sSubPr>
                  <m:e>
                    <m:r>
                      <m:rPr>
                        <m:sty m:val="bi"/>
                      </m:rPr>
                      <w:rPr>
                        <w:rFonts w:ascii="Cambria Math" w:hAnsi="Cambria Math"/>
                        <w:sz w:val="18"/>
                        <w:szCs w:val="18"/>
                      </w:rPr>
                      <m:t>c</m:t>
                    </m:r>
                  </m:e>
                  <m:sub>
                    <m:r>
                      <m:rPr>
                        <m:sty m:val="b"/>
                      </m:rPr>
                      <w:rPr>
                        <w:rFonts w:ascii="Cambria Math" w:hAnsi="Cambria Math"/>
                        <w:sz w:val="18"/>
                        <w:szCs w:val="18"/>
                      </w:rPr>
                      <m:t xml:space="preserve">1, </m:t>
                    </m:r>
                    <m:sSub>
                      <m:sSubPr>
                        <m:ctrlPr>
                          <w:rPr>
                            <w:rFonts w:ascii="Cambria Math" w:hAnsi="Cambria Math"/>
                            <w:b/>
                            <w:bCs/>
                            <w:sz w:val="18"/>
                            <w:szCs w:val="18"/>
                          </w:rPr>
                        </m:ctrlPr>
                      </m:sSubPr>
                      <m:e>
                        <m:r>
                          <m:rPr>
                            <m:sty m:val="bi"/>
                          </m:rPr>
                          <w:rPr>
                            <w:rFonts w:ascii="Cambria Math" w:hAnsi="Cambria Math"/>
                            <w:sz w:val="18"/>
                            <w:szCs w:val="18"/>
                          </w:rPr>
                          <m:t>ST</m:t>
                        </m:r>
                      </m:e>
                      <m:sub>
                        <m:r>
                          <m:rPr>
                            <m:sty m:val="bi"/>
                          </m:rPr>
                          <w:rPr>
                            <w:rFonts w:ascii="Cambria Math" w:hAnsi="Cambria Math"/>
                            <w:sz w:val="18"/>
                            <w:szCs w:val="18"/>
                          </w:rPr>
                          <m:t>v</m:t>
                        </m:r>
                      </m:sub>
                    </m:sSub>
                  </m:sub>
                </m:sSub>
              </m:oMath>
            </m:oMathPara>
          </w:p>
        </w:tc>
        <w:tc>
          <w:tcPr>
            <w:tcW w:w="1645" w:type="dxa"/>
            <w:tcBorders>
              <w:top w:val="single" w:sz="18" w:space="0" w:color="auto"/>
              <w:left w:val="single" w:sz="2" w:space="0" w:color="auto"/>
              <w:bottom w:val="single" w:sz="18" w:space="0" w:color="auto"/>
              <w:right w:val="single" w:sz="2" w:space="0" w:color="auto"/>
            </w:tcBorders>
            <w:shd w:val="clear" w:color="auto" w:fill="F2F2F2" w:themeFill="background1" w:themeFillShade="F2"/>
            <w:vAlign w:val="center"/>
          </w:tcPr>
          <w:p w14:paraId="0A2798F6" w14:textId="77777777" w:rsidR="007732A7" w:rsidRPr="00FF3945" w:rsidRDefault="00590C69" w:rsidP="0067573D">
            <w:pPr>
              <w:jc w:val="center"/>
              <w:rPr>
                <w:b/>
                <w:bCs/>
                <w:sz w:val="18"/>
                <w:szCs w:val="18"/>
              </w:rPr>
            </w:pPr>
            <m:oMathPara>
              <m:oMath>
                <m:sSub>
                  <m:sSubPr>
                    <m:ctrlPr>
                      <w:rPr>
                        <w:rFonts w:ascii="Cambria Math" w:hAnsi="Cambria Math"/>
                        <w:b/>
                        <w:bCs/>
                        <w:sz w:val="18"/>
                        <w:szCs w:val="18"/>
                      </w:rPr>
                    </m:ctrlPr>
                  </m:sSubPr>
                  <m:e>
                    <m:r>
                      <m:rPr>
                        <m:sty m:val="bi"/>
                      </m:rPr>
                      <w:rPr>
                        <w:rFonts w:ascii="Cambria Math" w:hAnsi="Cambria Math"/>
                        <w:sz w:val="18"/>
                        <w:szCs w:val="18"/>
                      </w:rPr>
                      <m:t>c</m:t>
                    </m:r>
                  </m:e>
                  <m:sub>
                    <m:r>
                      <m:rPr>
                        <m:sty m:val="b"/>
                      </m:rPr>
                      <w:rPr>
                        <w:rFonts w:ascii="Cambria Math" w:hAnsi="Cambria Math"/>
                        <w:sz w:val="18"/>
                        <w:szCs w:val="18"/>
                      </w:rPr>
                      <m:t>2,</m:t>
                    </m:r>
                    <m:sSub>
                      <m:sSubPr>
                        <m:ctrlPr>
                          <w:rPr>
                            <w:rFonts w:ascii="Cambria Math" w:hAnsi="Cambria Math"/>
                            <w:b/>
                            <w:bCs/>
                            <w:sz w:val="18"/>
                            <w:szCs w:val="18"/>
                          </w:rPr>
                        </m:ctrlPr>
                      </m:sSubPr>
                      <m:e>
                        <m:r>
                          <m:rPr>
                            <m:sty m:val="bi"/>
                          </m:rPr>
                          <w:rPr>
                            <w:rFonts w:ascii="Cambria Math" w:hAnsi="Cambria Math"/>
                            <w:sz w:val="18"/>
                            <w:szCs w:val="18"/>
                          </w:rPr>
                          <m:t>ST</m:t>
                        </m:r>
                      </m:e>
                      <m:sub>
                        <m:r>
                          <m:rPr>
                            <m:sty m:val="bi"/>
                          </m:rPr>
                          <w:rPr>
                            <w:rFonts w:ascii="Cambria Math" w:hAnsi="Cambria Math"/>
                            <w:sz w:val="18"/>
                            <w:szCs w:val="18"/>
                          </w:rPr>
                          <m:t>v</m:t>
                        </m:r>
                      </m:sub>
                    </m:sSub>
                  </m:sub>
                </m:sSub>
              </m:oMath>
            </m:oMathPara>
          </w:p>
        </w:tc>
      </w:tr>
      <w:tr w:rsidR="007732A7" w:rsidRPr="00022BA7" w14:paraId="2505908A" w14:textId="77777777" w:rsidTr="0067573D">
        <w:trPr>
          <w:trHeight w:val="327"/>
        </w:trPr>
        <w:tc>
          <w:tcPr>
            <w:tcW w:w="1969" w:type="dxa"/>
            <w:tcBorders>
              <w:top w:val="single" w:sz="18" w:space="0" w:color="auto"/>
            </w:tcBorders>
            <w:shd w:val="clear" w:color="auto" w:fill="auto"/>
            <w:noWrap/>
            <w:vAlign w:val="center"/>
            <w:hideMark/>
          </w:tcPr>
          <w:p w14:paraId="72B1E596" w14:textId="77777777" w:rsidR="007732A7" w:rsidRPr="00022BA7" w:rsidRDefault="007732A7" w:rsidP="0067573D">
            <w:pPr>
              <w:rPr>
                <w:sz w:val="18"/>
                <w:szCs w:val="18"/>
              </w:rPr>
            </w:pPr>
            <w:r w:rsidRPr="00022BA7">
              <w:rPr>
                <w:sz w:val="18"/>
                <w:szCs w:val="18"/>
              </w:rPr>
              <w:t>General Cargo</w:t>
            </w:r>
          </w:p>
        </w:tc>
        <w:tc>
          <w:tcPr>
            <w:tcW w:w="1645" w:type="dxa"/>
            <w:tcBorders>
              <w:top w:val="single" w:sz="18" w:space="0" w:color="auto"/>
            </w:tcBorders>
            <w:vAlign w:val="center"/>
          </w:tcPr>
          <w:p w14:paraId="2DC1B1D7" w14:textId="77777777" w:rsidR="007732A7" w:rsidRPr="00022BA7" w:rsidRDefault="007732A7" w:rsidP="0067573D">
            <w:pPr>
              <w:jc w:val="right"/>
              <w:rPr>
                <w:sz w:val="18"/>
                <w:szCs w:val="18"/>
              </w:rPr>
            </w:pPr>
            <w:r w:rsidRPr="00022BA7">
              <w:rPr>
                <w:sz w:val="18"/>
                <w:szCs w:val="18"/>
              </w:rPr>
              <w:t>8.832</w:t>
            </w:r>
          </w:p>
        </w:tc>
        <w:tc>
          <w:tcPr>
            <w:tcW w:w="1645" w:type="dxa"/>
            <w:tcBorders>
              <w:top w:val="single" w:sz="18" w:space="0" w:color="auto"/>
            </w:tcBorders>
            <w:vAlign w:val="center"/>
          </w:tcPr>
          <w:p w14:paraId="7AD052CE" w14:textId="77777777" w:rsidR="007732A7" w:rsidRPr="00022BA7" w:rsidRDefault="007732A7" w:rsidP="0067573D">
            <w:pPr>
              <w:jc w:val="right"/>
              <w:rPr>
                <w:sz w:val="18"/>
                <w:szCs w:val="18"/>
              </w:rPr>
            </w:pPr>
            <w:r w:rsidRPr="00022BA7">
              <w:rPr>
                <w:sz w:val="18"/>
                <w:szCs w:val="18"/>
              </w:rPr>
              <w:t>0.678</w:t>
            </w:r>
          </w:p>
        </w:tc>
      </w:tr>
      <w:tr w:rsidR="007732A7" w:rsidRPr="00022BA7" w14:paraId="3FC33C33" w14:textId="77777777" w:rsidTr="0067573D">
        <w:trPr>
          <w:trHeight w:val="327"/>
        </w:trPr>
        <w:tc>
          <w:tcPr>
            <w:tcW w:w="1969" w:type="dxa"/>
            <w:shd w:val="clear" w:color="auto" w:fill="auto"/>
            <w:noWrap/>
            <w:vAlign w:val="center"/>
            <w:hideMark/>
          </w:tcPr>
          <w:p w14:paraId="6186C098" w14:textId="77777777" w:rsidR="007732A7" w:rsidRPr="00022BA7" w:rsidRDefault="007732A7" w:rsidP="0067573D">
            <w:pPr>
              <w:rPr>
                <w:sz w:val="18"/>
                <w:szCs w:val="18"/>
              </w:rPr>
            </w:pPr>
            <w:r w:rsidRPr="00022BA7">
              <w:rPr>
                <w:sz w:val="18"/>
                <w:szCs w:val="18"/>
              </w:rPr>
              <w:t>Tanker</w:t>
            </w:r>
          </w:p>
        </w:tc>
        <w:tc>
          <w:tcPr>
            <w:tcW w:w="1645" w:type="dxa"/>
            <w:vAlign w:val="center"/>
          </w:tcPr>
          <w:p w14:paraId="0997657B" w14:textId="77777777" w:rsidR="007732A7" w:rsidRPr="00022BA7" w:rsidRDefault="007732A7" w:rsidP="0067573D">
            <w:pPr>
              <w:jc w:val="right"/>
              <w:rPr>
                <w:sz w:val="18"/>
                <w:szCs w:val="18"/>
              </w:rPr>
            </w:pPr>
            <w:r w:rsidRPr="00022BA7">
              <w:rPr>
                <w:sz w:val="18"/>
                <w:szCs w:val="18"/>
              </w:rPr>
              <w:t>13.386</w:t>
            </w:r>
          </w:p>
        </w:tc>
        <w:tc>
          <w:tcPr>
            <w:tcW w:w="1645" w:type="dxa"/>
            <w:vAlign w:val="center"/>
          </w:tcPr>
          <w:p w14:paraId="101CE67E" w14:textId="77777777" w:rsidR="007732A7" w:rsidRPr="00022BA7" w:rsidRDefault="007732A7" w:rsidP="0067573D">
            <w:pPr>
              <w:jc w:val="right"/>
              <w:rPr>
                <w:sz w:val="18"/>
                <w:szCs w:val="18"/>
              </w:rPr>
            </w:pPr>
            <w:r w:rsidRPr="00022BA7">
              <w:rPr>
                <w:sz w:val="18"/>
                <w:szCs w:val="18"/>
              </w:rPr>
              <w:t>0.634</w:t>
            </w:r>
          </w:p>
        </w:tc>
      </w:tr>
      <w:tr w:rsidR="007732A7" w:rsidRPr="00022BA7" w14:paraId="590AFBE6" w14:textId="77777777" w:rsidTr="0067573D">
        <w:trPr>
          <w:trHeight w:val="327"/>
        </w:trPr>
        <w:tc>
          <w:tcPr>
            <w:tcW w:w="1969" w:type="dxa"/>
            <w:tcBorders>
              <w:bottom w:val="single" w:sz="4" w:space="0" w:color="auto"/>
            </w:tcBorders>
            <w:shd w:val="clear" w:color="auto" w:fill="auto"/>
            <w:noWrap/>
            <w:vAlign w:val="center"/>
          </w:tcPr>
          <w:p w14:paraId="3FE954DB" w14:textId="77777777" w:rsidR="007732A7" w:rsidRPr="00022BA7" w:rsidRDefault="007732A7" w:rsidP="0067573D">
            <w:pPr>
              <w:rPr>
                <w:sz w:val="18"/>
                <w:szCs w:val="18"/>
              </w:rPr>
            </w:pPr>
            <w:r w:rsidRPr="00022BA7">
              <w:rPr>
                <w:sz w:val="18"/>
                <w:szCs w:val="18"/>
              </w:rPr>
              <w:t>Passenger</w:t>
            </w:r>
          </w:p>
        </w:tc>
        <w:tc>
          <w:tcPr>
            <w:tcW w:w="1645" w:type="dxa"/>
            <w:tcBorders>
              <w:bottom w:val="single" w:sz="4" w:space="0" w:color="auto"/>
            </w:tcBorders>
            <w:vAlign w:val="center"/>
          </w:tcPr>
          <w:p w14:paraId="756937B6" w14:textId="77777777" w:rsidR="007732A7" w:rsidRPr="00022BA7" w:rsidRDefault="007732A7" w:rsidP="0067573D">
            <w:pPr>
              <w:jc w:val="right"/>
              <w:rPr>
                <w:sz w:val="18"/>
                <w:szCs w:val="18"/>
              </w:rPr>
            </w:pPr>
            <w:r w:rsidRPr="00022BA7">
              <w:rPr>
                <w:sz w:val="18"/>
                <w:szCs w:val="18"/>
              </w:rPr>
              <w:t>22.256</w:t>
            </w:r>
          </w:p>
        </w:tc>
        <w:tc>
          <w:tcPr>
            <w:tcW w:w="1645" w:type="dxa"/>
            <w:tcBorders>
              <w:bottom w:val="single" w:sz="4" w:space="0" w:color="auto"/>
            </w:tcBorders>
            <w:vAlign w:val="center"/>
          </w:tcPr>
          <w:p w14:paraId="608B3F5F" w14:textId="77777777" w:rsidR="007732A7" w:rsidRPr="00022BA7" w:rsidRDefault="007732A7" w:rsidP="0067573D">
            <w:pPr>
              <w:jc w:val="right"/>
              <w:rPr>
                <w:sz w:val="18"/>
                <w:szCs w:val="18"/>
              </w:rPr>
            </w:pPr>
            <w:r w:rsidRPr="00022BA7">
              <w:rPr>
                <w:sz w:val="18"/>
                <w:szCs w:val="18"/>
              </w:rPr>
              <w:t>0.659</w:t>
            </w:r>
          </w:p>
        </w:tc>
      </w:tr>
      <w:tr w:rsidR="007732A7" w:rsidRPr="00022BA7" w14:paraId="6639B1B8" w14:textId="77777777" w:rsidTr="0067573D">
        <w:trPr>
          <w:trHeight w:val="327"/>
        </w:trPr>
        <w:tc>
          <w:tcPr>
            <w:tcW w:w="1969" w:type="dxa"/>
            <w:tcBorders>
              <w:bottom w:val="single" w:sz="2" w:space="0" w:color="auto"/>
            </w:tcBorders>
            <w:shd w:val="clear" w:color="auto" w:fill="auto"/>
            <w:noWrap/>
            <w:vAlign w:val="center"/>
          </w:tcPr>
          <w:p w14:paraId="156E7EF9" w14:textId="77777777" w:rsidR="007732A7" w:rsidRPr="00022BA7" w:rsidRDefault="007732A7" w:rsidP="0067573D">
            <w:pPr>
              <w:rPr>
                <w:sz w:val="18"/>
                <w:szCs w:val="18"/>
              </w:rPr>
            </w:pPr>
            <w:r w:rsidRPr="00022BA7">
              <w:rPr>
                <w:sz w:val="18"/>
                <w:szCs w:val="18"/>
              </w:rPr>
              <w:t>Tugs</w:t>
            </w:r>
          </w:p>
        </w:tc>
        <w:tc>
          <w:tcPr>
            <w:tcW w:w="1645" w:type="dxa"/>
            <w:tcBorders>
              <w:bottom w:val="single" w:sz="2" w:space="0" w:color="auto"/>
            </w:tcBorders>
            <w:vAlign w:val="center"/>
          </w:tcPr>
          <w:p w14:paraId="4B09D6D2" w14:textId="77777777" w:rsidR="007732A7" w:rsidRPr="00022BA7" w:rsidRDefault="007732A7" w:rsidP="0067573D">
            <w:pPr>
              <w:jc w:val="right"/>
              <w:rPr>
                <w:sz w:val="18"/>
                <w:szCs w:val="18"/>
              </w:rPr>
            </w:pPr>
            <w:r w:rsidRPr="00022BA7">
              <w:rPr>
                <w:sz w:val="18"/>
                <w:szCs w:val="18"/>
              </w:rPr>
              <w:t>45.305</w:t>
            </w:r>
          </w:p>
        </w:tc>
        <w:tc>
          <w:tcPr>
            <w:tcW w:w="1645" w:type="dxa"/>
            <w:tcBorders>
              <w:bottom w:val="single" w:sz="2" w:space="0" w:color="auto"/>
            </w:tcBorders>
            <w:vAlign w:val="center"/>
          </w:tcPr>
          <w:p w14:paraId="53831140" w14:textId="77777777" w:rsidR="007732A7" w:rsidRPr="00022BA7" w:rsidRDefault="007732A7" w:rsidP="0067573D">
            <w:pPr>
              <w:jc w:val="right"/>
              <w:rPr>
                <w:sz w:val="18"/>
                <w:szCs w:val="18"/>
              </w:rPr>
            </w:pPr>
            <w:r w:rsidRPr="00022BA7">
              <w:rPr>
                <w:sz w:val="18"/>
                <w:szCs w:val="18"/>
              </w:rPr>
              <w:t>0.651</w:t>
            </w:r>
          </w:p>
        </w:tc>
      </w:tr>
    </w:tbl>
    <w:p w14:paraId="3D34A6F0" w14:textId="181E5EB5" w:rsidR="007732A7" w:rsidRDefault="007732A7" w:rsidP="009B1D80">
      <w:pPr>
        <w:rPr>
          <w:color w:val="1F497D" w:themeColor="text2"/>
        </w:rPr>
      </w:pPr>
    </w:p>
    <w:p w14:paraId="6023FD0D" w14:textId="1B72DB68" w:rsidR="007732A7" w:rsidRDefault="007732A7">
      <w:pPr>
        <w:widowControl/>
        <w:spacing w:line="240" w:lineRule="auto"/>
        <w:rPr>
          <w:color w:val="1F497D" w:themeColor="text2"/>
        </w:rPr>
      </w:pPr>
      <w:r>
        <w:rPr>
          <w:color w:val="1F497D" w:themeColor="text2"/>
        </w:rPr>
        <w:br w:type="page"/>
      </w:r>
    </w:p>
    <w:p w14:paraId="67CD8E17" w14:textId="66390AB1" w:rsidR="007732A7" w:rsidRPr="00022BA7" w:rsidRDefault="00166350" w:rsidP="007732A7">
      <w:pPr>
        <w:pStyle w:val="Caption"/>
        <w:keepNext/>
        <w:spacing w:line="240" w:lineRule="auto"/>
      </w:pPr>
      <w:bookmarkStart w:id="113" w:name="_Ref144852262"/>
      <w:bookmarkStart w:id="114" w:name="_Toc146723133"/>
      <w:r>
        <w:t xml:space="preserve">Supplementary </w:t>
      </w:r>
      <w:r w:rsidR="007732A7" w:rsidRPr="00022BA7">
        <w:t xml:space="preserve">Table </w:t>
      </w:r>
      <w:r w:rsidR="00590C69">
        <w:fldChar w:fldCharType="begin"/>
      </w:r>
      <w:r w:rsidR="00590C69">
        <w:instrText xml:space="preserve"> SEQ Table \* ARABIC </w:instrText>
      </w:r>
      <w:r w:rsidR="00590C69">
        <w:fldChar w:fldCharType="separate"/>
      </w:r>
      <w:r w:rsidR="00C661AC">
        <w:rPr>
          <w:noProof/>
        </w:rPr>
        <w:t>8</w:t>
      </w:r>
      <w:r w:rsidR="00590C69">
        <w:rPr>
          <w:noProof/>
        </w:rPr>
        <w:fldChar w:fldCharType="end"/>
      </w:r>
      <w:bookmarkEnd w:id="113"/>
      <w:r w:rsidR="007732A7" w:rsidRPr="00022BA7">
        <w:t>. Parameters for Estimating Auxiliary Engine</w:t>
      </w:r>
      <w:r w:rsidR="007732A7">
        <w:t xml:space="preserve"> Capacity</w:t>
      </w:r>
      <w:bookmarkEnd w:id="1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1599"/>
        <w:gridCol w:w="1599"/>
      </w:tblGrid>
      <w:tr w:rsidR="007732A7" w:rsidRPr="00022BA7" w14:paraId="11D36748" w14:textId="77777777" w:rsidTr="0067573D">
        <w:trPr>
          <w:trHeight w:val="300"/>
        </w:trPr>
        <w:tc>
          <w:tcPr>
            <w:tcW w:w="2785"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53D10004" w14:textId="77777777" w:rsidR="007732A7" w:rsidRPr="00022BA7" w:rsidRDefault="007732A7" w:rsidP="0067573D">
            <w:pPr>
              <w:spacing w:line="240" w:lineRule="auto"/>
              <w:jc w:val="center"/>
              <w:rPr>
                <w:b/>
              </w:rPr>
            </w:pPr>
            <w:r w:rsidRPr="00022BA7">
              <w:rPr>
                <w:b/>
              </w:rPr>
              <w:t>Ship Type (</w:t>
            </w:r>
            <m:oMath>
              <m:sSub>
                <m:sSubPr>
                  <m:ctrlPr>
                    <w:rPr>
                      <w:rFonts w:ascii="Cambria Math" w:hAnsi="Cambria Math"/>
                      <w:b/>
                      <w:i/>
                    </w:rPr>
                  </m:ctrlPr>
                </m:sSubPr>
                <m:e>
                  <m:r>
                    <m:rPr>
                      <m:sty m:val="bi"/>
                    </m:rPr>
                    <w:rPr>
                      <w:rFonts w:ascii="Cambria Math" w:hAnsi="Cambria Math"/>
                    </w:rPr>
                    <m:t>ST</m:t>
                  </m:r>
                </m:e>
                <m:sub>
                  <m:r>
                    <m:rPr>
                      <m:sty m:val="bi"/>
                    </m:rPr>
                    <w:rPr>
                      <w:rFonts w:ascii="Cambria Math" w:hAnsi="Cambria Math"/>
                    </w:rPr>
                    <m:t>v</m:t>
                  </m:r>
                </m:sub>
              </m:sSub>
            </m:oMath>
            <w:r w:rsidRPr="00022BA7">
              <w:rPr>
                <w:b/>
              </w:rPr>
              <w:t>)</w:t>
            </w:r>
          </w:p>
        </w:tc>
        <w:tc>
          <w:tcPr>
            <w:tcW w:w="1599"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13FA765E" w14:textId="77777777" w:rsidR="007732A7" w:rsidRPr="00022BA7" w:rsidRDefault="00590C69" w:rsidP="0067573D">
            <w:pPr>
              <w:spacing w:line="240" w:lineRule="auto"/>
              <w:jc w:val="center"/>
              <w:rPr>
                <w:rFonts w:ascii="Arial" w:eastAsia="Malgun Gothic" w:hAnsi="Arial" w:cs="Arial"/>
                <w:b/>
              </w:rPr>
            </w:pPr>
            <m:oMathPara>
              <m:oMath>
                <m:sSub>
                  <m:sSubPr>
                    <m:ctrlPr>
                      <w:rPr>
                        <w:rFonts w:ascii="Cambria Math" w:hAnsi="Cambria Math"/>
                        <w:b/>
                        <w:i/>
                      </w:rPr>
                    </m:ctrlPr>
                  </m:sSubPr>
                  <m:e>
                    <m:r>
                      <m:rPr>
                        <m:sty m:val="bi"/>
                      </m:rPr>
                      <w:rPr>
                        <w:rFonts w:ascii="Cambria Math" w:hAnsi="Cambria Math"/>
                      </w:rPr>
                      <m:t>d</m:t>
                    </m:r>
                  </m:e>
                  <m:sub>
                    <m:sSub>
                      <m:sSubPr>
                        <m:ctrlPr>
                          <w:rPr>
                            <w:rFonts w:ascii="Cambria Math" w:hAnsi="Cambria Math"/>
                            <w:b/>
                            <w:i/>
                          </w:rPr>
                        </m:ctrlPr>
                      </m:sSubPr>
                      <m:e>
                        <m:r>
                          <m:rPr>
                            <m:sty m:val="bi"/>
                          </m:rPr>
                          <w:rPr>
                            <w:rFonts w:ascii="Cambria Math" w:hAnsi="Cambria Math"/>
                          </w:rPr>
                          <m:t>ST</m:t>
                        </m:r>
                      </m:e>
                      <m:sub>
                        <m:r>
                          <m:rPr>
                            <m:sty m:val="bi"/>
                          </m:rPr>
                          <w:rPr>
                            <w:rFonts w:ascii="Cambria Math" w:hAnsi="Cambria Math"/>
                          </w:rPr>
                          <m:t>v</m:t>
                        </m:r>
                      </m:sub>
                    </m:sSub>
                  </m:sub>
                </m:sSub>
              </m:oMath>
            </m:oMathPara>
          </w:p>
        </w:tc>
        <w:tc>
          <w:tcPr>
            <w:tcW w:w="1599" w:type="dxa"/>
            <w:tcBorders>
              <w:top w:val="single" w:sz="18" w:space="0" w:color="auto"/>
              <w:left w:val="single" w:sz="2" w:space="0" w:color="auto"/>
              <w:bottom w:val="single" w:sz="18" w:space="0" w:color="auto"/>
              <w:right w:val="single" w:sz="2" w:space="0" w:color="auto"/>
            </w:tcBorders>
            <w:shd w:val="clear" w:color="auto" w:fill="F2F2F2" w:themeFill="background1" w:themeFillShade="F2"/>
          </w:tcPr>
          <w:p w14:paraId="0A9BB09F" w14:textId="77777777" w:rsidR="007732A7" w:rsidRPr="00022BA7" w:rsidRDefault="007732A7" w:rsidP="0067573D">
            <w:pPr>
              <w:spacing w:line="240" w:lineRule="auto"/>
              <w:jc w:val="center"/>
              <w:rPr>
                <w:rFonts w:ascii="Arial" w:eastAsia="Malgun Gothic" w:hAnsi="Arial" w:cs="Arial"/>
                <w:b/>
              </w:rPr>
            </w:pPr>
            <w:r w:rsidRPr="00022BA7">
              <w:rPr>
                <w:b/>
              </w:rPr>
              <w:t>Sources</w:t>
            </w:r>
          </w:p>
        </w:tc>
      </w:tr>
      <w:tr w:rsidR="007732A7" w:rsidRPr="00022BA7" w14:paraId="7D3F00E6" w14:textId="77777777" w:rsidTr="0067573D">
        <w:trPr>
          <w:trHeight w:val="300"/>
        </w:trPr>
        <w:tc>
          <w:tcPr>
            <w:tcW w:w="2785" w:type="dxa"/>
            <w:tcBorders>
              <w:top w:val="single" w:sz="18" w:space="0" w:color="auto"/>
            </w:tcBorders>
            <w:shd w:val="clear" w:color="auto" w:fill="auto"/>
            <w:noWrap/>
            <w:vAlign w:val="center"/>
            <w:hideMark/>
          </w:tcPr>
          <w:p w14:paraId="762DEC60" w14:textId="77777777" w:rsidR="007732A7" w:rsidRPr="00022BA7" w:rsidRDefault="007732A7" w:rsidP="0067573D">
            <w:pPr>
              <w:spacing w:line="240" w:lineRule="auto"/>
              <w:rPr>
                <w:rFonts w:eastAsia="Times New Roman"/>
                <w:color w:val="000000"/>
              </w:rPr>
            </w:pPr>
            <w:r w:rsidRPr="00022BA7">
              <w:rPr>
                <w:rFonts w:eastAsia="Times New Roman"/>
                <w:color w:val="000000"/>
              </w:rPr>
              <w:t>General Cargo</w:t>
            </w:r>
          </w:p>
        </w:tc>
        <w:tc>
          <w:tcPr>
            <w:tcW w:w="1599" w:type="dxa"/>
            <w:tcBorders>
              <w:top w:val="single" w:sz="18" w:space="0" w:color="auto"/>
            </w:tcBorders>
            <w:shd w:val="clear" w:color="auto" w:fill="auto"/>
            <w:noWrap/>
            <w:vAlign w:val="center"/>
            <w:hideMark/>
          </w:tcPr>
          <w:p w14:paraId="5AD21A0E"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0.191</w:t>
            </w:r>
          </w:p>
        </w:tc>
        <w:tc>
          <w:tcPr>
            <w:tcW w:w="1599" w:type="dxa"/>
            <w:vMerge w:val="restart"/>
            <w:tcBorders>
              <w:top w:val="single" w:sz="18" w:space="0" w:color="auto"/>
            </w:tcBorders>
            <w:vAlign w:val="center"/>
          </w:tcPr>
          <w:p w14:paraId="493E7C9A" w14:textId="2A5944A2" w:rsidR="007732A7" w:rsidRPr="00022BA7" w:rsidRDefault="007732A7" w:rsidP="0067573D">
            <w:pPr>
              <w:spacing w:line="240" w:lineRule="auto"/>
              <w:jc w:val="right"/>
              <w:rPr>
                <w:rFonts w:eastAsia="Times New Roman"/>
                <w:color w:val="000000"/>
              </w:rPr>
            </w:pPr>
            <w:r w:rsidRPr="00022BA7">
              <w:t>Weng</w:t>
            </w:r>
            <w:r w:rsidR="00A010D1">
              <w:t xml:space="preserve"> (</w:t>
            </w:r>
            <w:r w:rsidRPr="00022BA7">
              <w:t>2020</w:t>
            </w:r>
            <w:r w:rsidR="00A010D1">
              <w:t>)</w:t>
            </w:r>
            <w:r w:rsidR="00A010D1">
              <w:fldChar w:fldCharType="begin"/>
            </w:r>
            <w:r w:rsidR="00C61E16">
              <w:instrText xml:space="preserve"> ADDIN ZOTERO_ITEM CSL_CITATION {"citationID":"2B6TdURl","properties":{"formattedCitation":"\\super 10\\nosupersub{}","plainCitation":"10","noteIndex":0},"citationItems":[{"id":288,"uris":["http://zotero.org/users/12468222/items/2CZLDY5L"],"itemData":{"id":288,"type":"article-journal","abstract":"A comprehensive analysis of ship emissions is a key step towards taking effective strategies to mitigate air pollution. Based on the AIS data, the objective of this study is to estimate ship emissions with high-resolution (0.001° × 0.001°) in the Yangtze River estuary using the STEAM model. Effects of ship types, operating modes, discharge equipment, time and location on ship emissions are also examined in this study. Results reveal that the annual ship emissions for CO2, CO, HC, NOx and SO2 in 2014 are 1.818 × 106 tons, 2.593 × 103 tons, 1.949 × 103 tons, 3.394 × 104 tons and 1.584 × 104 tons, respectively. Findings highlight that the majority of ship emissions are generated under the slow-steaming and normal cruising states. There exist strong temporal and spatial effects on ship emissions. Ship emissions are mainly distributed at the port areas, intersection areas and the north channel of the Yangtze River estuary. This study concludes with some future efforts and directions to mitigate ship emissions in this water area effectively (e.g., encouraging cargo ships to use the lower carbon fuels for propulsion, optimizing ship routes in the north channel and interactions of the Yangtze River estuary).","container-title":"Journal of Cleaner Production","DOI":"10.1016/j.jclepro.2019.119297","ISSN":"0959-6526","journalAbbreviation":"Journal of Cleaner Production","page":"119297","source":"ScienceDirect","title":"Ship emission estimation with high spatial-temporal resolution in the Yangtze River estuary using AIS data","volume":"248","author":[{"family":"Weng","given":"Jinxian"},{"family":"Shi","given":"Kun"},{"family":"Gan","given":"Xiafan"},{"family":"Li","given":"Guorong"},{"family":"Huang","given":"Zhi"}],"issued":{"date-parts":[["2020",3,1]]}}}],"schema":"https://github.com/citation-style-language/schema/raw/master/csl-citation.json"} </w:instrText>
            </w:r>
            <w:r w:rsidR="00A010D1">
              <w:fldChar w:fldCharType="separate"/>
            </w:r>
            <w:r w:rsidR="00C61E16" w:rsidRPr="00C61E16">
              <w:rPr>
                <w:rFonts w:cs="Times New Roman"/>
                <w:szCs w:val="24"/>
                <w:vertAlign w:val="superscript"/>
              </w:rPr>
              <w:t>10</w:t>
            </w:r>
            <w:r w:rsidR="00A010D1">
              <w:fldChar w:fldCharType="end"/>
            </w:r>
          </w:p>
        </w:tc>
      </w:tr>
      <w:tr w:rsidR="007732A7" w:rsidRPr="00022BA7" w14:paraId="10D7509D" w14:textId="77777777" w:rsidTr="0067573D">
        <w:trPr>
          <w:trHeight w:val="300"/>
        </w:trPr>
        <w:tc>
          <w:tcPr>
            <w:tcW w:w="2785" w:type="dxa"/>
            <w:shd w:val="clear" w:color="auto" w:fill="auto"/>
            <w:noWrap/>
            <w:vAlign w:val="center"/>
            <w:hideMark/>
          </w:tcPr>
          <w:p w14:paraId="75127967" w14:textId="77777777" w:rsidR="007732A7" w:rsidRPr="00022BA7" w:rsidRDefault="007732A7" w:rsidP="0067573D">
            <w:pPr>
              <w:spacing w:line="240" w:lineRule="auto"/>
              <w:rPr>
                <w:rFonts w:eastAsia="Times New Roman"/>
                <w:color w:val="000000"/>
              </w:rPr>
            </w:pPr>
            <w:r w:rsidRPr="00022BA7">
              <w:rPr>
                <w:rFonts w:eastAsia="Times New Roman"/>
                <w:color w:val="000000"/>
              </w:rPr>
              <w:t>Tanker</w:t>
            </w:r>
          </w:p>
        </w:tc>
        <w:tc>
          <w:tcPr>
            <w:tcW w:w="1599" w:type="dxa"/>
            <w:shd w:val="clear" w:color="auto" w:fill="auto"/>
            <w:noWrap/>
            <w:vAlign w:val="center"/>
            <w:hideMark/>
          </w:tcPr>
          <w:p w14:paraId="60C85C60"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0.211</w:t>
            </w:r>
          </w:p>
        </w:tc>
        <w:tc>
          <w:tcPr>
            <w:tcW w:w="1599" w:type="dxa"/>
            <w:vMerge/>
          </w:tcPr>
          <w:p w14:paraId="018CC7BD" w14:textId="77777777" w:rsidR="007732A7" w:rsidRPr="00022BA7" w:rsidRDefault="007732A7" w:rsidP="0067573D">
            <w:pPr>
              <w:spacing w:line="240" w:lineRule="auto"/>
              <w:jc w:val="right"/>
              <w:rPr>
                <w:rFonts w:eastAsia="Times New Roman"/>
                <w:color w:val="000000"/>
              </w:rPr>
            </w:pPr>
          </w:p>
        </w:tc>
      </w:tr>
      <w:tr w:rsidR="007732A7" w:rsidRPr="00022BA7" w14:paraId="70753BF1" w14:textId="77777777" w:rsidTr="0067573D">
        <w:trPr>
          <w:trHeight w:val="300"/>
        </w:trPr>
        <w:tc>
          <w:tcPr>
            <w:tcW w:w="2785" w:type="dxa"/>
            <w:shd w:val="clear" w:color="auto" w:fill="auto"/>
            <w:noWrap/>
            <w:vAlign w:val="center"/>
            <w:hideMark/>
          </w:tcPr>
          <w:p w14:paraId="2F3C5E4B" w14:textId="77777777" w:rsidR="007732A7" w:rsidRPr="00022BA7" w:rsidRDefault="007732A7" w:rsidP="0067573D">
            <w:pPr>
              <w:spacing w:line="240" w:lineRule="auto"/>
              <w:rPr>
                <w:rFonts w:eastAsia="Times New Roman"/>
                <w:color w:val="000000"/>
              </w:rPr>
            </w:pPr>
            <w:r w:rsidRPr="00022BA7">
              <w:rPr>
                <w:rFonts w:eastAsia="Times New Roman"/>
                <w:color w:val="000000"/>
              </w:rPr>
              <w:t>Passenger</w:t>
            </w:r>
          </w:p>
        </w:tc>
        <w:tc>
          <w:tcPr>
            <w:tcW w:w="1599" w:type="dxa"/>
            <w:shd w:val="clear" w:color="auto" w:fill="auto"/>
            <w:noWrap/>
            <w:vAlign w:val="center"/>
          </w:tcPr>
          <w:p w14:paraId="39FA3E9F"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0.278</w:t>
            </w:r>
          </w:p>
        </w:tc>
        <w:tc>
          <w:tcPr>
            <w:tcW w:w="1599" w:type="dxa"/>
            <w:vMerge/>
          </w:tcPr>
          <w:p w14:paraId="50413403" w14:textId="77777777" w:rsidR="007732A7" w:rsidRPr="00022BA7" w:rsidRDefault="007732A7" w:rsidP="0067573D">
            <w:pPr>
              <w:spacing w:line="240" w:lineRule="auto"/>
              <w:jc w:val="right"/>
              <w:rPr>
                <w:rFonts w:eastAsia="Times New Roman"/>
                <w:color w:val="000000"/>
              </w:rPr>
            </w:pPr>
          </w:p>
        </w:tc>
      </w:tr>
      <w:tr w:rsidR="007732A7" w:rsidRPr="00022BA7" w14:paraId="38131823" w14:textId="77777777" w:rsidTr="0067573D">
        <w:trPr>
          <w:trHeight w:val="300"/>
        </w:trPr>
        <w:tc>
          <w:tcPr>
            <w:tcW w:w="2785" w:type="dxa"/>
            <w:shd w:val="clear" w:color="auto" w:fill="auto"/>
            <w:noWrap/>
            <w:vAlign w:val="center"/>
          </w:tcPr>
          <w:p w14:paraId="5C89791F" w14:textId="77777777" w:rsidR="007732A7" w:rsidRPr="00022BA7" w:rsidRDefault="007732A7" w:rsidP="0067573D">
            <w:pPr>
              <w:spacing w:line="240" w:lineRule="auto"/>
              <w:rPr>
                <w:rFonts w:eastAsia="Times New Roman"/>
                <w:color w:val="000000"/>
              </w:rPr>
            </w:pPr>
            <w:r w:rsidRPr="00022BA7">
              <w:rPr>
                <w:color w:val="000000"/>
              </w:rPr>
              <w:t>Tug (Coastal-Harbor)</w:t>
            </w:r>
          </w:p>
        </w:tc>
        <w:tc>
          <w:tcPr>
            <w:tcW w:w="1599" w:type="dxa"/>
            <w:shd w:val="clear" w:color="auto" w:fill="auto"/>
            <w:noWrap/>
            <w:vAlign w:val="bottom"/>
          </w:tcPr>
          <w:p w14:paraId="20F87BBF"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0.074</w:t>
            </w:r>
          </w:p>
        </w:tc>
        <w:tc>
          <w:tcPr>
            <w:tcW w:w="1599" w:type="dxa"/>
            <w:vMerge w:val="restart"/>
            <w:vAlign w:val="center"/>
          </w:tcPr>
          <w:p w14:paraId="77B00DEC" w14:textId="77777777" w:rsidR="007732A7" w:rsidRPr="00022BA7" w:rsidRDefault="007732A7" w:rsidP="0067573D">
            <w:pPr>
              <w:spacing w:line="240" w:lineRule="auto"/>
              <w:jc w:val="right"/>
              <w:rPr>
                <w:rFonts w:eastAsia="Times New Roman"/>
                <w:color w:val="000000"/>
              </w:rPr>
            </w:pPr>
            <w:r w:rsidRPr="00022BA7">
              <w:rPr>
                <w:rFonts w:eastAsia="Times New Roman"/>
                <w:color w:val="000000"/>
              </w:rPr>
              <w:t>Authors</w:t>
            </w:r>
            <w:r>
              <w:rPr>
                <w:rFonts w:eastAsia="Times New Roman"/>
                <w:color w:val="000000"/>
              </w:rPr>
              <w:t>’</w:t>
            </w:r>
            <w:r w:rsidRPr="00022BA7">
              <w:rPr>
                <w:rFonts w:eastAsia="Times New Roman"/>
                <w:color w:val="000000"/>
              </w:rPr>
              <w:t xml:space="preserve"> work</w:t>
            </w:r>
          </w:p>
        </w:tc>
      </w:tr>
      <w:tr w:rsidR="007732A7" w:rsidRPr="00022BA7" w14:paraId="597E5EBE" w14:textId="77777777" w:rsidTr="0067573D">
        <w:trPr>
          <w:trHeight w:val="300"/>
        </w:trPr>
        <w:tc>
          <w:tcPr>
            <w:tcW w:w="2785" w:type="dxa"/>
            <w:shd w:val="clear" w:color="auto" w:fill="auto"/>
            <w:noWrap/>
            <w:vAlign w:val="center"/>
          </w:tcPr>
          <w:p w14:paraId="4F91C4DD" w14:textId="77777777" w:rsidR="007732A7" w:rsidRPr="00022BA7" w:rsidRDefault="007732A7" w:rsidP="0067573D">
            <w:pPr>
              <w:spacing w:line="240" w:lineRule="auto"/>
              <w:rPr>
                <w:rFonts w:eastAsia="Times New Roman"/>
                <w:color w:val="000000"/>
              </w:rPr>
            </w:pPr>
            <w:r w:rsidRPr="00022BA7">
              <w:rPr>
                <w:color w:val="000000"/>
              </w:rPr>
              <w:t>Tug (Inland-Push Boats)</w:t>
            </w:r>
          </w:p>
        </w:tc>
        <w:tc>
          <w:tcPr>
            <w:tcW w:w="1599" w:type="dxa"/>
            <w:shd w:val="clear" w:color="auto" w:fill="auto"/>
            <w:noWrap/>
            <w:vAlign w:val="bottom"/>
          </w:tcPr>
          <w:p w14:paraId="263A3D6F"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0.074</w:t>
            </w:r>
          </w:p>
        </w:tc>
        <w:tc>
          <w:tcPr>
            <w:tcW w:w="1599" w:type="dxa"/>
            <w:vMerge/>
          </w:tcPr>
          <w:p w14:paraId="23539B6D" w14:textId="77777777" w:rsidR="007732A7" w:rsidRPr="00022BA7" w:rsidRDefault="007732A7" w:rsidP="0067573D">
            <w:pPr>
              <w:spacing w:line="240" w:lineRule="auto"/>
              <w:jc w:val="right"/>
              <w:rPr>
                <w:rFonts w:eastAsia="Times New Roman"/>
                <w:color w:val="000000"/>
              </w:rPr>
            </w:pPr>
          </w:p>
        </w:tc>
      </w:tr>
      <w:tr w:rsidR="007732A7" w:rsidRPr="00022BA7" w14:paraId="27B4BB0D" w14:textId="77777777" w:rsidTr="0067573D">
        <w:trPr>
          <w:trHeight w:val="300"/>
        </w:trPr>
        <w:tc>
          <w:tcPr>
            <w:tcW w:w="2785" w:type="dxa"/>
            <w:shd w:val="clear" w:color="auto" w:fill="auto"/>
            <w:noWrap/>
            <w:vAlign w:val="center"/>
          </w:tcPr>
          <w:p w14:paraId="60057710" w14:textId="77777777" w:rsidR="007732A7" w:rsidRPr="00022BA7" w:rsidRDefault="007732A7" w:rsidP="0067573D">
            <w:pPr>
              <w:spacing w:line="240" w:lineRule="auto"/>
              <w:rPr>
                <w:rFonts w:eastAsia="Times New Roman"/>
                <w:color w:val="000000"/>
              </w:rPr>
            </w:pPr>
            <w:r w:rsidRPr="00022BA7">
              <w:rPr>
                <w:color w:val="000000"/>
              </w:rPr>
              <w:t>Tug (ATB)</w:t>
            </w:r>
          </w:p>
        </w:tc>
        <w:tc>
          <w:tcPr>
            <w:tcW w:w="1599" w:type="dxa"/>
            <w:shd w:val="clear" w:color="auto" w:fill="auto"/>
            <w:noWrap/>
            <w:vAlign w:val="bottom"/>
          </w:tcPr>
          <w:p w14:paraId="4CB58B0F" w14:textId="77777777" w:rsidR="007732A7" w:rsidRPr="00022BA7" w:rsidRDefault="007732A7" w:rsidP="0067573D">
            <w:pPr>
              <w:spacing w:line="240" w:lineRule="auto"/>
              <w:jc w:val="center"/>
              <w:rPr>
                <w:rFonts w:eastAsia="Times New Roman"/>
                <w:color w:val="000000"/>
              </w:rPr>
            </w:pPr>
            <w:r w:rsidRPr="00022BA7">
              <w:rPr>
                <w:rFonts w:eastAsia="Times New Roman"/>
                <w:color w:val="000000"/>
              </w:rPr>
              <w:t>0.098</w:t>
            </w:r>
          </w:p>
        </w:tc>
        <w:tc>
          <w:tcPr>
            <w:tcW w:w="1599" w:type="dxa"/>
            <w:vMerge/>
          </w:tcPr>
          <w:p w14:paraId="6BA4AE04" w14:textId="77777777" w:rsidR="007732A7" w:rsidRPr="00022BA7" w:rsidRDefault="007732A7" w:rsidP="0067573D">
            <w:pPr>
              <w:spacing w:line="240" w:lineRule="auto"/>
              <w:jc w:val="right"/>
              <w:rPr>
                <w:rFonts w:eastAsia="Times New Roman"/>
                <w:color w:val="000000"/>
              </w:rPr>
            </w:pPr>
          </w:p>
        </w:tc>
      </w:tr>
    </w:tbl>
    <w:p w14:paraId="5B78B544" w14:textId="77777777" w:rsidR="007732A7" w:rsidRPr="00022BA7" w:rsidRDefault="007732A7" w:rsidP="007732A7"/>
    <w:p w14:paraId="2057EA8B" w14:textId="5E6E9396" w:rsidR="00160981" w:rsidRDefault="00160981">
      <w:pPr>
        <w:widowControl/>
        <w:spacing w:line="240" w:lineRule="auto"/>
        <w:rPr>
          <w:color w:val="1F497D" w:themeColor="text2"/>
        </w:rPr>
      </w:pPr>
      <w:r>
        <w:rPr>
          <w:color w:val="1F497D" w:themeColor="text2"/>
        </w:rPr>
        <w:br w:type="page"/>
      </w:r>
    </w:p>
    <w:p w14:paraId="29580235" w14:textId="067D7C49" w:rsidR="00160981" w:rsidRPr="00022BA7" w:rsidRDefault="00166350" w:rsidP="00160981">
      <w:pPr>
        <w:pStyle w:val="Caption"/>
        <w:keepNext/>
        <w:spacing w:line="240" w:lineRule="auto"/>
      </w:pPr>
      <w:bookmarkStart w:id="115" w:name="_Ref144852670"/>
      <w:bookmarkStart w:id="116" w:name="_Toc146723134"/>
      <w:r>
        <w:t xml:space="preserve">Supplementary </w:t>
      </w:r>
      <w:r w:rsidR="00160981" w:rsidRPr="00022BA7">
        <w:t xml:space="preserve">Table </w:t>
      </w:r>
      <w:r w:rsidR="00590C69">
        <w:fldChar w:fldCharType="begin"/>
      </w:r>
      <w:r w:rsidR="00590C69">
        <w:instrText xml:space="preserve"> SEQ Table \* ARABIC </w:instrText>
      </w:r>
      <w:r w:rsidR="00590C69">
        <w:fldChar w:fldCharType="separate"/>
      </w:r>
      <w:r w:rsidR="00C661AC">
        <w:rPr>
          <w:noProof/>
        </w:rPr>
        <w:t>9</w:t>
      </w:r>
      <w:r w:rsidR="00590C69">
        <w:rPr>
          <w:noProof/>
        </w:rPr>
        <w:fldChar w:fldCharType="end"/>
      </w:r>
      <w:bookmarkEnd w:id="115"/>
      <w:r w:rsidR="00160981" w:rsidRPr="00022BA7">
        <w:t xml:space="preserve">. Parameters in </w:t>
      </w:r>
      <w:r w:rsidR="00160981">
        <w:t xml:space="preserve">the </w:t>
      </w:r>
      <w:r w:rsidR="00160981" w:rsidRPr="00022BA7">
        <w:t>Admiralty Formula</w:t>
      </w:r>
      <w:bookmarkEnd w:id="116"/>
      <w:r w:rsidR="00160981" w:rsidRPr="00022BA7">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1813"/>
        <w:gridCol w:w="2279"/>
        <w:gridCol w:w="2905"/>
      </w:tblGrid>
      <w:tr w:rsidR="00160981" w:rsidRPr="00022BA7" w14:paraId="227B3DDC" w14:textId="77777777" w:rsidTr="0067573D">
        <w:trPr>
          <w:trHeight w:val="300"/>
        </w:trPr>
        <w:tc>
          <w:tcPr>
            <w:tcW w:w="1260" w:type="pct"/>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30597F8D" w14:textId="77777777" w:rsidR="00160981" w:rsidRPr="00022BA7" w:rsidRDefault="00160981" w:rsidP="0067573D">
            <w:pPr>
              <w:spacing w:line="240" w:lineRule="auto"/>
              <w:jc w:val="center"/>
              <w:rPr>
                <w:rFonts w:eastAsia="Times New Roman"/>
                <w:b/>
                <w:color w:val="000000"/>
              </w:rPr>
            </w:pPr>
            <w:r w:rsidRPr="00022BA7">
              <w:rPr>
                <w:rFonts w:eastAsia="Times New Roman"/>
                <w:b/>
                <w:color w:val="000000"/>
              </w:rPr>
              <w:t>Parameter</w:t>
            </w:r>
          </w:p>
        </w:tc>
        <w:tc>
          <w:tcPr>
            <w:tcW w:w="969" w:type="pct"/>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747F04F5" w14:textId="77777777" w:rsidR="00160981" w:rsidRPr="00022BA7" w:rsidRDefault="00160981" w:rsidP="0067573D">
            <w:pPr>
              <w:spacing w:line="240" w:lineRule="auto"/>
              <w:jc w:val="center"/>
              <w:rPr>
                <w:rFonts w:eastAsia="Times New Roman"/>
                <w:b/>
                <w:color w:val="000000"/>
              </w:rPr>
            </w:pPr>
            <w:r w:rsidRPr="00022BA7">
              <w:rPr>
                <w:rFonts w:eastAsia="Times New Roman"/>
                <w:b/>
                <w:color w:val="000000"/>
              </w:rPr>
              <w:t>Symbol</w:t>
            </w:r>
          </w:p>
        </w:tc>
        <w:tc>
          <w:tcPr>
            <w:tcW w:w="1218" w:type="pct"/>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47EE28CF" w14:textId="77777777" w:rsidR="00160981" w:rsidRPr="00022BA7" w:rsidRDefault="00160981" w:rsidP="0067573D">
            <w:pPr>
              <w:spacing w:line="240" w:lineRule="auto"/>
              <w:jc w:val="center"/>
              <w:rPr>
                <w:rFonts w:eastAsia="Times New Roman"/>
                <w:b/>
                <w:color w:val="000000"/>
              </w:rPr>
            </w:pPr>
            <w:r w:rsidRPr="00022BA7">
              <w:rPr>
                <w:rFonts w:eastAsia="Times New Roman"/>
                <w:b/>
                <w:color w:val="000000"/>
              </w:rPr>
              <w:t>Value</w:t>
            </w:r>
          </w:p>
        </w:tc>
        <w:tc>
          <w:tcPr>
            <w:tcW w:w="1553" w:type="pct"/>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bottom"/>
            <w:hideMark/>
          </w:tcPr>
          <w:p w14:paraId="16A06624" w14:textId="77777777" w:rsidR="00160981" w:rsidRPr="00022BA7" w:rsidRDefault="00160981" w:rsidP="0067573D">
            <w:pPr>
              <w:spacing w:line="240" w:lineRule="auto"/>
              <w:jc w:val="center"/>
              <w:rPr>
                <w:rFonts w:eastAsia="Times New Roman"/>
                <w:b/>
                <w:color w:val="000000"/>
              </w:rPr>
            </w:pPr>
            <w:r w:rsidRPr="00022BA7">
              <w:rPr>
                <w:rFonts w:eastAsia="Times New Roman"/>
                <w:b/>
                <w:color w:val="000000"/>
              </w:rPr>
              <w:t>Reference</w:t>
            </w:r>
          </w:p>
        </w:tc>
      </w:tr>
      <w:tr w:rsidR="00160981" w:rsidRPr="00022BA7" w14:paraId="706E365E" w14:textId="77777777" w:rsidTr="0067573D">
        <w:trPr>
          <w:trHeight w:val="300"/>
        </w:trPr>
        <w:tc>
          <w:tcPr>
            <w:tcW w:w="1260" w:type="pct"/>
            <w:tcBorders>
              <w:top w:val="single" w:sz="18" w:space="0" w:color="auto"/>
            </w:tcBorders>
            <w:shd w:val="clear" w:color="auto" w:fill="FFFFFF" w:themeFill="background1"/>
            <w:noWrap/>
            <w:vAlign w:val="center"/>
          </w:tcPr>
          <w:p w14:paraId="6D00DF09" w14:textId="77777777" w:rsidR="00160981" w:rsidRPr="00022BA7" w:rsidRDefault="00160981" w:rsidP="0067573D">
            <w:pPr>
              <w:spacing w:line="240" w:lineRule="auto"/>
            </w:pPr>
            <w:r w:rsidRPr="00022BA7">
              <w:t>Load factor cap</w:t>
            </w:r>
          </w:p>
        </w:tc>
        <w:tc>
          <w:tcPr>
            <w:tcW w:w="969" w:type="pct"/>
            <w:tcBorders>
              <w:top w:val="single" w:sz="18" w:space="0" w:color="auto"/>
            </w:tcBorders>
            <w:shd w:val="clear" w:color="auto" w:fill="FFFFFF" w:themeFill="background1"/>
            <w:noWrap/>
            <w:vAlign w:val="bottom"/>
          </w:tcPr>
          <w:p w14:paraId="55794C5C" w14:textId="77777777" w:rsidR="00160981" w:rsidRPr="00022BA7" w:rsidRDefault="00590C69" w:rsidP="0067573D">
            <w:pPr>
              <w:spacing w:line="240" w:lineRule="auto"/>
              <w:jc w:val="right"/>
              <w:rPr>
                <w:rFonts w:eastAsia="Times New Roman" w:cs="Times New Roman"/>
              </w:rPr>
            </w:pPr>
            <m:oMathPara>
              <m:oMath>
                <m:acc>
                  <m:accPr>
                    <m:chr m:val="̅"/>
                    <m:ctrlPr>
                      <w:rPr>
                        <w:rFonts w:ascii="Cambria Math" w:hAnsi="Cambria Math" w:cs="Times New Roman"/>
                        <w:i/>
                        <w:szCs w:val="20"/>
                      </w:rPr>
                    </m:ctrlPr>
                  </m:accPr>
                  <m:e>
                    <m:r>
                      <w:rPr>
                        <w:rFonts w:ascii="Cambria Math" w:hAnsi="Cambria Math"/>
                      </w:rPr>
                      <m:t>L</m:t>
                    </m:r>
                    <m:sSup>
                      <m:sSupPr>
                        <m:ctrlPr>
                          <w:rPr>
                            <w:rFonts w:ascii="Cambria Math" w:hAnsi="Cambria Math"/>
                            <w:i/>
                          </w:rPr>
                        </m:ctrlPr>
                      </m:sSupPr>
                      <m:e>
                        <m:r>
                          <w:rPr>
                            <w:rFonts w:ascii="Cambria Math" w:hAnsi="Cambria Math"/>
                          </w:rPr>
                          <m:t>F</m:t>
                        </m:r>
                      </m:e>
                      <m:sup>
                        <m:r>
                          <w:rPr>
                            <w:rFonts w:ascii="Cambria Math" w:hAnsi="Cambria Math"/>
                          </w:rPr>
                          <m:t>ME</m:t>
                        </m:r>
                      </m:sup>
                    </m:sSup>
                  </m:e>
                </m:acc>
              </m:oMath>
            </m:oMathPara>
          </w:p>
        </w:tc>
        <w:tc>
          <w:tcPr>
            <w:tcW w:w="1218" w:type="pct"/>
            <w:tcBorders>
              <w:top w:val="single" w:sz="18" w:space="0" w:color="auto"/>
            </w:tcBorders>
            <w:shd w:val="clear" w:color="auto" w:fill="FFFFFF" w:themeFill="background1"/>
            <w:noWrap/>
            <w:vAlign w:val="center"/>
          </w:tcPr>
          <w:p w14:paraId="29735B70"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0.98</w:t>
            </w:r>
          </w:p>
        </w:tc>
        <w:tc>
          <w:tcPr>
            <w:tcW w:w="1553" w:type="pct"/>
            <w:vMerge w:val="restart"/>
            <w:tcBorders>
              <w:top w:val="single" w:sz="18" w:space="0" w:color="auto"/>
            </w:tcBorders>
            <w:shd w:val="clear" w:color="auto" w:fill="FFFFFF" w:themeFill="background1"/>
            <w:noWrap/>
            <w:vAlign w:val="center"/>
          </w:tcPr>
          <w:p w14:paraId="49878E63" w14:textId="369734E4" w:rsidR="00160981" w:rsidRPr="00022BA7" w:rsidRDefault="00160981" w:rsidP="0067573D">
            <w:pPr>
              <w:spacing w:line="240" w:lineRule="auto"/>
              <w:jc w:val="right"/>
              <w:rPr>
                <w:rFonts w:eastAsia="Times New Roman"/>
                <w:color w:val="000000"/>
              </w:rPr>
            </w:pPr>
            <w:r w:rsidRPr="00022BA7">
              <w:rPr>
                <w:rFonts w:eastAsia="Times New Roman"/>
                <w:color w:val="000000"/>
              </w:rPr>
              <w:t>IMO</w:t>
            </w:r>
            <w:r w:rsidR="00A010D1">
              <w:rPr>
                <w:rFonts w:eastAsia="Times New Roman"/>
                <w:color w:val="000000"/>
              </w:rPr>
              <w:t xml:space="preserve"> (</w:t>
            </w:r>
            <w:r w:rsidRPr="00022BA7">
              <w:rPr>
                <w:rFonts w:eastAsia="Times New Roman"/>
                <w:color w:val="000000"/>
              </w:rPr>
              <w:t>2020</w:t>
            </w:r>
            <w:r w:rsidR="00A010D1">
              <w:rPr>
                <w:rFonts w:eastAsia="Times New Roman"/>
                <w:color w:val="000000"/>
              </w:rPr>
              <w:t>)</w:t>
            </w:r>
            <w:r w:rsidR="008871EE">
              <w:rPr>
                <w:rFonts w:eastAsia="Times New Roman"/>
                <w:color w:val="000000"/>
              </w:rPr>
              <w:fldChar w:fldCharType="begin"/>
            </w:r>
            <w:r w:rsidR="00C61E16">
              <w:rPr>
                <w:rFonts w:eastAsia="Times New Roman"/>
                <w:color w:val="000000"/>
              </w:rPr>
              <w:instrText xml:space="preserve"> ADDIN ZOTERO_ITEM CSL_CITATION {"citationID":"fFsApgdt","properties":{"formattedCitation":"\\super 7\\nosupersub{}","plainCitation":"7","noteIndex":0},"citationItems":[{"id":216,"uris":["http://zotero.org/users/12468222/items/RYQQYRCQ"],"itemData":{"id":216,"type":"report","publisher":"International Maritime Organization","title":"Fourth IMO GHG Study 2020","URL":"https://www.imo.org/en/OurWork/Environment/Pages/Fourth-IMO-Greenhouse-Gas-Study-2020.aspx","author":[{"literal":"International Maritime Organization"}],"accessed":{"date-parts":[["2023",9,26]]},"issued":{"date-parts":[["2020"]]}}}],"schema":"https://github.com/citation-style-language/schema/raw/master/csl-citation.json"} </w:instrText>
            </w:r>
            <w:r w:rsidR="008871EE">
              <w:rPr>
                <w:rFonts w:eastAsia="Times New Roman"/>
                <w:color w:val="000000"/>
              </w:rPr>
              <w:fldChar w:fldCharType="separate"/>
            </w:r>
            <w:r w:rsidR="00C61E16" w:rsidRPr="00C61E16">
              <w:rPr>
                <w:rFonts w:cs="Times New Roman"/>
                <w:szCs w:val="24"/>
                <w:vertAlign w:val="superscript"/>
              </w:rPr>
              <w:t>7</w:t>
            </w:r>
            <w:r w:rsidR="008871EE">
              <w:rPr>
                <w:rFonts w:eastAsia="Times New Roman"/>
                <w:color w:val="000000"/>
              </w:rPr>
              <w:fldChar w:fldCharType="end"/>
            </w:r>
          </w:p>
        </w:tc>
      </w:tr>
      <w:tr w:rsidR="00160981" w:rsidRPr="00022BA7" w14:paraId="20A2998C" w14:textId="77777777" w:rsidTr="0067573D">
        <w:trPr>
          <w:trHeight w:val="300"/>
        </w:trPr>
        <w:tc>
          <w:tcPr>
            <w:tcW w:w="1260" w:type="pct"/>
            <w:vMerge w:val="restart"/>
            <w:shd w:val="clear" w:color="auto" w:fill="FFFFFF" w:themeFill="background1"/>
            <w:noWrap/>
            <w:vAlign w:val="center"/>
          </w:tcPr>
          <w:p w14:paraId="4F289C26" w14:textId="77777777" w:rsidR="00160981" w:rsidRPr="00022BA7" w:rsidRDefault="00160981" w:rsidP="0067573D">
            <w:pPr>
              <w:spacing w:line="240" w:lineRule="auto"/>
            </w:pPr>
            <w:r w:rsidRPr="00022BA7">
              <w:t xml:space="preserve">Speed-power </w:t>
            </w:r>
          </w:p>
          <w:p w14:paraId="63FB3C23" w14:textId="77777777" w:rsidR="00160981" w:rsidRPr="00022BA7" w:rsidRDefault="00160981" w:rsidP="0067573D">
            <w:pPr>
              <w:spacing w:line="240" w:lineRule="auto"/>
              <w:rPr>
                <w:rFonts w:eastAsia="Times New Roman"/>
                <w:color w:val="000000"/>
              </w:rPr>
            </w:pPr>
            <w:r w:rsidRPr="00022BA7">
              <w:t>correction factor</w:t>
            </w:r>
          </w:p>
        </w:tc>
        <w:tc>
          <w:tcPr>
            <w:tcW w:w="969" w:type="pct"/>
            <w:shd w:val="clear" w:color="auto" w:fill="FFFFFF" w:themeFill="background1"/>
            <w:noWrap/>
            <w:vAlign w:val="bottom"/>
          </w:tcPr>
          <w:p w14:paraId="383EFEDB" w14:textId="77777777" w:rsidR="00160981" w:rsidRPr="00022BA7" w:rsidRDefault="00590C69" w:rsidP="0067573D">
            <w:pPr>
              <w:spacing w:line="240" w:lineRule="auto"/>
              <w:jc w:val="right"/>
              <w:rPr>
                <w:rFonts w:eastAsia="Times New Roman"/>
                <w:color w:val="000000"/>
              </w:rPr>
            </w:pPr>
            <m:oMathPara>
              <m:oMath>
                <m:sSub>
                  <m:sSubPr>
                    <m:ctrlPr>
                      <w:rPr>
                        <w:rFonts w:ascii="Cambria Math" w:hAnsi="Cambria Math"/>
                        <w:i/>
                      </w:rPr>
                    </m:ctrlPr>
                  </m:sSubPr>
                  <m:e>
                    <m:r>
                      <w:rPr>
                        <w:rFonts w:ascii="Cambria Math" w:hAnsi="Cambria Math"/>
                      </w:rPr>
                      <m:t>δ</m:t>
                    </m:r>
                  </m:e>
                  <m:sub>
                    <m:r>
                      <w:rPr>
                        <w:rFonts w:ascii="Cambria Math" w:hAnsi="Cambria Math"/>
                      </w:rPr>
                      <m:t>Passenger</m:t>
                    </m:r>
                  </m:sub>
                </m:sSub>
              </m:oMath>
            </m:oMathPara>
          </w:p>
        </w:tc>
        <w:tc>
          <w:tcPr>
            <w:tcW w:w="1218" w:type="pct"/>
            <w:shd w:val="clear" w:color="auto" w:fill="FFFFFF" w:themeFill="background1"/>
            <w:noWrap/>
            <w:vAlign w:val="center"/>
          </w:tcPr>
          <w:p w14:paraId="63C3DFDD"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0.7</w:t>
            </w:r>
          </w:p>
        </w:tc>
        <w:tc>
          <w:tcPr>
            <w:tcW w:w="1553" w:type="pct"/>
            <w:vMerge/>
            <w:shd w:val="clear" w:color="auto" w:fill="FFFFFF" w:themeFill="background1"/>
            <w:noWrap/>
            <w:vAlign w:val="center"/>
          </w:tcPr>
          <w:p w14:paraId="6C7005FD" w14:textId="77777777" w:rsidR="00160981" w:rsidRPr="00022BA7" w:rsidRDefault="00160981" w:rsidP="0067573D">
            <w:pPr>
              <w:spacing w:line="240" w:lineRule="auto"/>
              <w:jc w:val="right"/>
              <w:rPr>
                <w:rFonts w:eastAsia="Times New Roman"/>
                <w:color w:val="000000"/>
              </w:rPr>
            </w:pPr>
          </w:p>
        </w:tc>
      </w:tr>
      <w:tr w:rsidR="00160981" w:rsidRPr="00022BA7" w14:paraId="73CE3C22" w14:textId="77777777" w:rsidTr="0067573D">
        <w:trPr>
          <w:trHeight w:val="300"/>
        </w:trPr>
        <w:tc>
          <w:tcPr>
            <w:tcW w:w="1260" w:type="pct"/>
            <w:vMerge/>
            <w:shd w:val="clear" w:color="auto" w:fill="FFFFFF" w:themeFill="background1"/>
            <w:noWrap/>
            <w:vAlign w:val="center"/>
          </w:tcPr>
          <w:p w14:paraId="18E95339" w14:textId="77777777" w:rsidR="00160981" w:rsidRPr="00022BA7" w:rsidRDefault="00160981" w:rsidP="0067573D">
            <w:pPr>
              <w:spacing w:line="240" w:lineRule="auto"/>
              <w:rPr>
                <w:rFonts w:eastAsia="Times New Roman"/>
                <w:color w:val="000000"/>
              </w:rPr>
            </w:pPr>
          </w:p>
        </w:tc>
        <w:tc>
          <w:tcPr>
            <w:tcW w:w="969" w:type="pct"/>
            <w:shd w:val="clear" w:color="auto" w:fill="FFFFFF" w:themeFill="background1"/>
            <w:noWrap/>
            <w:vAlign w:val="bottom"/>
          </w:tcPr>
          <w:p w14:paraId="4A2A707F" w14:textId="77777777" w:rsidR="00160981" w:rsidRPr="00022BA7" w:rsidRDefault="00590C69" w:rsidP="0067573D">
            <w:pPr>
              <w:spacing w:line="240" w:lineRule="auto"/>
              <w:jc w:val="right"/>
              <w:rPr>
                <w:rFonts w:eastAsia="Times New Roman" w:cs="Times New Roman"/>
              </w:rPr>
            </w:pPr>
            <m:oMathPara>
              <m:oMath>
                <m:sSub>
                  <m:sSubPr>
                    <m:ctrlPr>
                      <w:rPr>
                        <w:rFonts w:ascii="Cambria Math" w:hAnsi="Cambria Math"/>
                        <w:i/>
                      </w:rPr>
                    </m:ctrlPr>
                  </m:sSubPr>
                  <m:e>
                    <m:r>
                      <w:rPr>
                        <w:rFonts w:ascii="Cambria Math" w:hAnsi="Cambria Math"/>
                      </w:rPr>
                      <m:t>δ</m:t>
                    </m:r>
                  </m:e>
                  <m:sub>
                    <m:r>
                      <w:rPr>
                        <w:rFonts w:ascii="Cambria Math" w:hAnsi="Cambria Math"/>
                      </w:rPr>
                      <m:t>Tugs</m:t>
                    </m:r>
                  </m:sub>
                </m:sSub>
              </m:oMath>
            </m:oMathPara>
          </w:p>
        </w:tc>
        <w:tc>
          <w:tcPr>
            <w:tcW w:w="1218" w:type="pct"/>
            <w:shd w:val="clear" w:color="auto" w:fill="FFFFFF" w:themeFill="background1"/>
            <w:noWrap/>
            <w:vAlign w:val="center"/>
          </w:tcPr>
          <w:p w14:paraId="592A9A37"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1</w:t>
            </w:r>
          </w:p>
        </w:tc>
        <w:tc>
          <w:tcPr>
            <w:tcW w:w="1553" w:type="pct"/>
            <w:vMerge/>
            <w:shd w:val="clear" w:color="auto" w:fill="FFFFFF" w:themeFill="background1"/>
            <w:noWrap/>
            <w:vAlign w:val="bottom"/>
          </w:tcPr>
          <w:p w14:paraId="526B2744" w14:textId="77777777" w:rsidR="00160981" w:rsidRPr="00022BA7" w:rsidRDefault="00160981" w:rsidP="0067573D">
            <w:pPr>
              <w:spacing w:line="240" w:lineRule="auto"/>
              <w:jc w:val="right"/>
              <w:rPr>
                <w:rFonts w:eastAsia="Times New Roman"/>
                <w:color w:val="000000"/>
              </w:rPr>
            </w:pPr>
          </w:p>
        </w:tc>
      </w:tr>
      <w:tr w:rsidR="00160981" w:rsidRPr="00022BA7" w14:paraId="7814CF04" w14:textId="77777777" w:rsidTr="0067573D">
        <w:trPr>
          <w:trHeight w:val="300"/>
        </w:trPr>
        <w:tc>
          <w:tcPr>
            <w:tcW w:w="1260" w:type="pct"/>
            <w:vMerge/>
            <w:shd w:val="clear" w:color="auto" w:fill="FFFFFF" w:themeFill="background1"/>
            <w:noWrap/>
            <w:vAlign w:val="center"/>
          </w:tcPr>
          <w:p w14:paraId="49E5DBC9" w14:textId="77777777" w:rsidR="00160981" w:rsidRPr="00022BA7" w:rsidRDefault="00160981" w:rsidP="0067573D">
            <w:pPr>
              <w:spacing w:line="240" w:lineRule="auto"/>
              <w:rPr>
                <w:rFonts w:eastAsia="Times New Roman"/>
                <w:color w:val="000000"/>
              </w:rPr>
            </w:pPr>
          </w:p>
        </w:tc>
        <w:tc>
          <w:tcPr>
            <w:tcW w:w="969" w:type="pct"/>
            <w:shd w:val="clear" w:color="auto" w:fill="FFFFFF" w:themeFill="background1"/>
            <w:noWrap/>
            <w:vAlign w:val="bottom"/>
          </w:tcPr>
          <w:p w14:paraId="122D9C8B" w14:textId="77777777" w:rsidR="00160981" w:rsidRPr="00022BA7" w:rsidRDefault="00590C69" w:rsidP="0067573D">
            <w:pPr>
              <w:spacing w:line="240" w:lineRule="auto"/>
              <w:jc w:val="center"/>
              <w:rPr>
                <w:rFonts w:eastAsia="Times New Roman"/>
              </w:rPr>
            </w:pPr>
            <m:oMath>
              <m:sSub>
                <m:sSubPr>
                  <m:ctrlPr>
                    <w:rPr>
                      <w:rFonts w:ascii="Cambria Math" w:hAnsi="Cambria Math"/>
                      <w:i/>
                    </w:rPr>
                  </m:ctrlPr>
                </m:sSubPr>
                <m:e>
                  <m:r>
                    <w:rPr>
                      <w:rFonts w:ascii="Cambria Math" w:hAnsi="Cambria Math"/>
                    </w:rPr>
                    <m:t>δ</m:t>
                  </m:r>
                </m:e>
                <m:sub>
                  <m:r>
                    <w:rPr>
                      <w:rFonts w:ascii="Cambria Math" w:hAnsi="Cambria Math"/>
                    </w:rPr>
                    <m:t>Tanker</m:t>
                  </m:r>
                </m:sub>
              </m:sSub>
            </m:oMath>
            <w:r w:rsidR="00160981" w:rsidRPr="00022BA7">
              <w:rPr>
                <w:rFonts w:eastAsia="Times New Roman"/>
              </w:rPr>
              <w:t xml:space="preserve"> and</w:t>
            </w:r>
          </w:p>
          <w:p w14:paraId="7ADB30E6" w14:textId="77777777" w:rsidR="00160981" w:rsidRPr="00022BA7" w:rsidRDefault="00590C69" w:rsidP="0067573D">
            <w:pPr>
              <w:spacing w:line="240" w:lineRule="auto"/>
              <w:jc w:val="right"/>
              <w:rPr>
                <w:rFonts w:eastAsia="Times New Roman" w:cs="Times New Roman"/>
              </w:rPr>
            </w:pPr>
            <m:oMathPara>
              <m:oMath>
                <m:sSub>
                  <m:sSubPr>
                    <m:ctrlPr>
                      <w:rPr>
                        <w:rFonts w:ascii="Cambria Math" w:hAnsi="Cambria Math"/>
                        <w:i/>
                      </w:rPr>
                    </m:ctrlPr>
                  </m:sSubPr>
                  <m:e>
                    <m:r>
                      <w:rPr>
                        <w:rFonts w:ascii="Cambria Math" w:hAnsi="Cambria Math"/>
                      </w:rPr>
                      <m:t>δ</m:t>
                    </m:r>
                  </m:e>
                  <m:sub>
                    <m:r>
                      <w:rPr>
                        <w:rFonts w:ascii="Cambria Math" w:hAnsi="Cambria Math"/>
                      </w:rPr>
                      <m:t>General Cargo</m:t>
                    </m:r>
                  </m:sub>
                </m:sSub>
              </m:oMath>
            </m:oMathPara>
          </w:p>
        </w:tc>
        <w:tc>
          <w:tcPr>
            <w:tcW w:w="1218" w:type="pct"/>
            <w:shd w:val="clear" w:color="auto" w:fill="FFFFFF" w:themeFill="background1"/>
            <w:noWrap/>
            <w:vAlign w:val="center"/>
          </w:tcPr>
          <w:p w14:paraId="45EFCE6E"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0.75</w:t>
            </w:r>
          </w:p>
        </w:tc>
        <w:tc>
          <w:tcPr>
            <w:tcW w:w="1553" w:type="pct"/>
            <w:vMerge/>
            <w:shd w:val="clear" w:color="auto" w:fill="FFFFFF" w:themeFill="background1"/>
            <w:noWrap/>
            <w:vAlign w:val="bottom"/>
          </w:tcPr>
          <w:p w14:paraId="1BCF3AF0" w14:textId="77777777" w:rsidR="00160981" w:rsidRPr="00022BA7" w:rsidRDefault="00160981" w:rsidP="0067573D">
            <w:pPr>
              <w:spacing w:line="240" w:lineRule="auto"/>
              <w:jc w:val="right"/>
              <w:rPr>
                <w:rFonts w:eastAsia="Times New Roman"/>
                <w:color w:val="000000"/>
              </w:rPr>
            </w:pPr>
          </w:p>
        </w:tc>
      </w:tr>
      <w:tr w:rsidR="00160981" w:rsidRPr="00022BA7" w14:paraId="75D1CEAB" w14:textId="77777777" w:rsidTr="0067573D">
        <w:trPr>
          <w:trHeight w:val="300"/>
        </w:trPr>
        <w:tc>
          <w:tcPr>
            <w:tcW w:w="1260" w:type="pct"/>
            <w:shd w:val="clear" w:color="auto" w:fill="FFFFFF" w:themeFill="background1"/>
            <w:noWrap/>
            <w:vAlign w:val="center"/>
          </w:tcPr>
          <w:p w14:paraId="5156D7BE" w14:textId="77777777" w:rsidR="00160981" w:rsidRPr="00022BA7" w:rsidRDefault="00160981" w:rsidP="0067573D">
            <w:pPr>
              <w:spacing w:line="240" w:lineRule="auto"/>
              <w:rPr>
                <w:rFonts w:eastAsia="Times New Roman"/>
                <w:color w:val="000000"/>
              </w:rPr>
            </w:pPr>
            <w:r w:rsidRPr="00022BA7">
              <w:rPr>
                <w:rFonts w:eastAsia="Times New Roman"/>
                <w:color w:val="000000"/>
              </w:rPr>
              <w:t>Speed exponent</w:t>
            </w:r>
          </w:p>
        </w:tc>
        <w:tc>
          <w:tcPr>
            <w:tcW w:w="969" w:type="pct"/>
            <w:shd w:val="clear" w:color="auto" w:fill="FFFFFF" w:themeFill="background1"/>
            <w:noWrap/>
            <w:vAlign w:val="bottom"/>
          </w:tcPr>
          <w:p w14:paraId="0B9F87A4" w14:textId="77777777" w:rsidR="00160981" w:rsidRPr="00022BA7" w:rsidRDefault="00160981" w:rsidP="0067573D">
            <w:pPr>
              <w:spacing w:line="240" w:lineRule="auto"/>
              <w:jc w:val="right"/>
              <w:rPr>
                <w:rFonts w:eastAsia="Times New Roman"/>
                <w:color w:val="000000"/>
              </w:rPr>
            </w:pPr>
            <m:oMathPara>
              <m:oMath>
                <m:r>
                  <w:rPr>
                    <w:rFonts w:ascii="Cambria Math" w:hAnsi="Cambria Math"/>
                  </w:rPr>
                  <m:t>n</m:t>
                </m:r>
              </m:oMath>
            </m:oMathPara>
          </w:p>
        </w:tc>
        <w:tc>
          <w:tcPr>
            <w:tcW w:w="1218" w:type="pct"/>
            <w:shd w:val="clear" w:color="auto" w:fill="FFFFFF" w:themeFill="background1"/>
            <w:noWrap/>
            <w:vAlign w:val="center"/>
          </w:tcPr>
          <w:p w14:paraId="02235C79"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3</w:t>
            </w:r>
          </w:p>
        </w:tc>
        <w:tc>
          <w:tcPr>
            <w:tcW w:w="1553" w:type="pct"/>
            <w:vMerge/>
            <w:shd w:val="clear" w:color="auto" w:fill="FFFFFF" w:themeFill="background1"/>
            <w:noWrap/>
            <w:vAlign w:val="bottom"/>
          </w:tcPr>
          <w:p w14:paraId="219F42C9" w14:textId="77777777" w:rsidR="00160981" w:rsidRPr="00022BA7" w:rsidRDefault="00160981" w:rsidP="0067573D">
            <w:pPr>
              <w:spacing w:line="240" w:lineRule="auto"/>
              <w:jc w:val="right"/>
              <w:rPr>
                <w:rFonts w:eastAsia="Times New Roman"/>
                <w:color w:val="000000"/>
              </w:rPr>
            </w:pPr>
          </w:p>
        </w:tc>
      </w:tr>
      <w:tr w:rsidR="00160981" w:rsidRPr="00022BA7" w14:paraId="6D26058D" w14:textId="77777777" w:rsidTr="0067573D">
        <w:trPr>
          <w:trHeight w:val="300"/>
        </w:trPr>
        <w:tc>
          <w:tcPr>
            <w:tcW w:w="1260" w:type="pct"/>
            <w:shd w:val="clear" w:color="auto" w:fill="FFFFFF" w:themeFill="background1"/>
            <w:noWrap/>
            <w:vAlign w:val="center"/>
          </w:tcPr>
          <w:p w14:paraId="0CF26911" w14:textId="77777777" w:rsidR="00160981" w:rsidRPr="00022BA7" w:rsidRDefault="00160981" w:rsidP="0067573D">
            <w:pPr>
              <w:spacing w:line="240" w:lineRule="auto"/>
              <w:rPr>
                <w:rFonts w:eastAsia="Times New Roman"/>
                <w:color w:val="000000"/>
              </w:rPr>
            </w:pPr>
            <w:r w:rsidRPr="00022BA7">
              <w:rPr>
                <w:rFonts w:eastAsia="Times New Roman"/>
                <w:color w:val="000000"/>
              </w:rPr>
              <w:t>Weather modifier</w:t>
            </w:r>
          </w:p>
        </w:tc>
        <w:tc>
          <w:tcPr>
            <w:tcW w:w="969" w:type="pct"/>
            <w:shd w:val="clear" w:color="auto" w:fill="FFFFFF" w:themeFill="background1"/>
            <w:noWrap/>
            <w:vAlign w:val="bottom"/>
          </w:tcPr>
          <w:p w14:paraId="4AB556DD" w14:textId="77777777" w:rsidR="00160981" w:rsidRPr="00022BA7" w:rsidRDefault="00590C69" w:rsidP="0067573D">
            <w:pPr>
              <w:spacing w:line="240" w:lineRule="auto"/>
              <w:jc w:val="right"/>
              <w:rPr>
                <w:rFonts w:eastAsia="Times New Roman"/>
                <w:color w:val="000000"/>
              </w:rPr>
            </w:pPr>
            <m:oMathPara>
              <m:oMath>
                <m:sSub>
                  <m:sSubPr>
                    <m:ctrlPr>
                      <w:rPr>
                        <w:rFonts w:ascii="Cambria Math" w:hAnsi="Cambria Math"/>
                        <w:i/>
                      </w:rPr>
                    </m:ctrlPr>
                  </m:sSubPr>
                  <m:e>
                    <m:r>
                      <w:rPr>
                        <w:rFonts w:ascii="Cambria Math" w:hAnsi="Cambria Math"/>
                      </w:rPr>
                      <m:t>n</m:t>
                    </m:r>
                  </m:e>
                  <m:sub>
                    <m:r>
                      <w:rPr>
                        <w:rFonts w:ascii="Cambria Math" w:hAnsi="Cambria Math"/>
                      </w:rPr>
                      <m:t>w</m:t>
                    </m:r>
                  </m:sub>
                </m:sSub>
              </m:oMath>
            </m:oMathPara>
          </w:p>
        </w:tc>
        <w:tc>
          <w:tcPr>
            <w:tcW w:w="1218" w:type="pct"/>
            <w:shd w:val="clear" w:color="auto" w:fill="FFFFFF" w:themeFill="background1"/>
            <w:noWrap/>
            <w:vAlign w:val="center"/>
          </w:tcPr>
          <w:p w14:paraId="29D24423"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0.909</w:t>
            </w:r>
          </w:p>
        </w:tc>
        <w:tc>
          <w:tcPr>
            <w:tcW w:w="1553" w:type="pct"/>
            <w:vMerge/>
            <w:shd w:val="clear" w:color="auto" w:fill="FFFFFF" w:themeFill="background1"/>
            <w:noWrap/>
            <w:vAlign w:val="bottom"/>
          </w:tcPr>
          <w:p w14:paraId="028CC31E" w14:textId="77777777" w:rsidR="00160981" w:rsidRPr="00022BA7" w:rsidRDefault="00160981" w:rsidP="0067573D">
            <w:pPr>
              <w:spacing w:line="240" w:lineRule="auto"/>
              <w:jc w:val="right"/>
              <w:rPr>
                <w:rFonts w:eastAsia="Times New Roman"/>
                <w:color w:val="000000"/>
              </w:rPr>
            </w:pPr>
          </w:p>
        </w:tc>
      </w:tr>
      <w:tr w:rsidR="00160981" w:rsidRPr="00022BA7" w14:paraId="1FD9FCE7" w14:textId="77777777" w:rsidTr="0067573D">
        <w:trPr>
          <w:trHeight w:val="300"/>
        </w:trPr>
        <w:tc>
          <w:tcPr>
            <w:tcW w:w="1260" w:type="pct"/>
            <w:shd w:val="clear" w:color="auto" w:fill="FFFFFF" w:themeFill="background1"/>
            <w:noWrap/>
            <w:vAlign w:val="center"/>
          </w:tcPr>
          <w:p w14:paraId="66AFE025" w14:textId="77777777" w:rsidR="00160981" w:rsidRPr="00022BA7" w:rsidRDefault="00160981" w:rsidP="0067573D">
            <w:pPr>
              <w:spacing w:line="240" w:lineRule="auto"/>
              <w:rPr>
                <w:rFonts w:eastAsia="Times New Roman"/>
                <w:color w:val="000000"/>
              </w:rPr>
            </w:pPr>
            <w:r w:rsidRPr="00022BA7">
              <w:rPr>
                <w:rFonts w:eastAsia="Times New Roman"/>
                <w:color w:val="000000"/>
              </w:rPr>
              <w:t>Fouling modifier</w:t>
            </w:r>
          </w:p>
        </w:tc>
        <w:tc>
          <w:tcPr>
            <w:tcW w:w="969" w:type="pct"/>
            <w:shd w:val="clear" w:color="auto" w:fill="FFFFFF" w:themeFill="background1"/>
            <w:noWrap/>
            <w:vAlign w:val="bottom"/>
          </w:tcPr>
          <w:p w14:paraId="0436C7D5" w14:textId="77777777" w:rsidR="00160981" w:rsidRPr="00022BA7" w:rsidRDefault="00590C69" w:rsidP="0067573D">
            <w:pPr>
              <w:spacing w:line="240" w:lineRule="auto"/>
              <w:jc w:val="right"/>
              <w:rPr>
                <w:rFonts w:eastAsia="Times New Roman"/>
                <w:color w:val="000000"/>
              </w:rPr>
            </w:pPr>
            <m:oMathPara>
              <m:oMath>
                <m:sSub>
                  <m:sSubPr>
                    <m:ctrlPr>
                      <w:rPr>
                        <w:rFonts w:ascii="Cambria Math" w:eastAsia="Times New Roman" w:hAnsi="Cambria Math"/>
                      </w:rPr>
                    </m:ctrlPr>
                  </m:sSubPr>
                  <m:e>
                    <m:r>
                      <w:rPr>
                        <w:rFonts w:ascii="Cambria Math" w:hAnsi="Cambria Math"/>
                      </w:rPr>
                      <m:t>n</m:t>
                    </m:r>
                    <m:ctrlPr>
                      <w:rPr>
                        <w:rFonts w:ascii="Cambria Math" w:hAnsi="Cambria Math"/>
                        <w:i/>
                      </w:rPr>
                    </m:ctrlPr>
                  </m:e>
                  <m:sub>
                    <m:r>
                      <w:rPr>
                        <w:rFonts w:ascii="Cambria Math" w:hAnsi="Cambria Math"/>
                      </w:rPr>
                      <m:t>f</m:t>
                    </m:r>
                  </m:sub>
                </m:sSub>
              </m:oMath>
            </m:oMathPara>
          </w:p>
        </w:tc>
        <w:tc>
          <w:tcPr>
            <w:tcW w:w="1218" w:type="pct"/>
            <w:shd w:val="clear" w:color="auto" w:fill="FFFFFF" w:themeFill="background1"/>
            <w:noWrap/>
            <w:vAlign w:val="center"/>
          </w:tcPr>
          <w:p w14:paraId="449CE86E"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0.917</w:t>
            </w:r>
          </w:p>
        </w:tc>
        <w:tc>
          <w:tcPr>
            <w:tcW w:w="1553" w:type="pct"/>
            <w:vMerge/>
            <w:shd w:val="clear" w:color="auto" w:fill="FFFFFF" w:themeFill="background1"/>
            <w:noWrap/>
            <w:vAlign w:val="bottom"/>
          </w:tcPr>
          <w:p w14:paraId="528DAAB0" w14:textId="77777777" w:rsidR="00160981" w:rsidRPr="00022BA7" w:rsidRDefault="00160981" w:rsidP="0067573D">
            <w:pPr>
              <w:spacing w:line="240" w:lineRule="auto"/>
              <w:jc w:val="right"/>
              <w:rPr>
                <w:rFonts w:eastAsia="Times New Roman"/>
                <w:color w:val="000000"/>
              </w:rPr>
            </w:pPr>
          </w:p>
        </w:tc>
      </w:tr>
      <w:tr w:rsidR="00160981" w:rsidRPr="00022BA7" w14:paraId="5552FBB4" w14:textId="77777777" w:rsidTr="0067573D">
        <w:trPr>
          <w:trHeight w:val="300"/>
        </w:trPr>
        <w:tc>
          <w:tcPr>
            <w:tcW w:w="1260" w:type="pct"/>
            <w:shd w:val="clear" w:color="auto" w:fill="FFFFFF" w:themeFill="background1"/>
            <w:noWrap/>
            <w:vAlign w:val="center"/>
          </w:tcPr>
          <w:p w14:paraId="08C7F107" w14:textId="77777777" w:rsidR="00160981" w:rsidRPr="00022BA7" w:rsidRDefault="00160981" w:rsidP="0067573D">
            <w:pPr>
              <w:spacing w:line="240" w:lineRule="auto"/>
              <w:rPr>
                <w:rFonts w:eastAsia="Times New Roman"/>
                <w:color w:val="000000"/>
              </w:rPr>
            </w:pPr>
            <w:r w:rsidRPr="00022BA7">
              <w:rPr>
                <w:rFonts w:eastAsia="Times New Roman"/>
                <w:color w:val="000000"/>
              </w:rPr>
              <w:t>Safety Factor</w:t>
            </w:r>
          </w:p>
        </w:tc>
        <w:tc>
          <w:tcPr>
            <w:tcW w:w="969" w:type="pct"/>
            <w:shd w:val="clear" w:color="auto" w:fill="FFFFFF" w:themeFill="background1"/>
            <w:noWrap/>
            <w:vAlign w:val="bottom"/>
          </w:tcPr>
          <w:p w14:paraId="79765B7A" w14:textId="77777777" w:rsidR="00160981" w:rsidRPr="00022BA7" w:rsidRDefault="00160981" w:rsidP="0067573D">
            <w:pPr>
              <w:spacing w:line="240" w:lineRule="auto"/>
              <w:jc w:val="right"/>
              <w:rPr>
                <w:rFonts w:eastAsia="Times New Roman"/>
                <w:color w:val="000000"/>
              </w:rPr>
            </w:pPr>
            <m:oMathPara>
              <m:oMath>
                <m:r>
                  <w:rPr>
                    <w:rFonts w:ascii="Cambria Math" w:hAnsi="Cambria Math"/>
                  </w:rPr>
                  <m:t>SF</m:t>
                </m:r>
              </m:oMath>
            </m:oMathPara>
          </w:p>
        </w:tc>
        <w:tc>
          <w:tcPr>
            <w:tcW w:w="1218" w:type="pct"/>
            <w:shd w:val="clear" w:color="auto" w:fill="FFFFFF" w:themeFill="background1"/>
            <w:noWrap/>
            <w:vAlign w:val="center"/>
          </w:tcPr>
          <w:p w14:paraId="4CA05187"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1.05</w:t>
            </w:r>
          </w:p>
        </w:tc>
        <w:tc>
          <w:tcPr>
            <w:tcW w:w="1553" w:type="pct"/>
            <w:shd w:val="clear" w:color="auto" w:fill="FFFFFF" w:themeFill="background1"/>
            <w:noWrap/>
            <w:vAlign w:val="bottom"/>
          </w:tcPr>
          <w:p w14:paraId="3D648BC6" w14:textId="77777777" w:rsidR="00160981" w:rsidRPr="00022BA7" w:rsidRDefault="00160981" w:rsidP="0067573D">
            <w:pPr>
              <w:spacing w:line="240" w:lineRule="auto"/>
              <w:jc w:val="right"/>
              <w:rPr>
                <w:rFonts w:eastAsia="Times New Roman"/>
                <w:color w:val="000000"/>
              </w:rPr>
            </w:pPr>
            <w:r w:rsidRPr="00022BA7">
              <w:rPr>
                <w:rFonts w:eastAsia="Times New Roman"/>
                <w:color w:val="000000"/>
              </w:rPr>
              <w:t>Authors</w:t>
            </w:r>
            <w:r>
              <w:rPr>
                <w:rFonts w:eastAsia="Times New Roman"/>
                <w:color w:val="000000"/>
              </w:rPr>
              <w:t>’</w:t>
            </w:r>
            <w:r w:rsidRPr="00022BA7">
              <w:rPr>
                <w:rFonts w:eastAsia="Times New Roman"/>
                <w:color w:val="000000"/>
              </w:rPr>
              <w:t xml:space="preserve"> assumption</w:t>
            </w:r>
          </w:p>
        </w:tc>
      </w:tr>
    </w:tbl>
    <w:p w14:paraId="6B8EFAE2" w14:textId="77777777" w:rsidR="00160981" w:rsidRPr="00022BA7" w:rsidRDefault="00160981" w:rsidP="00160981"/>
    <w:p w14:paraId="5320B8A2" w14:textId="389F9EFD" w:rsidR="00160981" w:rsidRDefault="00160981">
      <w:pPr>
        <w:widowControl/>
        <w:spacing w:line="240" w:lineRule="auto"/>
        <w:rPr>
          <w:color w:val="1F497D" w:themeColor="text2"/>
        </w:rPr>
      </w:pPr>
      <w:r>
        <w:rPr>
          <w:color w:val="1F497D" w:themeColor="text2"/>
        </w:rPr>
        <w:br w:type="page"/>
      </w:r>
    </w:p>
    <w:p w14:paraId="68F5841C" w14:textId="5FE843EC" w:rsidR="00160981" w:rsidRPr="00022BA7" w:rsidRDefault="00166350" w:rsidP="00160981">
      <w:pPr>
        <w:pStyle w:val="Caption"/>
        <w:keepNext/>
        <w:spacing w:line="240" w:lineRule="auto"/>
      </w:pPr>
      <w:bookmarkStart w:id="117" w:name="_Ref144852681"/>
      <w:bookmarkStart w:id="118" w:name="_Toc146723135"/>
      <w:r>
        <w:t xml:space="preserve">Supplementary </w:t>
      </w:r>
      <w:r w:rsidR="00160981" w:rsidRPr="00022BA7">
        <w:t xml:space="preserve">Table </w:t>
      </w:r>
      <w:r w:rsidR="00590C69">
        <w:fldChar w:fldCharType="begin"/>
      </w:r>
      <w:r w:rsidR="00590C69">
        <w:instrText xml:space="preserve"> SEQ Table \* ARABIC </w:instrText>
      </w:r>
      <w:r w:rsidR="00590C69">
        <w:fldChar w:fldCharType="separate"/>
      </w:r>
      <w:r w:rsidR="00C661AC">
        <w:rPr>
          <w:noProof/>
        </w:rPr>
        <w:t>10</w:t>
      </w:r>
      <w:r w:rsidR="00590C69">
        <w:rPr>
          <w:noProof/>
        </w:rPr>
        <w:fldChar w:fldCharType="end"/>
      </w:r>
      <w:bookmarkEnd w:id="117"/>
      <w:r w:rsidR="00160981" w:rsidRPr="00022BA7">
        <w:t>. Operational Mode by SOG</w:t>
      </w:r>
      <w:bookmarkEnd w:id="118"/>
    </w:p>
    <w:tbl>
      <w:tblPr>
        <w:tblpPr w:leftFromText="180" w:rightFromText="180" w:vertAnchor="text" w:tblpY="1"/>
        <w:tblOverlap w:val="never"/>
        <w:tblW w:w="5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gridCol w:w="2600"/>
      </w:tblGrid>
      <w:tr w:rsidR="00160981" w:rsidRPr="00022BA7" w14:paraId="532BC2B7" w14:textId="77777777" w:rsidTr="0067573D">
        <w:trPr>
          <w:trHeight w:val="300"/>
        </w:trPr>
        <w:tc>
          <w:tcPr>
            <w:tcW w:w="2415"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2DDA0688" w14:textId="77777777" w:rsidR="00160981" w:rsidRPr="00022BA7" w:rsidRDefault="00160981" w:rsidP="0067573D">
            <w:pPr>
              <w:jc w:val="center"/>
              <w:rPr>
                <w:sz w:val="18"/>
              </w:rPr>
            </w:pPr>
            <w:r w:rsidRPr="00022BA7">
              <w:rPr>
                <w:sz w:val="18"/>
              </w:rPr>
              <w:t>Speed Over Ground (</w:t>
            </w:r>
            <m:oMath>
              <m:sSub>
                <m:sSubPr>
                  <m:ctrlPr>
                    <w:rPr>
                      <w:rFonts w:ascii="Cambria Math" w:hAnsi="Cambria Math"/>
                      <w:i/>
                      <w:sz w:val="18"/>
                    </w:rPr>
                  </m:ctrlPr>
                </m:sSubPr>
                <m:e>
                  <m:r>
                    <w:rPr>
                      <w:rFonts w:ascii="Cambria Math" w:hAnsi="Cambria Math"/>
                      <w:sz w:val="18"/>
                    </w:rPr>
                    <m:t>SOG</m:t>
                  </m:r>
                </m:e>
                <m:sub>
                  <m:r>
                    <w:rPr>
                      <w:rFonts w:ascii="Cambria Math" w:hAnsi="Cambria Math"/>
                      <w:sz w:val="18"/>
                    </w:rPr>
                    <m:t>t</m:t>
                  </m:r>
                </m:sub>
              </m:sSub>
            </m:oMath>
            <w:r w:rsidRPr="00022BA7">
              <w:rPr>
                <w:sz w:val="18"/>
              </w:rPr>
              <w:t>)</w:t>
            </w:r>
          </w:p>
        </w:tc>
        <w:tc>
          <w:tcPr>
            <w:tcW w:w="2600" w:type="dxa"/>
            <w:tcBorders>
              <w:top w:val="single" w:sz="18"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20395983" w14:textId="77777777" w:rsidR="00160981" w:rsidRPr="00022BA7" w:rsidRDefault="00160981" w:rsidP="0067573D">
            <w:pPr>
              <w:jc w:val="center"/>
              <w:rPr>
                <w:sz w:val="18"/>
              </w:rPr>
            </w:pPr>
            <w:r w:rsidRPr="00022BA7">
              <w:rPr>
                <w:sz w:val="18"/>
              </w:rPr>
              <w:t>Operational Mode (</w:t>
            </w:r>
            <m:oMath>
              <m:sSub>
                <m:sSubPr>
                  <m:ctrlPr>
                    <w:rPr>
                      <w:rFonts w:ascii="Cambria Math" w:hAnsi="Cambria Math"/>
                      <w:i/>
                      <w:sz w:val="18"/>
                    </w:rPr>
                  </m:ctrlPr>
                </m:sSubPr>
                <m:e>
                  <m:r>
                    <w:rPr>
                      <w:rFonts w:ascii="Cambria Math" w:hAnsi="Cambria Math"/>
                      <w:sz w:val="18"/>
                    </w:rPr>
                    <m:t>OM</m:t>
                  </m:r>
                </m:e>
                <m:sub>
                  <m:r>
                    <w:rPr>
                      <w:rFonts w:ascii="Cambria Math" w:hAnsi="Cambria Math"/>
                      <w:sz w:val="18"/>
                    </w:rPr>
                    <m:t>t</m:t>
                  </m:r>
                </m:sub>
              </m:sSub>
            </m:oMath>
            <w:r w:rsidRPr="00022BA7">
              <w:rPr>
                <w:i/>
                <w:sz w:val="18"/>
              </w:rPr>
              <w:t>)</w:t>
            </w:r>
          </w:p>
        </w:tc>
      </w:tr>
      <w:tr w:rsidR="00160981" w:rsidRPr="00022BA7" w14:paraId="47FAE8A4" w14:textId="77777777" w:rsidTr="0067573D">
        <w:trPr>
          <w:trHeight w:val="300"/>
        </w:trPr>
        <w:tc>
          <w:tcPr>
            <w:tcW w:w="2415" w:type="dxa"/>
            <w:tcBorders>
              <w:top w:val="single" w:sz="18" w:space="0" w:color="auto"/>
            </w:tcBorders>
            <w:shd w:val="clear" w:color="auto" w:fill="auto"/>
            <w:noWrap/>
            <w:vAlign w:val="center"/>
            <w:hideMark/>
          </w:tcPr>
          <w:p w14:paraId="50D9D54C" w14:textId="77777777" w:rsidR="00160981" w:rsidRPr="00022BA7" w:rsidRDefault="00160981" w:rsidP="0067573D">
            <w:pPr>
              <w:jc w:val="center"/>
              <w:rPr>
                <w:sz w:val="18"/>
                <w:szCs w:val="18"/>
              </w:rPr>
            </w:pPr>
            <w:r w:rsidRPr="00022BA7">
              <w:rPr>
                <w:sz w:val="18"/>
                <w:szCs w:val="18"/>
              </w:rPr>
              <w:t>No data</w:t>
            </w:r>
          </w:p>
        </w:tc>
        <w:tc>
          <w:tcPr>
            <w:tcW w:w="2600" w:type="dxa"/>
            <w:tcBorders>
              <w:top w:val="single" w:sz="18" w:space="0" w:color="auto"/>
            </w:tcBorders>
            <w:shd w:val="clear" w:color="auto" w:fill="auto"/>
            <w:noWrap/>
            <w:vAlign w:val="center"/>
            <w:hideMark/>
          </w:tcPr>
          <w:p w14:paraId="4FD8B740" w14:textId="77777777" w:rsidR="00160981" w:rsidRPr="00022BA7" w:rsidRDefault="00160981" w:rsidP="0067573D">
            <w:pPr>
              <w:jc w:val="center"/>
              <w:rPr>
                <w:sz w:val="18"/>
                <w:szCs w:val="18"/>
              </w:rPr>
            </w:pPr>
            <w:r w:rsidRPr="00022BA7">
              <w:rPr>
                <w:sz w:val="18"/>
                <w:szCs w:val="18"/>
              </w:rPr>
              <w:t>No Activity</w:t>
            </w:r>
          </w:p>
        </w:tc>
      </w:tr>
      <w:tr w:rsidR="00160981" w:rsidRPr="00022BA7" w14:paraId="59C466CC" w14:textId="77777777" w:rsidTr="0067573D">
        <w:trPr>
          <w:trHeight w:val="300"/>
        </w:trPr>
        <w:tc>
          <w:tcPr>
            <w:tcW w:w="2415" w:type="dxa"/>
            <w:shd w:val="clear" w:color="auto" w:fill="auto"/>
            <w:noWrap/>
            <w:vAlign w:val="center"/>
            <w:hideMark/>
          </w:tcPr>
          <w:p w14:paraId="7FBBC5F9" w14:textId="77777777" w:rsidR="00160981" w:rsidRPr="00022BA7" w:rsidRDefault="00590C69" w:rsidP="0067573D">
            <w:pPr>
              <w:jc w:val="center"/>
              <w:rPr>
                <w:sz w:val="18"/>
                <w:szCs w:val="18"/>
              </w:rPr>
            </w:pPr>
            <m:oMath>
              <m:sSub>
                <m:sSubPr>
                  <m:ctrlPr>
                    <w:rPr>
                      <w:rFonts w:ascii="Cambria Math" w:hAnsi="Cambria Math"/>
                      <w:i/>
                      <w:sz w:val="18"/>
                      <w:szCs w:val="18"/>
                    </w:rPr>
                  </m:ctrlPr>
                </m:sSubPr>
                <m:e>
                  <m:r>
                    <w:rPr>
                      <w:rFonts w:ascii="Cambria Math" w:hAnsi="Cambria Math"/>
                      <w:sz w:val="18"/>
                      <w:szCs w:val="18"/>
                    </w:rPr>
                    <m:t>SOG</m:t>
                  </m:r>
                </m:e>
                <m:sub>
                  <m:r>
                    <w:rPr>
                      <w:rFonts w:ascii="Cambria Math" w:hAnsi="Cambria Math"/>
                      <w:sz w:val="18"/>
                      <w:szCs w:val="18"/>
                    </w:rPr>
                    <m:t>t</m:t>
                  </m:r>
                </m:sub>
              </m:sSub>
              <m:r>
                <m:rPr>
                  <m:sty m:val="p"/>
                </m:rPr>
                <w:rPr>
                  <w:rFonts w:ascii="Cambria Math" w:hAnsi="Cambria Math"/>
                  <w:sz w:val="18"/>
                  <w:szCs w:val="18"/>
                </w:rPr>
                <m:t>&lt;0.1</m:t>
              </m:r>
            </m:oMath>
            <w:r w:rsidR="00160981" w:rsidRPr="00022BA7">
              <w:rPr>
                <w:sz w:val="18"/>
                <w:szCs w:val="18"/>
              </w:rPr>
              <w:t xml:space="preserve"> knot</w:t>
            </w:r>
          </w:p>
        </w:tc>
        <w:tc>
          <w:tcPr>
            <w:tcW w:w="2600" w:type="dxa"/>
            <w:shd w:val="clear" w:color="auto" w:fill="auto"/>
            <w:noWrap/>
            <w:vAlign w:val="center"/>
            <w:hideMark/>
          </w:tcPr>
          <w:p w14:paraId="61A6DEF6" w14:textId="77777777" w:rsidR="00160981" w:rsidRPr="00022BA7" w:rsidRDefault="00160981" w:rsidP="0067573D">
            <w:pPr>
              <w:jc w:val="center"/>
              <w:rPr>
                <w:sz w:val="18"/>
                <w:szCs w:val="18"/>
              </w:rPr>
            </w:pPr>
            <w:r w:rsidRPr="00022BA7">
              <w:rPr>
                <w:sz w:val="18"/>
                <w:szCs w:val="18"/>
              </w:rPr>
              <w:t>At Berth</w:t>
            </w:r>
          </w:p>
        </w:tc>
      </w:tr>
      <w:tr w:rsidR="00160981" w:rsidRPr="00022BA7" w14:paraId="74AB8F96" w14:textId="77777777" w:rsidTr="0067573D">
        <w:trPr>
          <w:trHeight w:val="300"/>
        </w:trPr>
        <w:tc>
          <w:tcPr>
            <w:tcW w:w="2415" w:type="dxa"/>
            <w:shd w:val="clear" w:color="auto" w:fill="auto"/>
            <w:noWrap/>
            <w:vAlign w:val="center"/>
            <w:hideMark/>
          </w:tcPr>
          <w:p w14:paraId="5EA87B5F" w14:textId="77777777" w:rsidR="00160981" w:rsidRPr="00022BA7" w:rsidRDefault="00160981" w:rsidP="0067573D">
            <w:pPr>
              <w:jc w:val="center"/>
              <w:rPr>
                <w:sz w:val="18"/>
                <w:szCs w:val="18"/>
              </w:rPr>
            </w:pPr>
            <m:oMath>
              <m:r>
                <w:rPr>
                  <w:rFonts w:ascii="Cambria Math" w:hAnsi="Cambria Math"/>
                  <w:sz w:val="18"/>
                  <w:szCs w:val="18"/>
                </w:rPr>
                <m:t xml:space="preserve">0.1 </m:t>
              </m:r>
              <m:r>
                <m:rPr>
                  <m:sty m:val="p"/>
                </m:rPr>
                <w:rPr>
                  <w:rFonts w:ascii="Cambria Math" w:hAnsi="Cambria Math"/>
                  <w:sz w:val="18"/>
                  <w:szCs w:val="18"/>
                </w:rPr>
                <m:t>knot</m:t>
              </m:r>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SOG</m:t>
                  </m:r>
                </m:e>
                <m:sub>
                  <m:r>
                    <w:rPr>
                      <w:rFonts w:ascii="Cambria Math" w:hAnsi="Cambria Math"/>
                      <w:sz w:val="18"/>
                      <w:szCs w:val="18"/>
                    </w:rPr>
                    <m:t>t</m:t>
                  </m:r>
                </m:sub>
              </m:sSub>
              <m:r>
                <m:rPr>
                  <m:sty m:val="p"/>
                </m:rPr>
                <w:rPr>
                  <w:rFonts w:ascii="Cambria Math" w:hAnsi="Cambria Math"/>
                  <w:sz w:val="18"/>
                  <w:szCs w:val="18"/>
                </w:rPr>
                <m:t>&lt;0.5</m:t>
              </m:r>
            </m:oMath>
            <w:r w:rsidRPr="00022BA7">
              <w:rPr>
                <w:sz w:val="18"/>
                <w:szCs w:val="18"/>
              </w:rPr>
              <w:t xml:space="preserve"> knot</w:t>
            </w:r>
          </w:p>
        </w:tc>
        <w:tc>
          <w:tcPr>
            <w:tcW w:w="2600" w:type="dxa"/>
            <w:shd w:val="clear" w:color="auto" w:fill="auto"/>
            <w:noWrap/>
            <w:vAlign w:val="center"/>
            <w:hideMark/>
          </w:tcPr>
          <w:p w14:paraId="0091CE7F" w14:textId="77777777" w:rsidR="00160981" w:rsidRPr="00022BA7" w:rsidRDefault="00160981" w:rsidP="0067573D">
            <w:pPr>
              <w:jc w:val="center"/>
              <w:rPr>
                <w:sz w:val="18"/>
                <w:szCs w:val="18"/>
              </w:rPr>
            </w:pPr>
            <w:r w:rsidRPr="00022BA7">
              <w:rPr>
                <w:sz w:val="18"/>
                <w:szCs w:val="18"/>
              </w:rPr>
              <w:t>Anchored</w:t>
            </w:r>
          </w:p>
        </w:tc>
      </w:tr>
      <w:tr w:rsidR="00160981" w:rsidRPr="00022BA7" w14:paraId="3061D239" w14:textId="77777777" w:rsidTr="0067573D">
        <w:trPr>
          <w:trHeight w:val="300"/>
        </w:trPr>
        <w:tc>
          <w:tcPr>
            <w:tcW w:w="2415" w:type="dxa"/>
            <w:shd w:val="clear" w:color="auto" w:fill="auto"/>
            <w:noWrap/>
            <w:vAlign w:val="center"/>
            <w:hideMark/>
          </w:tcPr>
          <w:p w14:paraId="74B06932" w14:textId="77777777" w:rsidR="00160981" w:rsidRPr="00022BA7" w:rsidRDefault="00160981" w:rsidP="0067573D">
            <w:pPr>
              <w:jc w:val="center"/>
              <w:rPr>
                <w:sz w:val="18"/>
                <w:szCs w:val="18"/>
              </w:rPr>
            </w:pPr>
            <m:oMath>
              <m:r>
                <w:rPr>
                  <w:rFonts w:ascii="Cambria Math" w:hAnsi="Cambria Math"/>
                  <w:sz w:val="18"/>
                  <w:szCs w:val="18"/>
                </w:rPr>
                <m:t xml:space="preserve">0.5 </m:t>
              </m:r>
              <m:r>
                <m:rPr>
                  <m:sty m:val="p"/>
                </m:rPr>
                <w:rPr>
                  <w:rFonts w:ascii="Cambria Math" w:hAnsi="Cambria Math"/>
                  <w:sz w:val="18"/>
                  <w:szCs w:val="18"/>
                </w:rPr>
                <m:t>knot</m:t>
              </m:r>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SOG</m:t>
                  </m:r>
                </m:e>
                <m:sub>
                  <m:r>
                    <w:rPr>
                      <w:rFonts w:ascii="Cambria Math" w:hAnsi="Cambria Math"/>
                      <w:sz w:val="18"/>
                      <w:szCs w:val="18"/>
                    </w:rPr>
                    <m:t>t</m:t>
                  </m:r>
                </m:sub>
              </m:sSub>
              <m:r>
                <m:rPr>
                  <m:sty m:val="p"/>
                </m:rPr>
                <w:rPr>
                  <w:rFonts w:ascii="Cambria Math" w:hAnsi="Cambria Math"/>
                  <w:sz w:val="18"/>
                  <w:szCs w:val="18"/>
                </w:rPr>
                <m:t>&lt;5</m:t>
              </m:r>
            </m:oMath>
            <w:r w:rsidRPr="00022BA7">
              <w:rPr>
                <w:sz w:val="18"/>
                <w:szCs w:val="18"/>
              </w:rPr>
              <w:t xml:space="preserve"> knot</w:t>
            </w:r>
          </w:p>
        </w:tc>
        <w:tc>
          <w:tcPr>
            <w:tcW w:w="2600" w:type="dxa"/>
            <w:shd w:val="clear" w:color="auto" w:fill="auto"/>
            <w:noWrap/>
            <w:vAlign w:val="center"/>
            <w:hideMark/>
          </w:tcPr>
          <w:p w14:paraId="2EC0AAB6" w14:textId="77777777" w:rsidR="00160981" w:rsidRPr="00022BA7" w:rsidRDefault="00160981" w:rsidP="0067573D">
            <w:pPr>
              <w:jc w:val="center"/>
              <w:rPr>
                <w:sz w:val="18"/>
                <w:szCs w:val="18"/>
              </w:rPr>
            </w:pPr>
            <w:r w:rsidRPr="00022BA7">
              <w:rPr>
                <w:sz w:val="18"/>
                <w:szCs w:val="18"/>
              </w:rPr>
              <w:t>Maneuvering</w:t>
            </w:r>
          </w:p>
        </w:tc>
      </w:tr>
      <w:tr w:rsidR="00160981" w:rsidRPr="00022BA7" w14:paraId="44F342CE" w14:textId="77777777" w:rsidTr="0067573D">
        <w:trPr>
          <w:trHeight w:val="300"/>
        </w:trPr>
        <w:tc>
          <w:tcPr>
            <w:tcW w:w="2415" w:type="dxa"/>
            <w:shd w:val="clear" w:color="auto" w:fill="auto"/>
            <w:noWrap/>
            <w:vAlign w:val="center"/>
            <w:hideMark/>
          </w:tcPr>
          <w:p w14:paraId="33CAA0D6" w14:textId="77777777" w:rsidR="00160981" w:rsidRPr="00022BA7" w:rsidRDefault="00160981" w:rsidP="0067573D">
            <w:pPr>
              <w:jc w:val="center"/>
              <w:rPr>
                <w:sz w:val="18"/>
                <w:szCs w:val="18"/>
              </w:rPr>
            </w:pPr>
            <m:oMathPara>
              <m:oMath>
                <m:r>
                  <w:rPr>
                    <w:rFonts w:ascii="Cambria Math" w:hAnsi="Cambria Math"/>
                    <w:sz w:val="18"/>
                    <w:szCs w:val="18"/>
                  </w:rPr>
                  <m:t xml:space="preserve">5 </m:t>
                </m:r>
                <m:r>
                  <m:rPr>
                    <m:sty m:val="p"/>
                  </m:rPr>
                  <w:rPr>
                    <w:rFonts w:ascii="Cambria Math" w:hAnsi="Cambria Math"/>
                    <w:sz w:val="18"/>
                    <w:szCs w:val="18"/>
                  </w:rPr>
                  <m:t>knot</m:t>
                </m:r>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SOG</m:t>
                    </m:r>
                  </m:e>
                  <m:sub>
                    <m:r>
                      <w:rPr>
                        <w:rFonts w:ascii="Cambria Math" w:hAnsi="Cambria Math"/>
                        <w:sz w:val="18"/>
                        <w:szCs w:val="18"/>
                      </w:rPr>
                      <m:t>t</m:t>
                    </m:r>
                  </m:sub>
                </m:sSub>
              </m:oMath>
            </m:oMathPara>
          </w:p>
        </w:tc>
        <w:tc>
          <w:tcPr>
            <w:tcW w:w="2600" w:type="dxa"/>
            <w:shd w:val="clear" w:color="auto" w:fill="auto"/>
            <w:noWrap/>
            <w:vAlign w:val="center"/>
            <w:hideMark/>
          </w:tcPr>
          <w:p w14:paraId="7F88FA32" w14:textId="77777777" w:rsidR="00160981" w:rsidRPr="00022BA7" w:rsidRDefault="00160981" w:rsidP="0067573D">
            <w:pPr>
              <w:jc w:val="center"/>
              <w:rPr>
                <w:sz w:val="18"/>
                <w:szCs w:val="18"/>
              </w:rPr>
            </w:pPr>
            <w:r w:rsidRPr="00022BA7">
              <w:rPr>
                <w:sz w:val="18"/>
                <w:szCs w:val="18"/>
              </w:rPr>
              <w:t>Cruising</w:t>
            </w:r>
          </w:p>
        </w:tc>
      </w:tr>
    </w:tbl>
    <w:p w14:paraId="4356AF61" w14:textId="77777777" w:rsidR="00160981" w:rsidRPr="00022BA7" w:rsidRDefault="00160981" w:rsidP="00160981"/>
    <w:p w14:paraId="6F92EE35" w14:textId="77777777" w:rsidR="00160981" w:rsidRPr="00022BA7" w:rsidRDefault="00160981" w:rsidP="00160981"/>
    <w:p w14:paraId="72C95C84" w14:textId="77777777" w:rsidR="00160981" w:rsidRPr="00022BA7" w:rsidRDefault="00160981" w:rsidP="00160981"/>
    <w:p w14:paraId="31EF1822" w14:textId="77777777" w:rsidR="00160981" w:rsidRPr="00022BA7" w:rsidRDefault="00160981" w:rsidP="00160981"/>
    <w:p w14:paraId="3C7DA4A5" w14:textId="77777777" w:rsidR="00160981" w:rsidRPr="00022BA7" w:rsidRDefault="00160981" w:rsidP="00160981"/>
    <w:p w14:paraId="3B22350B" w14:textId="77777777" w:rsidR="00160981" w:rsidRPr="00022BA7" w:rsidRDefault="00160981" w:rsidP="00160981">
      <w:pPr>
        <w:ind w:right="458"/>
        <w:rPr>
          <w:sz w:val="20"/>
          <w:szCs w:val="20"/>
        </w:rPr>
      </w:pPr>
    </w:p>
    <w:p w14:paraId="2A59BE70" w14:textId="77777777" w:rsidR="00160981" w:rsidRPr="00022BA7" w:rsidRDefault="00160981" w:rsidP="00160981">
      <w:pPr>
        <w:ind w:right="458"/>
        <w:rPr>
          <w:sz w:val="20"/>
          <w:szCs w:val="20"/>
        </w:rPr>
      </w:pPr>
    </w:p>
    <w:p w14:paraId="4FEBA78D" w14:textId="77777777" w:rsidR="00160981" w:rsidRPr="00022BA7" w:rsidRDefault="00160981" w:rsidP="00160981">
      <w:pPr>
        <w:rPr>
          <w:sz w:val="18"/>
          <w:szCs w:val="18"/>
        </w:rPr>
      </w:pPr>
      <w:r w:rsidRPr="00022BA7">
        <w:rPr>
          <w:sz w:val="18"/>
          <w:szCs w:val="18"/>
        </w:rPr>
        <w:t>Authors</w:t>
      </w:r>
      <w:r>
        <w:rPr>
          <w:sz w:val="18"/>
          <w:szCs w:val="18"/>
        </w:rPr>
        <w:t>’</w:t>
      </w:r>
      <w:r w:rsidRPr="00022BA7">
        <w:rPr>
          <w:sz w:val="18"/>
          <w:szCs w:val="18"/>
        </w:rPr>
        <w:t xml:space="preserve"> assumptions based on IMO </w:t>
      </w:r>
      <w:r>
        <w:rPr>
          <w:sz w:val="18"/>
          <w:szCs w:val="18"/>
        </w:rPr>
        <w:t>(</w:t>
      </w:r>
      <w:r w:rsidRPr="00022BA7">
        <w:rPr>
          <w:sz w:val="18"/>
          <w:szCs w:val="18"/>
        </w:rPr>
        <w:t>2020) and expert opinions</w:t>
      </w:r>
      <w:r>
        <w:rPr>
          <w:sz w:val="18"/>
          <w:szCs w:val="18"/>
        </w:rPr>
        <w:t>.</w:t>
      </w:r>
    </w:p>
    <w:p w14:paraId="5EA32075" w14:textId="119DC438" w:rsidR="00160981" w:rsidRDefault="00160981">
      <w:pPr>
        <w:widowControl/>
        <w:spacing w:line="240" w:lineRule="auto"/>
        <w:rPr>
          <w:color w:val="1F497D" w:themeColor="text2"/>
        </w:rPr>
      </w:pPr>
      <w:r>
        <w:rPr>
          <w:color w:val="1F497D" w:themeColor="text2"/>
        </w:rPr>
        <w:br w:type="page"/>
      </w:r>
    </w:p>
    <w:p w14:paraId="657555E2" w14:textId="1EED3D23" w:rsidR="00B868BB" w:rsidRPr="00022BA7" w:rsidRDefault="00995F0B" w:rsidP="00B868BB">
      <w:pPr>
        <w:pStyle w:val="Caption"/>
        <w:keepNext/>
        <w:spacing w:line="240" w:lineRule="auto"/>
      </w:pPr>
      <w:bookmarkStart w:id="119" w:name="_Ref144852719"/>
      <w:bookmarkStart w:id="120" w:name="_Toc146723136"/>
      <w:r>
        <w:t xml:space="preserve">Supplementary </w:t>
      </w:r>
      <w:r w:rsidR="00B868BB" w:rsidRPr="00022BA7">
        <w:t xml:space="preserve">Table </w:t>
      </w:r>
      <w:r w:rsidR="00590C69">
        <w:fldChar w:fldCharType="begin"/>
      </w:r>
      <w:r w:rsidR="00590C69">
        <w:instrText xml:space="preserve"> SEQ Table \* ARABIC </w:instrText>
      </w:r>
      <w:r w:rsidR="00590C69">
        <w:fldChar w:fldCharType="separate"/>
      </w:r>
      <w:r w:rsidR="00C661AC">
        <w:rPr>
          <w:noProof/>
        </w:rPr>
        <w:t>11</w:t>
      </w:r>
      <w:r w:rsidR="00590C69">
        <w:rPr>
          <w:noProof/>
        </w:rPr>
        <w:fldChar w:fldCharType="end"/>
      </w:r>
      <w:bookmarkEnd w:id="119"/>
      <w:r w:rsidR="00B868BB" w:rsidRPr="00022BA7">
        <w:t xml:space="preserve">. Load Factor of Auxiliary Engines </w:t>
      </w:r>
      <w:r w:rsidR="00B868BB" w:rsidRPr="00022BA7">
        <w:rPr>
          <w:iCs/>
        </w:rPr>
        <w:t>by Operational Mode and Ship Type</w:t>
      </w:r>
      <w:r w:rsidR="00B868BB" w:rsidRPr="00022BA7">
        <w:t xml:space="preserve"> (EPA, 2009)</w:t>
      </w:r>
      <w:bookmarkEnd w:id="120"/>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440"/>
        <w:gridCol w:w="1260"/>
        <w:gridCol w:w="1260"/>
        <w:gridCol w:w="1504"/>
        <w:gridCol w:w="1489"/>
      </w:tblGrid>
      <w:tr w:rsidR="00B868BB" w:rsidRPr="00022BA7" w14:paraId="772B9F60" w14:textId="77777777" w:rsidTr="0067573D">
        <w:trPr>
          <w:trHeight w:val="311"/>
        </w:trPr>
        <w:tc>
          <w:tcPr>
            <w:tcW w:w="1885" w:type="dxa"/>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616C9B7D" w14:textId="77777777" w:rsidR="00B868BB" w:rsidRPr="00022BA7" w:rsidRDefault="00B868BB" w:rsidP="0067573D">
            <w:pPr>
              <w:spacing w:line="240" w:lineRule="auto"/>
              <w:jc w:val="center"/>
              <w:rPr>
                <w:b/>
              </w:rPr>
            </w:pPr>
            <w:r w:rsidRPr="00022BA7">
              <w:rPr>
                <w:rFonts w:eastAsia="Times New Roman"/>
                <w:b/>
              </w:rPr>
              <w:t>Ship Type (</w:t>
            </w:r>
            <m:oMath>
              <m:sSub>
                <m:sSubPr>
                  <m:ctrlPr>
                    <w:rPr>
                      <w:rFonts w:ascii="Cambria Math" w:hAnsi="Cambria Math"/>
                      <w:b/>
                      <w:bCs/>
                      <w:i/>
                      <w:iCs/>
                    </w:rPr>
                  </m:ctrlPr>
                </m:sSubPr>
                <m:e>
                  <m:r>
                    <m:rPr>
                      <m:sty m:val="bi"/>
                    </m:rPr>
                    <w:rPr>
                      <w:rFonts w:ascii="Cambria Math" w:hAnsi="Cambria Math"/>
                    </w:rPr>
                    <m:t>ST</m:t>
                  </m:r>
                </m:e>
                <m:sub>
                  <m:r>
                    <m:rPr>
                      <m:sty m:val="bi"/>
                    </m:rPr>
                    <w:rPr>
                      <w:rFonts w:ascii="Cambria Math" w:hAnsi="Cambria Math"/>
                    </w:rPr>
                    <m:t>v</m:t>
                  </m:r>
                </m:sub>
              </m:sSub>
            </m:oMath>
            <w:r w:rsidRPr="00022BA7">
              <w:rPr>
                <w:rFonts w:eastAsia="Times New Roman"/>
                <w:b/>
              </w:rPr>
              <w:t>)</w:t>
            </w:r>
          </w:p>
        </w:tc>
        <w:tc>
          <w:tcPr>
            <w:tcW w:w="6953" w:type="dxa"/>
            <w:gridSpan w:val="5"/>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1E95E2D4" w14:textId="77777777" w:rsidR="00B868BB" w:rsidRPr="00022BA7" w:rsidRDefault="00B868BB" w:rsidP="0067573D">
            <w:pPr>
              <w:spacing w:line="240" w:lineRule="auto"/>
              <w:jc w:val="center"/>
              <w:rPr>
                <w:b/>
                <w:sz w:val="21"/>
              </w:rPr>
            </w:pPr>
            <w:r w:rsidRPr="00022BA7">
              <w:rPr>
                <w:b/>
                <w:sz w:val="21"/>
              </w:rPr>
              <w:t>Operational Mode (</w:t>
            </w:r>
            <m:oMath>
              <m:sSub>
                <m:sSubPr>
                  <m:ctrlPr>
                    <w:rPr>
                      <w:rFonts w:ascii="Cambria Math" w:hAnsi="Cambria Math"/>
                      <w:b/>
                      <w:bCs/>
                      <w:i/>
                      <w:iCs/>
                    </w:rPr>
                  </m:ctrlPr>
                </m:sSubPr>
                <m:e>
                  <m:r>
                    <m:rPr>
                      <m:sty m:val="bi"/>
                    </m:rPr>
                    <w:rPr>
                      <w:rFonts w:ascii="Cambria Math" w:hAnsi="Cambria Math"/>
                    </w:rPr>
                    <m:t>OM</m:t>
                  </m:r>
                </m:e>
                <m:sub>
                  <m:r>
                    <m:rPr>
                      <m:sty m:val="bi"/>
                    </m:rPr>
                    <w:rPr>
                      <w:rFonts w:ascii="Cambria Math" w:hAnsi="Cambria Math"/>
                    </w:rPr>
                    <m:t>v,t</m:t>
                  </m:r>
                </m:sub>
              </m:sSub>
            </m:oMath>
            <w:r w:rsidRPr="00022BA7">
              <w:rPr>
                <w:b/>
                <w:sz w:val="21"/>
              </w:rPr>
              <w:t>)</w:t>
            </w:r>
          </w:p>
        </w:tc>
      </w:tr>
      <w:tr w:rsidR="00B868BB" w:rsidRPr="00022BA7" w14:paraId="05A568D0" w14:textId="77777777" w:rsidTr="0067573D">
        <w:trPr>
          <w:trHeight w:val="311"/>
        </w:trPr>
        <w:tc>
          <w:tcPr>
            <w:tcW w:w="1885"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5F8E2733" w14:textId="77777777" w:rsidR="00B868BB" w:rsidRPr="00022BA7" w:rsidRDefault="00B868BB" w:rsidP="0067573D">
            <w:pPr>
              <w:spacing w:line="240" w:lineRule="auto"/>
              <w:jc w:val="center"/>
              <w:rPr>
                <w:b/>
              </w:rPr>
            </w:pPr>
          </w:p>
        </w:tc>
        <w:tc>
          <w:tcPr>
            <w:tcW w:w="1440"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6B82BD25" w14:textId="77777777" w:rsidR="00B868BB" w:rsidRPr="00022BA7" w:rsidRDefault="00B868BB" w:rsidP="0067573D">
            <w:pPr>
              <w:spacing w:line="240" w:lineRule="auto"/>
              <w:jc w:val="center"/>
              <w:rPr>
                <w:b/>
                <w:sz w:val="21"/>
              </w:rPr>
            </w:pPr>
            <w:r w:rsidRPr="00022BA7">
              <w:rPr>
                <w:b/>
                <w:sz w:val="21"/>
              </w:rPr>
              <w:t>No Activity</w:t>
            </w:r>
          </w:p>
        </w:tc>
        <w:tc>
          <w:tcPr>
            <w:tcW w:w="1260"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119F2AAE" w14:textId="77777777" w:rsidR="00B868BB" w:rsidRPr="00022BA7" w:rsidRDefault="00B868BB" w:rsidP="0067573D">
            <w:pPr>
              <w:spacing w:line="240" w:lineRule="auto"/>
              <w:jc w:val="center"/>
              <w:rPr>
                <w:b/>
                <w:sz w:val="21"/>
              </w:rPr>
            </w:pPr>
            <w:r w:rsidRPr="00022BA7">
              <w:rPr>
                <w:b/>
                <w:sz w:val="21"/>
              </w:rPr>
              <w:t>At Berth</w:t>
            </w:r>
          </w:p>
        </w:tc>
        <w:tc>
          <w:tcPr>
            <w:tcW w:w="1260"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223520F7" w14:textId="77777777" w:rsidR="00B868BB" w:rsidRPr="00022BA7" w:rsidRDefault="00B868BB" w:rsidP="0067573D">
            <w:pPr>
              <w:spacing w:line="240" w:lineRule="auto"/>
              <w:jc w:val="center"/>
              <w:rPr>
                <w:b/>
                <w:sz w:val="21"/>
              </w:rPr>
            </w:pPr>
            <w:r w:rsidRPr="00022BA7">
              <w:rPr>
                <w:b/>
                <w:sz w:val="21"/>
              </w:rPr>
              <w:t>Anchored</w:t>
            </w:r>
          </w:p>
        </w:tc>
        <w:tc>
          <w:tcPr>
            <w:tcW w:w="1504"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6B3E6FB5" w14:textId="77777777" w:rsidR="00B868BB" w:rsidRPr="00022BA7" w:rsidRDefault="00B868BB" w:rsidP="0067573D">
            <w:pPr>
              <w:spacing w:line="240" w:lineRule="auto"/>
              <w:jc w:val="center"/>
              <w:rPr>
                <w:b/>
                <w:sz w:val="21"/>
              </w:rPr>
            </w:pPr>
            <w:r w:rsidRPr="00022BA7">
              <w:rPr>
                <w:b/>
                <w:sz w:val="21"/>
              </w:rPr>
              <w:t>Maneuvering</w:t>
            </w:r>
          </w:p>
        </w:tc>
        <w:tc>
          <w:tcPr>
            <w:tcW w:w="1489" w:type="dxa"/>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555053A3" w14:textId="77777777" w:rsidR="00B868BB" w:rsidRPr="00022BA7" w:rsidRDefault="00B868BB" w:rsidP="0067573D">
            <w:pPr>
              <w:spacing w:line="240" w:lineRule="auto"/>
              <w:jc w:val="center"/>
              <w:rPr>
                <w:b/>
                <w:sz w:val="21"/>
              </w:rPr>
            </w:pPr>
            <w:r w:rsidRPr="00022BA7">
              <w:rPr>
                <w:b/>
                <w:sz w:val="21"/>
              </w:rPr>
              <w:t>Cruising</w:t>
            </w:r>
          </w:p>
        </w:tc>
      </w:tr>
      <w:tr w:rsidR="00B868BB" w:rsidRPr="00022BA7" w14:paraId="1C2F3DF1" w14:textId="77777777" w:rsidTr="0067573D">
        <w:trPr>
          <w:trHeight w:val="311"/>
        </w:trPr>
        <w:tc>
          <w:tcPr>
            <w:tcW w:w="1885" w:type="dxa"/>
            <w:tcBorders>
              <w:top w:val="single" w:sz="18" w:space="0" w:color="auto"/>
            </w:tcBorders>
            <w:shd w:val="clear" w:color="auto" w:fill="FFFFFF" w:themeFill="background1"/>
            <w:noWrap/>
            <w:vAlign w:val="center"/>
          </w:tcPr>
          <w:p w14:paraId="35B2A9D0" w14:textId="77777777" w:rsidR="00B868BB" w:rsidRPr="00022BA7" w:rsidRDefault="00B868BB" w:rsidP="0067573D">
            <w:pPr>
              <w:spacing w:line="240" w:lineRule="auto"/>
              <w:rPr>
                <w:rFonts w:eastAsia="Times New Roman"/>
                <w:color w:val="000000"/>
              </w:rPr>
            </w:pPr>
            <w:r w:rsidRPr="00022BA7">
              <w:rPr>
                <w:rFonts w:eastAsia="Times New Roman"/>
                <w:color w:val="000000"/>
              </w:rPr>
              <w:t>Passenger</w:t>
            </w:r>
          </w:p>
        </w:tc>
        <w:tc>
          <w:tcPr>
            <w:tcW w:w="1440" w:type="dxa"/>
            <w:tcBorders>
              <w:top w:val="single" w:sz="18" w:space="0" w:color="auto"/>
            </w:tcBorders>
            <w:shd w:val="clear" w:color="auto" w:fill="FFFFFF" w:themeFill="background1"/>
            <w:noWrap/>
            <w:vAlign w:val="center"/>
          </w:tcPr>
          <w:p w14:paraId="22295786"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w:t>
            </w:r>
          </w:p>
        </w:tc>
        <w:tc>
          <w:tcPr>
            <w:tcW w:w="1260" w:type="dxa"/>
            <w:tcBorders>
              <w:top w:val="single" w:sz="18" w:space="0" w:color="auto"/>
            </w:tcBorders>
            <w:shd w:val="clear" w:color="auto" w:fill="FFFFFF" w:themeFill="background1"/>
            <w:noWrap/>
            <w:vAlign w:val="center"/>
          </w:tcPr>
          <w:p w14:paraId="270F63AF"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0.64</w:t>
            </w:r>
          </w:p>
        </w:tc>
        <w:tc>
          <w:tcPr>
            <w:tcW w:w="1260" w:type="dxa"/>
            <w:tcBorders>
              <w:top w:val="single" w:sz="18" w:space="0" w:color="auto"/>
            </w:tcBorders>
            <w:shd w:val="clear" w:color="auto" w:fill="FFFFFF" w:themeFill="background1"/>
            <w:noWrap/>
            <w:vAlign w:val="center"/>
          </w:tcPr>
          <w:p w14:paraId="146FE64D"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0.64</w:t>
            </w:r>
          </w:p>
        </w:tc>
        <w:tc>
          <w:tcPr>
            <w:tcW w:w="1504" w:type="dxa"/>
            <w:tcBorders>
              <w:top w:val="single" w:sz="18" w:space="0" w:color="auto"/>
            </w:tcBorders>
            <w:shd w:val="clear" w:color="auto" w:fill="FFFFFF" w:themeFill="background1"/>
            <w:noWrap/>
            <w:vAlign w:val="center"/>
          </w:tcPr>
          <w:p w14:paraId="23E2D484"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0.8</w:t>
            </w:r>
          </w:p>
        </w:tc>
        <w:tc>
          <w:tcPr>
            <w:tcW w:w="1489" w:type="dxa"/>
            <w:tcBorders>
              <w:top w:val="single" w:sz="18" w:space="0" w:color="auto"/>
            </w:tcBorders>
            <w:shd w:val="clear" w:color="auto" w:fill="FFFFFF" w:themeFill="background1"/>
            <w:noWrap/>
            <w:vAlign w:val="center"/>
          </w:tcPr>
          <w:p w14:paraId="4FFF9CCD"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0.8</w:t>
            </w:r>
          </w:p>
        </w:tc>
      </w:tr>
      <w:tr w:rsidR="00B868BB" w:rsidRPr="00022BA7" w14:paraId="3EBF7939" w14:textId="77777777" w:rsidTr="0067573D">
        <w:trPr>
          <w:trHeight w:val="311"/>
        </w:trPr>
        <w:tc>
          <w:tcPr>
            <w:tcW w:w="1885" w:type="dxa"/>
            <w:shd w:val="clear" w:color="auto" w:fill="FFFFFF" w:themeFill="background1"/>
            <w:noWrap/>
            <w:vAlign w:val="center"/>
            <w:hideMark/>
          </w:tcPr>
          <w:p w14:paraId="5B67F561" w14:textId="77777777" w:rsidR="00B868BB" w:rsidRPr="00022BA7" w:rsidRDefault="00B868BB" w:rsidP="0067573D">
            <w:pPr>
              <w:spacing w:line="240" w:lineRule="auto"/>
              <w:rPr>
                <w:rFonts w:eastAsia="Times New Roman"/>
                <w:color w:val="000000"/>
              </w:rPr>
            </w:pPr>
            <w:r w:rsidRPr="00022BA7">
              <w:rPr>
                <w:rFonts w:eastAsia="Times New Roman"/>
                <w:color w:val="000000"/>
              </w:rPr>
              <w:t>Tugs</w:t>
            </w:r>
          </w:p>
        </w:tc>
        <w:tc>
          <w:tcPr>
            <w:tcW w:w="1440" w:type="dxa"/>
            <w:shd w:val="clear" w:color="auto" w:fill="FFFFFF" w:themeFill="background1"/>
            <w:noWrap/>
            <w:vAlign w:val="center"/>
            <w:hideMark/>
          </w:tcPr>
          <w:p w14:paraId="3E3D783C"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w:t>
            </w:r>
          </w:p>
        </w:tc>
        <w:tc>
          <w:tcPr>
            <w:tcW w:w="1260" w:type="dxa"/>
            <w:shd w:val="clear" w:color="auto" w:fill="FFFFFF" w:themeFill="background1"/>
            <w:noWrap/>
            <w:vAlign w:val="center"/>
            <w:hideMark/>
          </w:tcPr>
          <w:p w14:paraId="573A6226"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0.22</w:t>
            </w:r>
          </w:p>
        </w:tc>
        <w:tc>
          <w:tcPr>
            <w:tcW w:w="1260" w:type="dxa"/>
            <w:shd w:val="clear" w:color="auto" w:fill="FFFFFF" w:themeFill="background1"/>
            <w:noWrap/>
            <w:vAlign w:val="center"/>
            <w:hideMark/>
          </w:tcPr>
          <w:p w14:paraId="75D4292A"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0.22</w:t>
            </w:r>
          </w:p>
        </w:tc>
        <w:tc>
          <w:tcPr>
            <w:tcW w:w="1504" w:type="dxa"/>
            <w:shd w:val="clear" w:color="auto" w:fill="FFFFFF" w:themeFill="background1"/>
            <w:noWrap/>
            <w:vAlign w:val="center"/>
            <w:hideMark/>
          </w:tcPr>
          <w:p w14:paraId="673C1688"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0.45</w:t>
            </w:r>
          </w:p>
        </w:tc>
        <w:tc>
          <w:tcPr>
            <w:tcW w:w="1489" w:type="dxa"/>
            <w:shd w:val="clear" w:color="auto" w:fill="FFFFFF" w:themeFill="background1"/>
            <w:noWrap/>
            <w:vAlign w:val="center"/>
            <w:hideMark/>
          </w:tcPr>
          <w:p w14:paraId="07395D5D"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0.17</w:t>
            </w:r>
          </w:p>
        </w:tc>
      </w:tr>
      <w:tr w:rsidR="00B868BB" w:rsidRPr="00022BA7" w14:paraId="2824979A" w14:textId="77777777" w:rsidTr="0067573D">
        <w:trPr>
          <w:trHeight w:val="311"/>
        </w:trPr>
        <w:tc>
          <w:tcPr>
            <w:tcW w:w="1885" w:type="dxa"/>
            <w:shd w:val="clear" w:color="auto" w:fill="FFFFFF" w:themeFill="background1"/>
            <w:noWrap/>
            <w:vAlign w:val="center"/>
            <w:hideMark/>
          </w:tcPr>
          <w:p w14:paraId="529A61A3" w14:textId="77777777" w:rsidR="00B868BB" w:rsidRPr="00022BA7" w:rsidRDefault="00B868BB" w:rsidP="0067573D">
            <w:pPr>
              <w:spacing w:line="240" w:lineRule="auto"/>
              <w:rPr>
                <w:rFonts w:eastAsia="Times New Roman"/>
                <w:color w:val="000000"/>
              </w:rPr>
            </w:pPr>
            <w:r w:rsidRPr="00022BA7">
              <w:rPr>
                <w:rFonts w:eastAsia="Times New Roman"/>
                <w:color w:val="000000"/>
              </w:rPr>
              <w:t>Container</w:t>
            </w:r>
          </w:p>
        </w:tc>
        <w:tc>
          <w:tcPr>
            <w:tcW w:w="1440" w:type="dxa"/>
            <w:shd w:val="clear" w:color="auto" w:fill="FFFFFF" w:themeFill="background1"/>
            <w:noWrap/>
            <w:vAlign w:val="center"/>
            <w:hideMark/>
          </w:tcPr>
          <w:p w14:paraId="07A09391"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w:t>
            </w:r>
          </w:p>
        </w:tc>
        <w:tc>
          <w:tcPr>
            <w:tcW w:w="1260" w:type="dxa"/>
            <w:shd w:val="clear" w:color="auto" w:fill="FFFFFF" w:themeFill="background1"/>
            <w:noWrap/>
            <w:vAlign w:val="center"/>
            <w:hideMark/>
          </w:tcPr>
          <w:p w14:paraId="3649E3FD"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0.17</w:t>
            </w:r>
          </w:p>
        </w:tc>
        <w:tc>
          <w:tcPr>
            <w:tcW w:w="1260" w:type="dxa"/>
            <w:shd w:val="clear" w:color="auto" w:fill="FFFFFF" w:themeFill="background1"/>
            <w:noWrap/>
            <w:vAlign w:val="center"/>
            <w:hideMark/>
          </w:tcPr>
          <w:p w14:paraId="4BBC313C"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0.17</w:t>
            </w:r>
          </w:p>
        </w:tc>
        <w:tc>
          <w:tcPr>
            <w:tcW w:w="1504" w:type="dxa"/>
            <w:shd w:val="clear" w:color="auto" w:fill="FFFFFF" w:themeFill="background1"/>
            <w:noWrap/>
            <w:vAlign w:val="center"/>
            <w:hideMark/>
          </w:tcPr>
          <w:p w14:paraId="0DB999DA"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0.5</w:t>
            </w:r>
          </w:p>
        </w:tc>
        <w:tc>
          <w:tcPr>
            <w:tcW w:w="1489" w:type="dxa"/>
            <w:shd w:val="clear" w:color="auto" w:fill="FFFFFF" w:themeFill="background1"/>
            <w:noWrap/>
            <w:vAlign w:val="center"/>
            <w:hideMark/>
          </w:tcPr>
          <w:p w14:paraId="244FE583"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0.13</w:t>
            </w:r>
          </w:p>
        </w:tc>
      </w:tr>
      <w:tr w:rsidR="00B868BB" w:rsidRPr="00022BA7" w14:paraId="3D018641" w14:textId="77777777" w:rsidTr="0067573D">
        <w:trPr>
          <w:trHeight w:val="311"/>
        </w:trPr>
        <w:tc>
          <w:tcPr>
            <w:tcW w:w="1885" w:type="dxa"/>
            <w:shd w:val="clear" w:color="auto" w:fill="FFFFFF" w:themeFill="background1"/>
            <w:noWrap/>
            <w:vAlign w:val="center"/>
            <w:hideMark/>
          </w:tcPr>
          <w:p w14:paraId="1ED8AD96" w14:textId="77777777" w:rsidR="00B868BB" w:rsidRPr="00022BA7" w:rsidRDefault="00B868BB" w:rsidP="0067573D">
            <w:pPr>
              <w:spacing w:line="240" w:lineRule="auto"/>
              <w:rPr>
                <w:rFonts w:eastAsia="Times New Roman"/>
                <w:color w:val="000000"/>
              </w:rPr>
            </w:pPr>
            <w:r w:rsidRPr="00022BA7">
              <w:rPr>
                <w:rFonts w:eastAsia="Times New Roman"/>
                <w:color w:val="000000"/>
              </w:rPr>
              <w:t>Tanker</w:t>
            </w:r>
          </w:p>
        </w:tc>
        <w:tc>
          <w:tcPr>
            <w:tcW w:w="1440" w:type="dxa"/>
            <w:shd w:val="clear" w:color="auto" w:fill="FFFFFF" w:themeFill="background1"/>
            <w:noWrap/>
            <w:vAlign w:val="center"/>
            <w:hideMark/>
          </w:tcPr>
          <w:p w14:paraId="798827A2"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w:t>
            </w:r>
          </w:p>
        </w:tc>
        <w:tc>
          <w:tcPr>
            <w:tcW w:w="1260" w:type="dxa"/>
            <w:shd w:val="clear" w:color="auto" w:fill="FFFFFF" w:themeFill="background1"/>
            <w:noWrap/>
            <w:vAlign w:val="center"/>
            <w:hideMark/>
          </w:tcPr>
          <w:p w14:paraId="77657160"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0.67</w:t>
            </w:r>
          </w:p>
        </w:tc>
        <w:tc>
          <w:tcPr>
            <w:tcW w:w="1260" w:type="dxa"/>
            <w:shd w:val="clear" w:color="auto" w:fill="FFFFFF" w:themeFill="background1"/>
            <w:noWrap/>
            <w:vAlign w:val="center"/>
            <w:hideMark/>
          </w:tcPr>
          <w:p w14:paraId="09BB7613"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0.67</w:t>
            </w:r>
          </w:p>
        </w:tc>
        <w:tc>
          <w:tcPr>
            <w:tcW w:w="1504" w:type="dxa"/>
            <w:shd w:val="clear" w:color="auto" w:fill="FFFFFF" w:themeFill="background1"/>
            <w:noWrap/>
            <w:vAlign w:val="center"/>
            <w:hideMark/>
          </w:tcPr>
          <w:p w14:paraId="77AD76AA"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0.45</w:t>
            </w:r>
          </w:p>
        </w:tc>
        <w:tc>
          <w:tcPr>
            <w:tcW w:w="1489" w:type="dxa"/>
            <w:shd w:val="clear" w:color="auto" w:fill="FFFFFF" w:themeFill="background1"/>
            <w:noWrap/>
            <w:vAlign w:val="center"/>
            <w:hideMark/>
          </w:tcPr>
          <w:p w14:paraId="54AE47B3"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0.13</w:t>
            </w:r>
          </w:p>
        </w:tc>
      </w:tr>
    </w:tbl>
    <w:p w14:paraId="6C7D4BD1" w14:textId="064B88F6" w:rsidR="00B868BB" w:rsidRDefault="00B868BB" w:rsidP="009B1D80">
      <w:pPr>
        <w:rPr>
          <w:color w:val="1F497D" w:themeColor="text2"/>
        </w:rPr>
      </w:pPr>
    </w:p>
    <w:p w14:paraId="1AD1ECEF" w14:textId="77777777" w:rsidR="00B868BB" w:rsidRDefault="00B868BB">
      <w:pPr>
        <w:widowControl/>
        <w:spacing w:line="240" w:lineRule="auto"/>
        <w:rPr>
          <w:color w:val="1F497D" w:themeColor="text2"/>
        </w:rPr>
      </w:pPr>
      <w:r>
        <w:rPr>
          <w:color w:val="1F497D" w:themeColor="text2"/>
        </w:rPr>
        <w:br w:type="page"/>
      </w:r>
    </w:p>
    <w:p w14:paraId="3882F1C2" w14:textId="0D3B689A" w:rsidR="00B868BB" w:rsidRPr="00022BA7" w:rsidRDefault="00995F0B" w:rsidP="00B868BB">
      <w:pPr>
        <w:pStyle w:val="Caption"/>
        <w:keepNext/>
        <w:spacing w:line="240" w:lineRule="auto"/>
      </w:pPr>
      <w:bookmarkStart w:id="121" w:name="_Ref144852748"/>
      <w:bookmarkStart w:id="122" w:name="_Toc146723137"/>
      <w:r>
        <w:t xml:space="preserve">Supplementary </w:t>
      </w:r>
      <w:r w:rsidR="00B868BB" w:rsidRPr="00022BA7">
        <w:t xml:space="preserve">Table </w:t>
      </w:r>
      <w:r w:rsidR="00590C69">
        <w:fldChar w:fldCharType="begin"/>
      </w:r>
      <w:r w:rsidR="00590C69">
        <w:instrText xml:space="preserve"> SEQ Table \* ARABIC </w:instrText>
      </w:r>
      <w:r w:rsidR="00590C69">
        <w:fldChar w:fldCharType="separate"/>
      </w:r>
      <w:r w:rsidR="00C661AC">
        <w:rPr>
          <w:noProof/>
        </w:rPr>
        <w:t>12</w:t>
      </w:r>
      <w:r w:rsidR="00590C69">
        <w:rPr>
          <w:noProof/>
        </w:rPr>
        <w:fldChar w:fldCharType="end"/>
      </w:r>
      <w:bookmarkEnd w:id="121"/>
      <w:r w:rsidR="00B868BB" w:rsidRPr="00022BA7">
        <w:t>. Energy Consumption Ratio of Main Engine and Auxiliary Engine (IMO, 2020)</w:t>
      </w:r>
      <w:bookmarkEnd w:id="122"/>
    </w:p>
    <w:tbl>
      <w:tblPr>
        <w:tblW w:w="47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2610"/>
        <w:gridCol w:w="2490"/>
        <w:gridCol w:w="1832"/>
      </w:tblGrid>
      <w:tr w:rsidR="00B868BB" w:rsidRPr="00022BA7" w14:paraId="6C993736" w14:textId="77777777" w:rsidTr="0067573D">
        <w:trPr>
          <w:trHeight w:val="300"/>
        </w:trPr>
        <w:tc>
          <w:tcPr>
            <w:tcW w:w="1069" w:type="pct"/>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12816F5A" w14:textId="77777777" w:rsidR="00B868BB" w:rsidRPr="00022BA7" w:rsidRDefault="00B868BB" w:rsidP="0067573D">
            <w:pPr>
              <w:spacing w:line="240" w:lineRule="auto"/>
              <w:rPr>
                <w:rFonts w:eastAsia="Times New Roman"/>
                <w:b/>
                <w:color w:val="000000"/>
              </w:rPr>
            </w:pPr>
            <w:r w:rsidRPr="00022BA7">
              <w:rPr>
                <w:rFonts w:eastAsia="Times New Roman"/>
                <w:b/>
              </w:rPr>
              <w:t>Ship Type (</w:t>
            </w:r>
            <m:oMath>
              <m:sSub>
                <m:sSubPr>
                  <m:ctrlPr>
                    <w:rPr>
                      <w:rFonts w:ascii="Cambria Math" w:hAnsi="Cambria Math"/>
                      <w:b/>
                      <w:bCs/>
                      <w:i/>
                      <w:iCs/>
                    </w:rPr>
                  </m:ctrlPr>
                </m:sSubPr>
                <m:e>
                  <m:r>
                    <m:rPr>
                      <m:sty m:val="bi"/>
                    </m:rPr>
                    <w:rPr>
                      <w:rFonts w:ascii="Cambria Math" w:hAnsi="Cambria Math"/>
                    </w:rPr>
                    <m:t>ST</m:t>
                  </m:r>
                </m:e>
                <m:sub>
                  <m:r>
                    <m:rPr>
                      <m:sty m:val="bi"/>
                    </m:rPr>
                    <w:rPr>
                      <w:rFonts w:ascii="Cambria Math" w:hAnsi="Cambria Math"/>
                    </w:rPr>
                    <m:t>v</m:t>
                  </m:r>
                </m:sub>
              </m:sSub>
            </m:oMath>
            <w:r w:rsidRPr="00022BA7">
              <w:rPr>
                <w:rFonts w:eastAsia="Times New Roman"/>
                <w:b/>
              </w:rPr>
              <w:t>)</w:t>
            </w:r>
          </w:p>
        </w:tc>
        <w:tc>
          <w:tcPr>
            <w:tcW w:w="2892" w:type="pct"/>
            <w:gridSpan w:val="2"/>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0A999B4D" w14:textId="77777777" w:rsidR="00B868BB" w:rsidRPr="00022BA7" w:rsidRDefault="00B868BB" w:rsidP="0067573D">
            <w:pPr>
              <w:spacing w:line="240" w:lineRule="auto"/>
              <w:jc w:val="center"/>
              <w:rPr>
                <w:rFonts w:eastAsia="Times New Roman"/>
                <w:b/>
                <w:color w:val="000000"/>
              </w:rPr>
            </w:pPr>
            <w:r w:rsidRPr="00022BA7">
              <w:rPr>
                <w:rFonts w:eastAsia="Times New Roman"/>
                <w:b/>
                <w:color w:val="000000"/>
              </w:rPr>
              <w:t>Energy Consumption Ratio</w:t>
            </w:r>
          </w:p>
        </w:tc>
        <w:tc>
          <w:tcPr>
            <w:tcW w:w="1039" w:type="pct"/>
            <w:vMerge w:val="restart"/>
            <w:tcBorders>
              <w:top w:val="single" w:sz="18" w:space="0" w:color="auto"/>
              <w:left w:val="single" w:sz="2" w:space="0" w:color="auto"/>
            </w:tcBorders>
            <w:shd w:val="clear" w:color="auto" w:fill="F2F2F2" w:themeFill="background1" w:themeFillShade="F2"/>
            <w:noWrap/>
            <w:vAlign w:val="center"/>
          </w:tcPr>
          <w:p w14:paraId="41E79703" w14:textId="77777777" w:rsidR="00B868BB" w:rsidRPr="00022BA7" w:rsidRDefault="00590C69" w:rsidP="0067573D">
            <w:pPr>
              <w:spacing w:line="240" w:lineRule="auto"/>
              <w:jc w:val="center"/>
              <w:rPr>
                <w:rFonts w:eastAsia="Times New Roman"/>
                <w:b/>
                <w:color w:val="000000"/>
              </w:rPr>
            </w:pPr>
            <m:oMath>
              <m:sSubSup>
                <m:sSubSupPr>
                  <m:ctrlPr>
                    <w:rPr>
                      <w:rStyle w:val="EquationChar"/>
                      <w:rFonts w:eastAsia="Times New Roman" w:cstheme="minorBidi"/>
                      <w:b/>
                      <w:i w:val="0"/>
                    </w:rPr>
                  </m:ctrlPr>
                </m:sSubSupPr>
                <m:e>
                  <m:r>
                    <m:rPr>
                      <m:sty m:val="b"/>
                    </m:rPr>
                    <w:rPr>
                      <w:rStyle w:val="EquationChar"/>
                    </w:rPr>
                    <m:t>R</m:t>
                  </m:r>
                  <m:ctrlPr>
                    <w:rPr>
                      <w:rStyle w:val="EquationChar"/>
                      <w:b/>
                      <w:i w:val="0"/>
                    </w:rPr>
                  </m:ctrlPr>
                </m:e>
                <m:sub>
                  <m:r>
                    <m:rPr>
                      <m:sty m:val="b"/>
                    </m:rPr>
                    <w:rPr>
                      <w:rStyle w:val="EquationChar"/>
                    </w:rPr>
                    <m:t>S</m:t>
                  </m:r>
                  <m:sSub>
                    <m:sSubPr>
                      <m:ctrlPr>
                        <w:rPr>
                          <w:rStyle w:val="EquationChar"/>
                          <w:b/>
                          <w:i w:val="0"/>
                        </w:rPr>
                      </m:ctrlPr>
                    </m:sSubPr>
                    <m:e>
                      <m:r>
                        <m:rPr>
                          <m:sty m:val="b"/>
                        </m:rPr>
                        <w:rPr>
                          <w:rStyle w:val="EquationChar"/>
                        </w:rPr>
                        <m:t>T</m:t>
                      </m:r>
                    </m:e>
                    <m:sub>
                      <m:r>
                        <m:rPr>
                          <m:sty m:val="b"/>
                        </m:rPr>
                        <w:rPr>
                          <w:rStyle w:val="EquationChar"/>
                        </w:rPr>
                        <m:t>v</m:t>
                      </m:r>
                    </m:sub>
                  </m:sSub>
                </m:sub>
                <m:sup>
                  <m:r>
                    <m:rPr>
                      <m:sty m:val="b"/>
                    </m:rPr>
                    <w:rPr>
                      <w:rFonts w:ascii="Cambria Math" w:eastAsia="Times New Roman" w:hAnsi="Cambria Math"/>
                      <w:color w:val="000000"/>
                    </w:rPr>
                    <m:t>AE/ME</m:t>
                  </m:r>
                  <m:ctrlPr>
                    <w:rPr>
                      <w:rStyle w:val="EquationChar"/>
                      <w:b/>
                      <w:i w:val="0"/>
                    </w:rPr>
                  </m:ctrlPr>
                </m:sup>
              </m:sSubSup>
            </m:oMath>
            <w:r w:rsidR="00B868BB" w:rsidRPr="00022BA7">
              <w:rPr>
                <w:rFonts w:eastAsia="Times New Roman"/>
                <w:b/>
                <w:color w:val="000000"/>
              </w:rPr>
              <w:t xml:space="preserve"> [B]/[A]</w:t>
            </w:r>
          </w:p>
        </w:tc>
      </w:tr>
      <w:tr w:rsidR="00B868BB" w:rsidRPr="00022BA7" w14:paraId="2A586567" w14:textId="77777777" w:rsidTr="0067573D">
        <w:trPr>
          <w:trHeight w:val="300"/>
        </w:trPr>
        <w:tc>
          <w:tcPr>
            <w:tcW w:w="1069" w:type="pct"/>
            <w:vMerge/>
            <w:tcBorders>
              <w:top w:val="single" w:sz="2" w:space="0" w:color="auto"/>
              <w:left w:val="single" w:sz="2" w:space="0" w:color="auto"/>
              <w:bottom w:val="single" w:sz="18" w:space="0" w:color="auto"/>
              <w:right w:val="single" w:sz="2" w:space="0" w:color="auto"/>
            </w:tcBorders>
            <w:shd w:val="clear" w:color="auto" w:fill="BFBFBF" w:themeFill="background1" w:themeFillShade="BF"/>
            <w:noWrap/>
            <w:vAlign w:val="bottom"/>
          </w:tcPr>
          <w:p w14:paraId="4CE80CC0" w14:textId="77777777" w:rsidR="00B868BB" w:rsidRPr="00022BA7" w:rsidRDefault="00B868BB" w:rsidP="0067573D">
            <w:pPr>
              <w:spacing w:line="240" w:lineRule="auto"/>
              <w:jc w:val="center"/>
              <w:rPr>
                <w:rFonts w:eastAsia="Times New Roman"/>
                <w:b/>
                <w:color w:val="000000"/>
              </w:rPr>
            </w:pPr>
          </w:p>
        </w:tc>
        <w:tc>
          <w:tcPr>
            <w:tcW w:w="1480" w:type="pct"/>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7D3DFE95" w14:textId="77777777" w:rsidR="00B868BB" w:rsidRPr="00022BA7" w:rsidRDefault="00B868BB" w:rsidP="0067573D">
            <w:pPr>
              <w:spacing w:line="240" w:lineRule="auto"/>
              <w:jc w:val="center"/>
              <w:rPr>
                <w:rFonts w:eastAsia="Times New Roman"/>
                <w:b/>
                <w:color w:val="000000"/>
              </w:rPr>
            </w:pPr>
            <w:r w:rsidRPr="00022BA7">
              <w:rPr>
                <w:rFonts w:eastAsia="Times New Roman"/>
                <w:b/>
                <w:color w:val="000000"/>
              </w:rPr>
              <w:t>M</w:t>
            </w:r>
            <w:r w:rsidRPr="00022BA7">
              <w:rPr>
                <w:rFonts w:hint="eastAsia"/>
                <w:b/>
                <w:color w:val="000000"/>
                <w:lang w:eastAsia="ko-KR"/>
              </w:rPr>
              <w:t>a</w:t>
            </w:r>
            <w:r w:rsidRPr="00022BA7">
              <w:rPr>
                <w:b/>
                <w:color w:val="000000"/>
                <w:lang w:eastAsia="ko-KR"/>
              </w:rPr>
              <w:t xml:space="preserve">in </w:t>
            </w:r>
            <w:r w:rsidRPr="00022BA7">
              <w:rPr>
                <w:rFonts w:eastAsia="Times New Roman"/>
                <w:b/>
                <w:color w:val="000000"/>
              </w:rPr>
              <w:t>Engine [A]</w:t>
            </w:r>
          </w:p>
        </w:tc>
        <w:tc>
          <w:tcPr>
            <w:tcW w:w="1411" w:type="pct"/>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center"/>
            <w:hideMark/>
          </w:tcPr>
          <w:p w14:paraId="4E5C9C5B" w14:textId="77777777" w:rsidR="00B868BB" w:rsidRPr="00022BA7" w:rsidRDefault="00B868BB" w:rsidP="0067573D">
            <w:pPr>
              <w:spacing w:line="240" w:lineRule="auto"/>
              <w:jc w:val="center"/>
              <w:rPr>
                <w:rFonts w:eastAsia="Times New Roman"/>
                <w:b/>
                <w:color w:val="000000"/>
              </w:rPr>
            </w:pPr>
            <w:r w:rsidRPr="00022BA7">
              <w:rPr>
                <w:rFonts w:eastAsia="Times New Roman"/>
                <w:b/>
                <w:color w:val="000000"/>
              </w:rPr>
              <w:t>Auxiliary Engine* [B]</w:t>
            </w:r>
          </w:p>
        </w:tc>
        <w:tc>
          <w:tcPr>
            <w:tcW w:w="1039" w:type="pct"/>
            <w:vMerge/>
            <w:tcBorders>
              <w:left w:val="single" w:sz="2" w:space="0" w:color="auto"/>
              <w:bottom w:val="single" w:sz="18" w:space="0" w:color="auto"/>
            </w:tcBorders>
            <w:shd w:val="clear" w:color="auto" w:fill="BFBFBF" w:themeFill="background1" w:themeFillShade="BF"/>
            <w:noWrap/>
            <w:vAlign w:val="bottom"/>
            <w:hideMark/>
          </w:tcPr>
          <w:p w14:paraId="51E71D35" w14:textId="77777777" w:rsidR="00B868BB" w:rsidRPr="00022BA7" w:rsidRDefault="00B868BB" w:rsidP="0067573D">
            <w:pPr>
              <w:spacing w:line="240" w:lineRule="auto"/>
              <w:jc w:val="right"/>
              <w:rPr>
                <w:rFonts w:eastAsia="Times New Roman"/>
                <w:b/>
                <w:color w:val="000000"/>
              </w:rPr>
            </w:pPr>
          </w:p>
        </w:tc>
      </w:tr>
      <w:tr w:rsidR="00B868BB" w:rsidRPr="00022BA7" w14:paraId="0379E59E" w14:textId="77777777" w:rsidTr="0067573D">
        <w:trPr>
          <w:trHeight w:val="300"/>
        </w:trPr>
        <w:tc>
          <w:tcPr>
            <w:tcW w:w="1069" w:type="pct"/>
            <w:tcBorders>
              <w:top w:val="single" w:sz="18" w:space="0" w:color="auto"/>
            </w:tcBorders>
            <w:shd w:val="clear" w:color="auto" w:fill="FFFFFF" w:themeFill="background1"/>
            <w:noWrap/>
            <w:vAlign w:val="center"/>
            <w:hideMark/>
          </w:tcPr>
          <w:p w14:paraId="1C36F085" w14:textId="77777777" w:rsidR="00B868BB" w:rsidRPr="00022BA7" w:rsidRDefault="00B868BB" w:rsidP="0067573D">
            <w:pPr>
              <w:spacing w:line="240" w:lineRule="auto"/>
              <w:rPr>
                <w:rFonts w:eastAsia="Times New Roman"/>
                <w:color w:val="000000"/>
              </w:rPr>
            </w:pPr>
            <w:r w:rsidRPr="00022BA7">
              <w:rPr>
                <w:rFonts w:eastAsia="Times New Roman"/>
                <w:color w:val="000000"/>
              </w:rPr>
              <w:t>Passenger</w:t>
            </w:r>
          </w:p>
        </w:tc>
        <w:tc>
          <w:tcPr>
            <w:tcW w:w="1480" w:type="pct"/>
            <w:tcBorders>
              <w:top w:val="single" w:sz="18" w:space="0" w:color="auto"/>
            </w:tcBorders>
            <w:shd w:val="clear" w:color="auto" w:fill="FFFFFF" w:themeFill="background1"/>
            <w:noWrap/>
            <w:vAlign w:val="center"/>
            <w:hideMark/>
          </w:tcPr>
          <w:p w14:paraId="02B5D877"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48.2%</w:t>
            </w:r>
          </w:p>
        </w:tc>
        <w:tc>
          <w:tcPr>
            <w:tcW w:w="1411" w:type="pct"/>
            <w:tcBorders>
              <w:top w:val="single" w:sz="18" w:space="0" w:color="auto"/>
            </w:tcBorders>
            <w:shd w:val="clear" w:color="auto" w:fill="FFFFFF" w:themeFill="background1"/>
            <w:noWrap/>
            <w:vAlign w:val="center"/>
            <w:hideMark/>
          </w:tcPr>
          <w:p w14:paraId="153DFEE9"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51.8%</w:t>
            </w:r>
          </w:p>
        </w:tc>
        <w:tc>
          <w:tcPr>
            <w:tcW w:w="1039" w:type="pct"/>
            <w:tcBorders>
              <w:top w:val="single" w:sz="18" w:space="0" w:color="auto"/>
            </w:tcBorders>
            <w:shd w:val="clear" w:color="auto" w:fill="FFFFFF" w:themeFill="background1"/>
            <w:noWrap/>
            <w:vAlign w:val="center"/>
            <w:hideMark/>
          </w:tcPr>
          <w:p w14:paraId="0668F489"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107%</w:t>
            </w:r>
          </w:p>
        </w:tc>
      </w:tr>
      <w:tr w:rsidR="00B868BB" w:rsidRPr="00022BA7" w14:paraId="3777D107" w14:textId="77777777" w:rsidTr="0067573D">
        <w:trPr>
          <w:trHeight w:val="300"/>
        </w:trPr>
        <w:tc>
          <w:tcPr>
            <w:tcW w:w="1069" w:type="pct"/>
            <w:shd w:val="clear" w:color="auto" w:fill="FFFFFF" w:themeFill="background1"/>
            <w:noWrap/>
            <w:vAlign w:val="center"/>
            <w:hideMark/>
          </w:tcPr>
          <w:p w14:paraId="766A9A90" w14:textId="77777777" w:rsidR="00B868BB" w:rsidRPr="00022BA7" w:rsidRDefault="00B868BB" w:rsidP="0067573D">
            <w:pPr>
              <w:spacing w:line="240" w:lineRule="auto"/>
              <w:rPr>
                <w:rFonts w:eastAsia="Times New Roman"/>
                <w:color w:val="000000"/>
              </w:rPr>
            </w:pPr>
            <w:r w:rsidRPr="00022BA7">
              <w:rPr>
                <w:rFonts w:eastAsia="Times New Roman"/>
                <w:color w:val="000000"/>
              </w:rPr>
              <w:t>Tugs</w:t>
            </w:r>
          </w:p>
        </w:tc>
        <w:tc>
          <w:tcPr>
            <w:tcW w:w="1480" w:type="pct"/>
            <w:shd w:val="clear" w:color="auto" w:fill="FFFFFF" w:themeFill="background1"/>
            <w:noWrap/>
            <w:vAlign w:val="center"/>
            <w:hideMark/>
          </w:tcPr>
          <w:p w14:paraId="72B8810B"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74.4%</w:t>
            </w:r>
          </w:p>
        </w:tc>
        <w:tc>
          <w:tcPr>
            <w:tcW w:w="1411" w:type="pct"/>
            <w:shd w:val="clear" w:color="auto" w:fill="FFFFFF" w:themeFill="background1"/>
            <w:noWrap/>
            <w:vAlign w:val="center"/>
            <w:hideMark/>
          </w:tcPr>
          <w:p w14:paraId="2B3B7138"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25.6%</w:t>
            </w:r>
          </w:p>
        </w:tc>
        <w:tc>
          <w:tcPr>
            <w:tcW w:w="1039" w:type="pct"/>
            <w:shd w:val="clear" w:color="auto" w:fill="FFFFFF" w:themeFill="background1"/>
            <w:noWrap/>
            <w:vAlign w:val="center"/>
            <w:hideMark/>
          </w:tcPr>
          <w:p w14:paraId="22732C50"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34%</w:t>
            </w:r>
          </w:p>
        </w:tc>
      </w:tr>
      <w:tr w:rsidR="00B868BB" w:rsidRPr="00022BA7" w14:paraId="24343012" w14:textId="77777777" w:rsidTr="0067573D">
        <w:trPr>
          <w:trHeight w:val="300"/>
        </w:trPr>
        <w:tc>
          <w:tcPr>
            <w:tcW w:w="1069" w:type="pct"/>
            <w:shd w:val="clear" w:color="auto" w:fill="FFFFFF" w:themeFill="background1"/>
            <w:noWrap/>
            <w:vAlign w:val="center"/>
          </w:tcPr>
          <w:p w14:paraId="0A9ADCD4" w14:textId="77777777" w:rsidR="00B868BB" w:rsidRPr="00022BA7" w:rsidRDefault="00B868BB" w:rsidP="0067573D">
            <w:pPr>
              <w:spacing w:line="240" w:lineRule="auto"/>
              <w:rPr>
                <w:rFonts w:eastAsia="Times New Roman"/>
                <w:color w:val="000000"/>
              </w:rPr>
            </w:pPr>
            <w:r w:rsidRPr="00022BA7">
              <w:rPr>
                <w:rFonts w:eastAsia="Times New Roman"/>
                <w:color w:val="000000"/>
              </w:rPr>
              <w:t>Container</w:t>
            </w:r>
          </w:p>
        </w:tc>
        <w:tc>
          <w:tcPr>
            <w:tcW w:w="1480" w:type="pct"/>
            <w:shd w:val="clear" w:color="auto" w:fill="FFFFFF" w:themeFill="background1"/>
            <w:noWrap/>
            <w:vAlign w:val="center"/>
          </w:tcPr>
          <w:p w14:paraId="721657FA"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85.3%</w:t>
            </w:r>
          </w:p>
        </w:tc>
        <w:tc>
          <w:tcPr>
            <w:tcW w:w="1411" w:type="pct"/>
            <w:shd w:val="clear" w:color="auto" w:fill="FFFFFF" w:themeFill="background1"/>
            <w:noWrap/>
            <w:vAlign w:val="center"/>
          </w:tcPr>
          <w:p w14:paraId="5E39FD0B"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14.7%</w:t>
            </w:r>
          </w:p>
        </w:tc>
        <w:tc>
          <w:tcPr>
            <w:tcW w:w="1039" w:type="pct"/>
            <w:shd w:val="clear" w:color="auto" w:fill="FFFFFF" w:themeFill="background1"/>
            <w:noWrap/>
            <w:vAlign w:val="center"/>
          </w:tcPr>
          <w:p w14:paraId="71AD6623"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17%</w:t>
            </w:r>
          </w:p>
        </w:tc>
      </w:tr>
      <w:tr w:rsidR="00B868BB" w:rsidRPr="00022BA7" w14:paraId="6A2DF381" w14:textId="77777777" w:rsidTr="0067573D">
        <w:trPr>
          <w:trHeight w:val="300"/>
        </w:trPr>
        <w:tc>
          <w:tcPr>
            <w:tcW w:w="1069" w:type="pct"/>
            <w:tcBorders>
              <w:bottom w:val="single" w:sz="18" w:space="0" w:color="auto"/>
            </w:tcBorders>
            <w:shd w:val="clear" w:color="auto" w:fill="FFFFFF" w:themeFill="background1"/>
            <w:noWrap/>
            <w:vAlign w:val="center"/>
            <w:hideMark/>
          </w:tcPr>
          <w:p w14:paraId="0124F6FD" w14:textId="77777777" w:rsidR="00B868BB" w:rsidRPr="00022BA7" w:rsidRDefault="00B868BB" w:rsidP="0067573D">
            <w:pPr>
              <w:spacing w:line="240" w:lineRule="auto"/>
              <w:rPr>
                <w:rFonts w:eastAsia="Times New Roman"/>
                <w:color w:val="000000"/>
              </w:rPr>
            </w:pPr>
            <w:r w:rsidRPr="00022BA7">
              <w:rPr>
                <w:rFonts w:eastAsia="Times New Roman"/>
                <w:color w:val="000000"/>
              </w:rPr>
              <w:t>Tanker</w:t>
            </w:r>
          </w:p>
        </w:tc>
        <w:tc>
          <w:tcPr>
            <w:tcW w:w="1480" w:type="pct"/>
            <w:tcBorders>
              <w:bottom w:val="single" w:sz="18" w:space="0" w:color="auto"/>
            </w:tcBorders>
            <w:shd w:val="clear" w:color="auto" w:fill="FFFFFF" w:themeFill="background1"/>
            <w:noWrap/>
            <w:vAlign w:val="center"/>
            <w:hideMark/>
          </w:tcPr>
          <w:p w14:paraId="0223F03A"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66.9%</w:t>
            </w:r>
          </w:p>
        </w:tc>
        <w:tc>
          <w:tcPr>
            <w:tcW w:w="1411" w:type="pct"/>
            <w:tcBorders>
              <w:bottom w:val="single" w:sz="18" w:space="0" w:color="auto"/>
            </w:tcBorders>
            <w:shd w:val="clear" w:color="auto" w:fill="FFFFFF" w:themeFill="background1"/>
            <w:noWrap/>
            <w:vAlign w:val="center"/>
            <w:hideMark/>
          </w:tcPr>
          <w:p w14:paraId="37C389E9"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33.1%</w:t>
            </w:r>
          </w:p>
        </w:tc>
        <w:tc>
          <w:tcPr>
            <w:tcW w:w="1039" w:type="pct"/>
            <w:tcBorders>
              <w:bottom w:val="single" w:sz="18" w:space="0" w:color="auto"/>
            </w:tcBorders>
            <w:shd w:val="clear" w:color="auto" w:fill="FFFFFF" w:themeFill="background1"/>
            <w:noWrap/>
            <w:vAlign w:val="center"/>
            <w:hideMark/>
          </w:tcPr>
          <w:p w14:paraId="638E6E65" w14:textId="77777777" w:rsidR="00B868BB" w:rsidRPr="00022BA7" w:rsidRDefault="00B868BB" w:rsidP="0067573D">
            <w:pPr>
              <w:spacing w:line="240" w:lineRule="auto"/>
              <w:jc w:val="right"/>
              <w:rPr>
                <w:rFonts w:eastAsia="Times New Roman"/>
                <w:color w:val="000000"/>
              </w:rPr>
            </w:pPr>
            <w:r w:rsidRPr="00022BA7">
              <w:rPr>
                <w:rFonts w:eastAsia="Times New Roman"/>
                <w:color w:val="000000"/>
              </w:rPr>
              <w:t>50%</w:t>
            </w:r>
          </w:p>
        </w:tc>
      </w:tr>
    </w:tbl>
    <w:p w14:paraId="7FE37B65" w14:textId="77777777" w:rsidR="00B868BB" w:rsidRPr="00022BA7" w:rsidRDefault="00B868BB" w:rsidP="00B868BB">
      <w:pPr>
        <w:spacing w:after="240"/>
        <w:rPr>
          <w:sz w:val="18"/>
        </w:rPr>
      </w:pPr>
    </w:p>
    <w:p w14:paraId="05576F0A" w14:textId="06CB3B4F" w:rsidR="00B868BB" w:rsidRDefault="00B868BB">
      <w:pPr>
        <w:widowControl/>
        <w:spacing w:line="240" w:lineRule="auto"/>
        <w:rPr>
          <w:color w:val="1F497D" w:themeColor="text2"/>
        </w:rPr>
      </w:pPr>
      <w:r>
        <w:rPr>
          <w:color w:val="1F497D" w:themeColor="text2"/>
        </w:rPr>
        <w:br w:type="page"/>
      </w:r>
    </w:p>
    <w:p w14:paraId="6DAE0C28" w14:textId="5CDDE3F6" w:rsidR="00B868BB" w:rsidRPr="00022BA7" w:rsidRDefault="00995F0B" w:rsidP="00B868BB">
      <w:pPr>
        <w:pStyle w:val="Caption"/>
        <w:keepNext/>
        <w:spacing w:line="240" w:lineRule="auto"/>
      </w:pPr>
      <w:bookmarkStart w:id="123" w:name="_Ref144852826"/>
      <w:bookmarkStart w:id="124" w:name="_Toc146723138"/>
      <w:r>
        <w:t xml:space="preserve">Supplementary </w:t>
      </w:r>
      <w:r w:rsidR="00B868BB" w:rsidRPr="00022BA7">
        <w:t xml:space="preserve">Table </w:t>
      </w:r>
      <w:r w:rsidR="00590C69">
        <w:fldChar w:fldCharType="begin"/>
      </w:r>
      <w:r w:rsidR="00590C69">
        <w:instrText xml:space="preserve"> SEQ Table \* ARABIC </w:instrText>
      </w:r>
      <w:r w:rsidR="00590C69">
        <w:fldChar w:fldCharType="separate"/>
      </w:r>
      <w:r w:rsidR="00C661AC">
        <w:rPr>
          <w:noProof/>
        </w:rPr>
        <w:t>13</w:t>
      </w:r>
      <w:r w:rsidR="00590C69">
        <w:rPr>
          <w:noProof/>
        </w:rPr>
        <w:fldChar w:fldCharType="end"/>
      </w:r>
      <w:bookmarkEnd w:id="123"/>
      <w:r w:rsidR="00B868BB" w:rsidRPr="00022BA7">
        <w:t>. Efficiency of Individual Ship Components</w:t>
      </w:r>
      <w:bookmarkEnd w:id="124"/>
    </w:p>
    <w:tbl>
      <w:tblPr>
        <w:tblW w:w="8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5217"/>
        <w:gridCol w:w="1501"/>
        <w:gridCol w:w="1917"/>
      </w:tblGrid>
      <w:tr w:rsidR="00B868BB" w:rsidRPr="00022BA7" w14:paraId="02FA03DE" w14:textId="77777777" w:rsidTr="0067573D">
        <w:trPr>
          <w:trHeight w:val="208"/>
        </w:trPr>
        <w:tc>
          <w:tcPr>
            <w:tcW w:w="5217" w:type="dxa"/>
            <w:tcBorders>
              <w:top w:val="single" w:sz="18" w:space="0" w:color="auto"/>
              <w:left w:val="single" w:sz="2" w:space="0" w:color="auto"/>
              <w:bottom w:val="single" w:sz="18" w:space="0" w:color="auto"/>
              <w:right w:val="single" w:sz="2" w:space="0" w:color="auto"/>
            </w:tcBorders>
            <w:shd w:val="clear" w:color="auto" w:fill="D9D9D9" w:themeFill="background1" w:themeFillShade="D9"/>
            <w:tcMar>
              <w:top w:w="34" w:type="dxa"/>
              <w:left w:w="34" w:type="dxa"/>
              <w:bottom w:w="0" w:type="dxa"/>
              <w:right w:w="34" w:type="dxa"/>
            </w:tcMar>
            <w:vAlign w:val="center"/>
            <w:hideMark/>
          </w:tcPr>
          <w:p w14:paraId="49155809" w14:textId="77777777" w:rsidR="00B868BB" w:rsidRPr="00022BA7" w:rsidRDefault="00B868BB" w:rsidP="0067573D">
            <w:pPr>
              <w:jc w:val="center"/>
              <w:rPr>
                <w:b/>
                <w:sz w:val="20"/>
              </w:rPr>
            </w:pPr>
            <w:r w:rsidRPr="00022BA7">
              <w:rPr>
                <w:b/>
                <w:sz w:val="20"/>
              </w:rPr>
              <w:t>Components</w:t>
            </w:r>
          </w:p>
        </w:tc>
        <w:tc>
          <w:tcPr>
            <w:tcW w:w="1501" w:type="dxa"/>
            <w:tcBorders>
              <w:top w:val="single" w:sz="18" w:space="0" w:color="auto"/>
              <w:left w:val="single" w:sz="2" w:space="0" w:color="auto"/>
              <w:bottom w:val="single" w:sz="18" w:space="0" w:color="auto"/>
              <w:right w:val="single" w:sz="2" w:space="0" w:color="auto"/>
            </w:tcBorders>
            <w:shd w:val="clear" w:color="auto" w:fill="D9D9D9" w:themeFill="background1" w:themeFillShade="D9"/>
            <w:tcMar>
              <w:top w:w="34" w:type="dxa"/>
              <w:left w:w="34" w:type="dxa"/>
              <w:bottom w:w="0" w:type="dxa"/>
              <w:right w:w="34" w:type="dxa"/>
            </w:tcMar>
            <w:vAlign w:val="center"/>
            <w:hideMark/>
          </w:tcPr>
          <w:p w14:paraId="52DF34B3" w14:textId="77777777" w:rsidR="00B868BB" w:rsidRPr="00022BA7" w:rsidRDefault="00B868BB" w:rsidP="0067573D">
            <w:pPr>
              <w:jc w:val="center"/>
              <w:rPr>
                <w:b/>
                <w:sz w:val="20"/>
              </w:rPr>
            </w:pPr>
            <w:r w:rsidRPr="00022BA7">
              <w:rPr>
                <w:b/>
                <w:sz w:val="20"/>
              </w:rPr>
              <w:t>Symbol</w:t>
            </w:r>
          </w:p>
        </w:tc>
        <w:tc>
          <w:tcPr>
            <w:tcW w:w="1917" w:type="dxa"/>
            <w:tcBorders>
              <w:top w:val="single" w:sz="18" w:space="0" w:color="auto"/>
              <w:left w:val="single" w:sz="2" w:space="0" w:color="auto"/>
              <w:bottom w:val="single" w:sz="18" w:space="0" w:color="auto"/>
              <w:right w:val="single" w:sz="2" w:space="0" w:color="auto"/>
            </w:tcBorders>
            <w:shd w:val="clear" w:color="auto" w:fill="D9D9D9" w:themeFill="background1" w:themeFillShade="D9"/>
            <w:tcMar>
              <w:top w:w="34" w:type="dxa"/>
              <w:left w:w="34" w:type="dxa"/>
              <w:bottom w:w="0" w:type="dxa"/>
              <w:right w:w="34" w:type="dxa"/>
            </w:tcMar>
            <w:vAlign w:val="center"/>
            <w:hideMark/>
          </w:tcPr>
          <w:p w14:paraId="57F5924A" w14:textId="77777777" w:rsidR="00B868BB" w:rsidRPr="00022BA7" w:rsidRDefault="00B868BB" w:rsidP="0067573D">
            <w:pPr>
              <w:jc w:val="center"/>
              <w:rPr>
                <w:b/>
                <w:sz w:val="20"/>
              </w:rPr>
            </w:pPr>
            <w:r w:rsidRPr="00022BA7">
              <w:rPr>
                <w:b/>
                <w:sz w:val="20"/>
              </w:rPr>
              <w:t>Efficiency</w:t>
            </w:r>
            <w:r>
              <w:rPr>
                <w:b/>
                <w:sz w:val="20"/>
              </w:rPr>
              <w:t>*</w:t>
            </w:r>
          </w:p>
        </w:tc>
      </w:tr>
      <w:tr w:rsidR="00B868BB" w:rsidRPr="00022BA7" w14:paraId="5A038A1F" w14:textId="77777777" w:rsidTr="0067573D">
        <w:trPr>
          <w:trHeight w:val="208"/>
        </w:trPr>
        <w:tc>
          <w:tcPr>
            <w:tcW w:w="5217" w:type="dxa"/>
            <w:tcBorders>
              <w:top w:val="single" w:sz="18" w:space="0" w:color="auto"/>
            </w:tcBorders>
            <w:shd w:val="clear" w:color="auto" w:fill="auto"/>
            <w:tcMar>
              <w:top w:w="34" w:type="dxa"/>
              <w:left w:w="34" w:type="dxa"/>
              <w:bottom w:w="0" w:type="dxa"/>
              <w:right w:w="34" w:type="dxa"/>
            </w:tcMar>
            <w:vAlign w:val="center"/>
            <w:hideMark/>
          </w:tcPr>
          <w:p w14:paraId="4C730D1A" w14:textId="77777777" w:rsidR="00B868BB" w:rsidRPr="00022BA7" w:rsidRDefault="00B868BB" w:rsidP="0067573D">
            <w:pPr>
              <w:pStyle w:val="TableBody"/>
            </w:pPr>
            <w:r w:rsidRPr="00022BA7">
              <w:t>Battery round trip efficiency</w:t>
            </w:r>
          </w:p>
        </w:tc>
        <w:tc>
          <w:tcPr>
            <w:tcW w:w="1501" w:type="dxa"/>
            <w:tcBorders>
              <w:top w:val="single" w:sz="18" w:space="0" w:color="auto"/>
            </w:tcBorders>
            <w:shd w:val="clear" w:color="auto" w:fill="auto"/>
            <w:tcMar>
              <w:top w:w="34" w:type="dxa"/>
              <w:left w:w="34" w:type="dxa"/>
              <w:bottom w:w="0" w:type="dxa"/>
              <w:right w:w="34" w:type="dxa"/>
            </w:tcMar>
            <w:vAlign w:val="center"/>
            <w:hideMark/>
          </w:tcPr>
          <w:p w14:paraId="74CA73CA" w14:textId="77777777" w:rsidR="00B868BB" w:rsidRPr="00022BA7" w:rsidRDefault="00590C69" w:rsidP="0067573D">
            <w:pPr>
              <w:jc w:val="center"/>
              <w:rPr>
                <w:sz w:val="20"/>
                <w:szCs w:val="20"/>
              </w:rPr>
            </w:pPr>
            <m:oMathPara>
              <m:oMath>
                <m:sSub>
                  <m:sSubPr>
                    <m:ctrlPr>
                      <w:rPr>
                        <w:rFonts w:ascii="Cambria Math" w:hAnsi="Cambria Math"/>
                        <w:i/>
                      </w:rPr>
                    </m:ctrlPr>
                  </m:sSubPr>
                  <m:e>
                    <m:r>
                      <w:rPr>
                        <w:rFonts w:ascii="Cambria Math" w:hAnsi="Cambria Math"/>
                      </w:rPr>
                      <m:t>η</m:t>
                    </m:r>
                  </m:e>
                  <m:sub>
                    <m:r>
                      <w:rPr>
                        <w:rFonts w:ascii="Cambria Math" w:hAnsi="Cambria Math"/>
                      </w:rPr>
                      <m:t>Bat</m:t>
                    </m:r>
                  </m:sub>
                </m:sSub>
              </m:oMath>
            </m:oMathPara>
          </w:p>
        </w:tc>
        <w:tc>
          <w:tcPr>
            <w:tcW w:w="1917" w:type="dxa"/>
            <w:tcBorders>
              <w:top w:val="single" w:sz="18" w:space="0" w:color="auto"/>
            </w:tcBorders>
            <w:shd w:val="clear" w:color="auto" w:fill="auto"/>
            <w:tcMar>
              <w:top w:w="34" w:type="dxa"/>
              <w:left w:w="34" w:type="dxa"/>
              <w:bottom w:w="0" w:type="dxa"/>
              <w:right w:w="34" w:type="dxa"/>
            </w:tcMar>
            <w:vAlign w:val="center"/>
            <w:hideMark/>
          </w:tcPr>
          <w:p w14:paraId="15C8F8F5" w14:textId="77777777" w:rsidR="00B868BB" w:rsidRPr="00022BA7" w:rsidRDefault="00B868BB" w:rsidP="0067573D">
            <w:pPr>
              <w:jc w:val="right"/>
              <w:rPr>
                <w:sz w:val="20"/>
                <w:szCs w:val="20"/>
              </w:rPr>
            </w:pPr>
            <w:r w:rsidRPr="00022BA7">
              <w:rPr>
                <w:sz w:val="20"/>
                <w:szCs w:val="20"/>
              </w:rPr>
              <w:t>98.0%</w:t>
            </w:r>
          </w:p>
        </w:tc>
      </w:tr>
      <w:tr w:rsidR="00B868BB" w:rsidRPr="00022BA7" w14:paraId="3FA721C1" w14:textId="77777777" w:rsidTr="0067573D">
        <w:trPr>
          <w:trHeight w:val="208"/>
        </w:trPr>
        <w:tc>
          <w:tcPr>
            <w:tcW w:w="5217" w:type="dxa"/>
            <w:shd w:val="clear" w:color="auto" w:fill="auto"/>
            <w:tcMar>
              <w:top w:w="34" w:type="dxa"/>
              <w:left w:w="34" w:type="dxa"/>
              <w:bottom w:w="0" w:type="dxa"/>
              <w:right w:w="34" w:type="dxa"/>
            </w:tcMar>
            <w:vAlign w:val="center"/>
            <w:hideMark/>
          </w:tcPr>
          <w:p w14:paraId="54D6AD2A" w14:textId="77777777" w:rsidR="00B868BB" w:rsidRPr="00022BA7" w:rsidRDefault="00B868BB" w:rsidP="0067573D">
            <w:pPr>
              <w:rPr>
                <w:sz w:val="20"/>
                <w:szCs w:val="20"/>
              </w:rPr>
            </w:pPr>
            <w:r w:rsidRPr="00022BA7">
              <w:rPr>
                <w:sz w:val="20"/>
                <w:szCs w:val="20"/>
              </w:rPr>
              <w:t>Efficiency of DC/DC converter</w:t>
            </w:r>
          </w:p>
        </w:tc>
        <w:tc>
          <w:tcPr>
            <w:tcW w:w="1501" w:type="dxa"/>
            <w:shd w:val="clear" w:color="auto" w:fill="auto"/>
            <w:tcMar>
              <w:top w:w="34" w:type="dxa"/>
              <w:left w:w="34" w:type="dxa"/>
              <w:bottom w:w="0" w:type="dxa"/>
              <w:right w:w="34" w:type="dxa"/>
            </w:tcMar>
            <w:vAlign w:val="center"/>
            <w:hideMark/>
          </w:tcPr>
          <w:p w14:paraId="4ABDFF4C" w14:textId="77777777" w:rsidR="00B868BB" w:rsidRPr="00022BA7" w:rsidRDefault="00590C69" w:rsidP="0067573D">
            <w:pPr>
              <w:jc w:val="center"/>
              <w:rPr>
                <w:sz w:val="20"/>
                <w:szCs w:val="20"/>
              </w:rPr>
            </w:pPr>
            <m:oMathPara>
              <m:oMath>
                <m:sSub>
                  <m:sSubPr>
                    <m:ctrlPr>
                      <w:rPr>
                        <w:rFonts w:ascii="Cambria Math" w:hAnsi="Cambria Math"/>
                        <w:i/>
                      </w:rPr>
                    </m:ctrlPr>
                  </m:sSubPr>
                  <m:e>
                    <m:r>
                      <w:rPr>
                        <w:rFonts w:ascii="Cambria Math" w:hAnsi="Cambria Math"/>
                      </w:rPr>
                      <m:t>η</m:t>
                    </m:r>
                  </m:e>
                  <m:sub>
                    <m:r>
                      <w:rPr>
                        <w:rFonts w:ascii="Cambria Math" w:hAnsi="Cambria Math"/>
                      </w:rPr>
                      <m:t>DCDC</m:t>
                    </m:r>
                  </m:sub>
                </m:sSub>
              </m:oMath>
            </m:oMathPara>
          </w:p>
        </w:tc>
        <w:tc>
          <w:tcPr>
            <w:tcW w:w="1917" w:type="dxa"/>
            <w:shd w:val="clear" w:color="auto" w:fill="auto"/>
            <w:tcMar>
              <w:top w:w="34" w:type="dxa"/>
              <w:left w:w="34" w:type="dxa"/>
              <w:bottom w:w="0" w:type="dxa"/>
              <w:right w:w="34" w:type="dxa"/>
            </w:tcMar>
            <w:vAlign w:val="center"/>
            <w:hideMark/>
          </w:tcPr>
          <w:p w14:paraId="75F7D4AF" w14:textId="77777777" w:rsidR="00B868BB" w:rsidRPr="00022BA7" w:rsidRDefault="00B868BB" w:rsidP="0067573D">
            <w:pPr>
              <w:jc w:val="right"/>
              <w:rPr>
                <w:sz w:val="20"/>
                <w:szCs w:val="20"/>
              </w:rPr>
            </w:pPr>
            <w:r w:rsidRPr="00022BA7">
              <w:rPr>
                <w:sz w:val="20"/>
                <w:szCs w:val="20"/>
              </w:rPr>
              <w:t>97.5%</w:t>
            </w:r>
          </w:p>
        </w:tc>
      </w:tr>
      <w:tr w:rsidR="00B868BB" w:rsidRPr="00022BA7" w14:paraId="7A6A7B5C" w14:textId="77777777" w:rsidTr="0067573D">
        <w:trPr>
          <w:trHeight w:val="208"/>
        </w:trPr>
        <w:tc>
          <w:tcPr>
            <w:tcW w:w="5217" w:type="dxa"/>
            <w:shd w:val="clear" w:color="auto" w:fill="auto"/>
            <w:tcMar>
              <w:top w:w="34" w:type="dxa"/>
              <w:left w:w="34" w:type="dxa"/>
              <w:bottom w:w="0" w:type="dxa"/>
              <w:right w:w="34" w:type="dxa"/>
            </w:tcMar>
            <w:vAlign w:val="center"/>
            <w:hideMark/>
          </w:tcPr>
          <w:p w14:paraId="09C6BD69" w14:textId="77777777" w:rsidR="00B868BB" w:rsidRPr="00022BA7" w:rsidRDefault="00B868BB" w:rsidP="0067573D">
            <w:pPr>
              <w:rPr>
                <w:sz w:val="20"/>
                <w:szCs w:val="20"/>
              </w:rPr>
            </w:pPr>
            <w:r w:rsidRPr="00022BA7">
              <w:rPr>
                <w:sz w:val="20"/>
                <w:szCs w:val="20"/>
              </w:rPr>
              <w:t>Efficiency of DC switchboard</w:t>
            </w:r>
          </w:p>
        </w:tc>
        <w:tc>
          <w:tcPr>
            <w:tcW w:w="1501" w:type="dxa"/>
            <w:shd w:val="clear" w:color="auto" w:fill="auto"/>
            <w:tcMar>
              <w:top w:w="34" w:type="dxa"/>
              <w:left w:w="34" w:type="dxa"/>
              <w:bottom w:w="0" w:type="dxa"/>
              <w:right w:w="34" w:type="dxa"/>
            </w:tcMar>
            <w:vAlign w:val="center"/>
            <w:hideMark/>
          </w:tcPr>
          <w:p w14:paraId="285D25E2" w14:textId="77777777" w:rsidR="00B868BB" w:rsidRPr="00022BA7" w:rsidRDefault="00590C69" w:rsidP="0067573D">
            <w:pPr>
              <w:jc w:val="center"/>
              <w:rPr>
                <w:sz w:val="20"/>
                <w:szCs w:val="20"/>
              </w:rPr>
            </w:pPr>
            <m:oMathPara>
              <m:oMath>
                <m:sSub>
                  <m:sSubPr>
                    <m:ctrlPr>
                      <w:rPr>
                        <w:rFonts w:ascii="Cambria Math" w:hAnsi="Cambria Math"/>
                        <w:i/>
                      </w:rPr>
                    </m:ctrlPr>
                  </m:sSubPr>
                  <m:e>
                    <m:r>
                      <w:rPr>
                        <w:rFonts w:ascii="Cambria Math" w:hAnsi="Cambria Math"/>
                      </w:rPr>
                      <m:t>η</m:t>
                    </m:r>
                  </m:e>
                  <m:sub>
                    <m:r>
                      <w:rPr>
                        <w:rFonts w:ascii="Cambria Math" w:hAnsi="Cambria Math"/>
                      </w:rPr>
                      <m:t>SWBD</m:t>
                    </m:r>
                  </m:sub>
                </m:sSub>
              </m:oMath>
            </m:oMathPara>
          </w:p>
        </w:tc>
        <w:tc>
          <w:tcPr>
            <w:tcW w:w="1917" w:type="dxa"/>
            <w:shd w:val="clear" w:color="auto" w:fill="auto"/>
            <w:tcMar>
              <w:top w:w="34" w:type="dxa"/>
              <w:left w:w="34" w:type="dxa"/>
              <w:bottom w:w="0" w:type="dxa"/>
              <w:right w:w="34" w:type="dxa"/>
            </w:tcMar>
            <w:vAlign w:val="center"/>
            <w:hideMark/>
          </w:tcPr>
          <w:p w14:paraId="1883268C" w14:textId="77777777" w:rsidR="00B868BB" w:rsidRPr="00022BA7" w:rsidRDefault="00B868BB" w:rsidP="0067573D">
            <w:pPr>
              <w:jc w:val="right"/>
              <w:rPr>
                <w:sz w:val="20"/>
                <w:szCs w:val="20"/>
              </w:rPr>
            </w:pPr>
            <w:r w:rsidRPr="00022BA7">
              <w:rPr>
                <w:sz w:val="20"/>
                <w:szCs w:val="20"/>
              </w:rPr>
              <w:t>99.5%</w:t>
            </w:r>
          </w:p>
        </w:tc>
      </w:tr>
      <w:tr w:rsidR="00B868BB" w:rsidRPr="00022BA7" w14:paraId="4725E501" w14:textId="77777777" w:rsidTr="0067573D">
        <w:trPr>
          <w:trHeight w:val="208"/>
        </w:trPr>
        <w:tc>
          <w:tcPr>
            <w:tcW w:w="5217" w:type="dxa"/>
            <w:shd w:val="clear" w:color="auto" w:fill="auto"/>
            <w:tcMar>
              <w:top w:w="34" w:type="dxa"/>
              <w:left w:w="34" w:type="dxa"/>
              <w:bottom w:w="0" w:type="dxa"/>
              <w:right w:w="34" w:type="dxa"/>
            </w:tcMar>
            <w:vAlign w:val="center"/>
            <w:hideMark/>
          </w:tcPr>
          <w:p w14:paraId="620B6298" w14:textId="77777777" w:rsidR="00B868BB" w:rsidRPr="00022BA7" w:rsidRDefault="00B868BB" w:rsidP="0067573D">
            <w:pPr>
              <w:rPr>
                <w:sz w:val="20"/>
                <w:szCs w:val="20"/>
              </w:rPr>
            </w:pPr>
            <w:r w:rsidRPr="00022BA7">
              <w:rPr>
                <w:sz w:val="20"/>
                <w:szCs w:val="20"/>
              </w:rPr>
              <w:t>Efficiency of DC/AC inverter</w:t>
            </w:r>
          </w:p>
        </w:tc>
        <w:tc>
          <w:tcPr>
            <w:tcW w:w="1501" w:type="dxa"/>
            <w:shd w:val="clear" w:color="auto" w:fill="auto"/>
            <w:tcMar>
              <w:top w:w="34" w:type="dxa"/>
              <w:left w:w="34" w:type="dxa"/>
              <w:bottom w:w="0" w:type="dxa"/>
              <w:right w:w="34" w:type="dxa"/>
            </w:tcMar>
            <w:vAlign w:val="center"/>
            <w:hideMark/>
          </w:tcPr>
          <w:p w14:paraId="69D249E4" w14:textId="77777777" w:rsidR="00B868BB" w:rsidRPr="00022BA7" w:rsidRDefault="00590C69" w:rsidP="0067573D">
            <w:pPr>
              <w:jc w:val="center"/>
              <w:rPr>
                <w:sz w:val="20"/>
                <w:szCs w:val="20"/>
              </w:rPr>
            </w:pPr>
            <m:oMathPara>
              <m:oMath>
                <m:sSub>
                  <m:sSubPr>
                    <m:ctrlPr>
                      <w:rPr>
                        <w:rFonts w:ascii="Cambria Math" w:hAnsi="Cambria Math"/>
                        <w:i/>
                      </w:rPr>
                    </m:ctrlPr>
                  </m:sSubPr>
                  <m:e>
                    <m:r>
                      <w:rPr>
                        <w:rFonts w:ascii="Cambria Math" w:hAnsi="Cambria Math"/>
                      </w:rPr>
                      <m:t>η</m:t>
                    </m:r>
                  </m:e>
                  <m:sub>
                    <m:r>
                      <w:rPr>
                        <w:rFonts w:ascii="Cambria Math" w:hAnsi="Cambria Math"/>
                      </w:rPr>
                      <m:t>DCAC</m:t>
                    </m:r>
                  </m:sub>
                </m:sSub>
              </m:oMath>
            </m:oMathPara>
          </w:p>
        </w:tc>
        <w:tc>
          <w:tcPr>
            <w:tcW w:w="1917" w:type="dxa"/>
            <w:shd w:val="clear" w:color="auto" w:fill="auto"/>
            <w:tcMar>
              <w:top w:w="34" w:type="dxa"/>
              <w:left w:w="34" w:type="dxa"/>
              <w:bottom w:w="0" w:type="dxa"/>
              <w:right w:w="34" w:type="dxa"/>
            </w:tcMar>
            <w:vAlign w:val="center"/>
            <w:hideMark/>
          </w:tcPr>
          <w:p w14:paraId="4369A684" w14:textId="77777777" w:rsidR="00B868BB" w:rsidRPr="00022BA7" w:rsidRDefault="00B868BB" w:rsidP="0067573D">
            <w:pPr>
              <w:jc w:val="right"/>
              <w:rPr>
                <w:sz w:val="20"/>
                <w:szCs w:val="20"/>
              </w:rPr>
            </w:pPr>
            <w:r w:rsidRPr="00022BA7">
              <w:rPr>
                <w:sz w:val="20"/>
                <w:szCs w:val="20"/>
              </w:rPr>
              <w:t>97.5%</w:t>
            </w:r>
          </w:p>
        </w:tc>
      </w:tr>
      <w:tr w:rsidR="00B868BB" w:rsidRPr="00022BA7" w14:paraId="262E9B4B" w14:textId="77777777" w:rsidTr="0067573D">
        <w:trPr>
          <w:trHeight w:val="208"/>
        </w:trPr>
        <w:tc>
          <w:tcPr>
            <w:tcW w:w="5217" w:type="dxa"/>
            <w:shd w:val="clear" w:color="auto" w:fill="auto"/>
            <w:tcMar>
              <w:top w:w="34" w:type="dxa"/>
              <w:left w:w="34" w:type="dxa"/>
              <w:bottom w:w="0" w:type="dxa"/>
              <w:right w:w="34" w:type="dxa"/>
            </w:tcMar>
            <w:vAlign w:val="center"/>
            <w:hideMark/>
          </w:tcPr>
          <w:p w14:paraId="13CF230B" w14:textId="77777777" w:rsidR="00B868BB" w:rsidRPr="00022BA7" w:rsidRDefault="00B868BB" w:rsidP="0067573D">
            <w:pPr>
              <w:rPr>
                <w:sz w:val="20"/>
                <w:szCs w:val="20"/>
              </w:rPr>
            </w:pPr>
            <w:r w:rsidRPr="00022BA7">
              <w:rPr>
                <w:sz w:val="20"/>
                <w:szCs w:val="20"/>
              </w:rPr>
              <w:t>Efficiency of propulsion electric motor</w:t>
            </w:r>
          </w:p>
        </w:tc>
        <w:tc>
          <w:tcPr>
            <w:tcW w:w="1501" w:type="dxa"/>
            <w:shd w:val="clear" w:color="auto" w:fill="auto"/>
            <w:tcMar>
              <w:top w:w="34" w:type="dxa"/>
              <w:left w:w="34" w:type="dxa"/>
              <w:bottom w:w="0" w:type="dxa"/>
              <w:right w:w="34" w:type="dxa"/>
            </w:tcMar>
            <w:vAlign w:val="center"/>
            <w:hideMark/>
          </w:tcPr>
          <w:p w14:paraId="0C802202" w14:textId="77777777" w:rsidR="00B868BB" w:rsidRPr="00022BA7" w:rsidRDefault="00590C69" w:rsidP="0067573D">
            <w:pPr>
              <w:jc w:val="center"/>
              <w:rPr>
                <w:sz w:val="20"/>
                <w:szCs w:val="20"/>
              </w:rPr>
            </w:pPr>
            <m:oMathPara>
              <m:oMath>
                <m:sSub>
                  <m:sSubPr>
                    <m:ctrlPr>
                      <w:rPr>
                        <w:rFonts w:ascii="Cambria Math" w:hAnsi="Cambria Math"/>
                        <w:i/>
                      </w:rPr>
                    </m:ctrlPr>
                  </m:sSubPr>
                  <m:e>
                    <m:r>
                      <w:rPr>
                        <w:rFonts w:ascii="Cambria Math" w:hAnsi="Cambria Math"/>
                      </w:rPr>
                      <m:t>η</m:t>
                    </m:r>
                  </m:e>
                  <m:sub>
                    <m:r>
                      <w:rPr>
                        <w:rFonts w:ascii="Cambria Math" w:hAnsi="Cambria Math"/>
                      </w:rPr>
                      <m:t>Motor</m:t>
                    </m:r>
                  </m:sub>
                </m:sSub>
              </m:oMath>
            </m:oMathPara>
          </w:p>
        </w:tc>
        <w:tc>
          <w:tcPr>
            <w:tcW w:w="1917" w:type="dxa"/>
            <w:shd w:val="clear" w:color="auto" w:fill="auto"/>
            <w:tcMar>
              <w:top w:w="34" w:type="dxa"/>
              <w:left w:w="34" w:type="dxa"/>
              <w:bottom w:w="0" w:type="dxa"/>
              <w:right w:w="34" w:type="dxa"/>
            </w:tcMar>
            <w:vAlign w:val="center"/>
            <w:hideMark/>
          </w:tcPr>
          <w:p w14:paraId="2AA5655E" w14:textId="77777777" w:rsidR="00B868BB" w:rsidRPr="00022BA7" w:rsidRDefault="00B868BB" w:rsidP="0067573D">
            <w:pPr>
              <w:jc w:val="right"/>
              <w:rPr>
                <w:sz w:val="20"/>
                <w:szCs w:val="20"/>
              </w:rPr>
            </w:pPr>
            <w:r w:rsidRPr="00022BA7">
              <w:rPr>
                <w:sz w:val="20"/>
                <w:szCs w:val="20"/>
              </w:rPr>
              <w:t>97.0%</w:t>
            </w:r>
          </w:p>
        </w:tc>
      </w:tr>
      <w:tr w:rsidR="00B868BB" w:rsidRPr="00022BA7" w14:paraId="6D8B9834" w14:textId="77777777" w:rsidTr="0067573D">
        <w:trPr>
          <w:trHeight w:val="208"/>
        </w:trPr>
        <w:tc>
          <w:tcPr>
            <w:tcW w:w="5217" w:type="dxa"/>
            <w:shd w:val="clear" w:color="auto" w:fill="auto"/>
            <w:tcMar>
              <w:top w:w="34" w:type="dxa"/>
              <w:left w:w="34" w:type="dxa"/>
              <w:bottom w:w="0" w:type="dxa"/>
              <w:right w:w="34" w:type="dxa"/>
            </w:tcMar>
            <w:vAlign w:val="center"/>
          </w:tcPr>
          <w:p w14:paraId="65086569" w14:textId="77777777" w:rsidR="00B868BB" w:rsidRPr="00022BA7" w:rsidRDefault="00B868BB" w:rsidP="0067573D">
            <w:pPr>
              <w:rPr>
                <w:sz w:val="20"/>
                <w:szCs w:val="20"/>
              </w:rPr>
            </w:pPr>
            <w:r w:rsidRPr="00022BA7">
              <w:rPr>
                <w:sz w:val="20"/>
                <w:szCs w:val="20"/>
              </w:rPr>
              <w:t>Efficiency of AC/DC converter</w:t>
            </w:r>
          </w:p>
        </w:tc>
        <w:tc>
          <w:tcPr>
            <w:tcW w:w="1501" w:type="dxa"/>
            <w:shd w:val="clear" w:color="auto" w:fill="auto"/>
            <w:tcMar>
              <w:top w:w="34" w:type="dxa"/>
              <w:left w:w="34" w:type="dxa"/>
              <w:bottom w:w="0" w:type="dxa"/>
              <w:right w:w="34" w:type="dxa"/>
            </w:tcMar>
            <w:vAlign w:val="center"/>
          </w:tcPr>
          <w:p w14:paraId="0E274CD5" w14:textId="77777777" w:rsidR="00B868BB" w:rsidRPr="00022BA7" w:rsidRDefault="00590C69" w:rsidP="0067573D">
            <w:pPr>
              <w:jc w:val="center"/>
            </w:pPr>
            <m:oMathPara>
              <m:oMath>
                <m:sSub>
                  <m:sSubPr>
                    <m:ctrlPr>
                      <w:rPr>
                        <w:rFonts w:ascii="Cambria Math" w:hAnsi="Cambria Math"/>
                        <w:i/>
                      </w:rPr>
                    </m:ctrlPr>
                  </m:sSubPr>
                  <m:e>
                    <m:r>
                      <w:rPr>
                        <w:rFonts w:ascii="Cambria Math" w:hAnsi="Cambria Math"/>
                      </w:rPr>
                      <m:t>η</m:t>
                    </m:r>
                  </m:e>
                  <m:sub>
                    <m:r>
                      <w:rPr>
                        <w:rFonts w:ascii="Cambria Math" w:hAnsi="Cambria Math"/>
                      </w:rPr>
                      <m:t>ACDC</m:t>
                    </m:r>
                  </m:sub>
                </m:sSub>
              </m:oMath>
            </m:oMathPara>
          </w:p>
        </w:tc>
        <w:tc>
          <w:tcPr>
            <w:tcW w:w="1917" w:type="dxa"/>
            <w:shd w:val="clear" w:color="auto" w:fill="auto"/>
            <w:tcMar>
              <w:top w:w="34" w:type="dxa"/>
              <w:left w:w="34" w:type="dxa"/>
              <w:bottom w:w="0" w:type="dxa"/>
              <w:right w:w="34" w:type="dxa"/>
            </w:tcMar>
            <w:vAlign w:val="center"/>
          </w:tcPr>
          <w:p w14:paraId="14BB3922" w14:textId="77777777" w:rsidR="00B868BB" w:rsidRPr="00022BA7" w:rsidRDefault="00B868BB" w:rsidP="0067573D">
            <w:pPr>
              <w:jc w:val="right"/>
              <w:rPr>
                <w:sz w:val="20"/>
                <w:szCs w:val="20"/>
              </w:rPr>
            </w:pPr>
            <w:r w:rsidRPr="00022BA7">
              <w:rPr>
                <w:sz w:val="20"/>
                <w:szCs w:val="20"/>
              </w:rPr>
              <w:t>99.5%</w:t>
            </w:r>
          </w:p>
        </w:tc>
      </w:tr>
      <w:tr w:rsidR="00B868BB" w:rsidRPr="00022BA7" w14:paraId="052116D6" w14:textId="77777777" w:rsidTr="0067573D">
        <w:trPr>
          <w:trHeight w:val="208"/>
        </w:trPr>
        <w:tc>
          <w:tcPr>
            <w:tcW w:w="5217" w:type="dxa"/>
            <w:tcBorders>
              <w:bottom w:val="single" w:sz="4" w:space="0" w:color="auto"/>
            </w:tcBorders>
            <w:shd w:val="clear" w:color="auto" w:fill="auto"/>
            <w:tcMar>
              <w:top w:w="34" w:type="dxa"/>
              <w:left w:w="34" w:type="dxa"/>
              <w:bottom w:w="0" w:type="dxa"/>
              <w:right w:w="34" w:type="dxa"/>
            </w:tcMar>
            <w:vAlign w:val="center"/>
          </w:tcPr>
          <w:p w14:paraId="1F5AEE57" w14:textId="77777777" w:rsidR="00B868BB" w:rsidRPr="00022BA7" w:rsidRDefault="00B868BB" w:rsidP="0067573D">
            <w:pPr>
              <w:rPr>
                <w:sz w:val="20"/>
                <w:szCs w:val="20"/>
              </w:rPr>
            </w:pPr>
            <w:r w:rsidRPr="00022BA7">
              <w:rPr>
                <w:sz w:val="20"/>
                <w:szCs w:val="20"/>
              </w:rPr>
              <w:t>Efficiency of uncertainty</w:t>
            </w:r>
          </w:p>
        </w:tc>
        <w:tc>
          <w:tcPr>
            <w:tcW w:w="1501" w:type="dxa"/>
            <w:tcBorders>
              <w:bottom w:val="single" w:sz="4" w:space="0" w:color="auto"/>
            </w:tcBorders>
            <w:shd w:val="clear" w:color="auto" w:fill="auto"/>
            <w:tcMar>
              <w:top w:w="34" w:type="dxa"/>
              <w:left w:w="34" w:type="dxa"/>
              <w:bottom w:w="0" w:type="dxa"/>
              <w:right w:w="34" w:type="dxa"/>
            </w:tcMar>
            <w:vAlign w:val="center"/>
          </w:tcPr>
          <w:p w14:paraId="7E76455C" w14:textId="77777777" w:rsidR="00B868BB" w:rsidRPr="00022BA7" w:rsidRDefault="00590C69" w:rsidP="0067573D">
            <w:pPr>
              <w:jc w:val="center"/>
            </w:pPr>
            <m:oMathPara>
              <m:oMath>
                <m:sSub>
                  <m:sSubPr>
                    <m:ctrlPr>
                      <w:rPr>
                        <w:rFonts w:ascii="Cambria Math" w:hAnsi="Cambria Math"/>
                        <w:i/>
                      </w:rPr>
                    </m:ctrlPr>
                  </m:sSubPr>
                  <m:e>
                    <m:r>
                      <w:rPr>
                        <w:rFonts w:ascii="Cambria Math" w:hAnsi="Cambria Math"/>
                      </w:rPr>
                      <m:t>η</m:t>
                    </m:r>
                  </m:e>
                  <m:sub>
                    <m:r>
                      <w:rPr>
                        <w:rFonts w:ascii="Cambria Math" w:hAnsi="Cambria Math"/>
                      </w:rPr>
                      <m:t>SF</m:t>
                    </m:r>
                  </m:sub>
                </m:sSub>
              </m:oMath>
            </m:oMathPara>
          </w:p>
        </w:tc>
        <w:tc>
          <w:tcPr>
            <w:tcW w:w="1917" w:type="dxa"/>
            <w:tcBorders>
              <w:bottom w:val="single" w:sz="4" w:space="0" w:color="auto"/>
            </w:tcBorders>
            <w:shd w:val="clear" w:color="auto" w:fill="auto"/>
            <w:tcMar>
              <w:top w:w="34" w:type="dxa"/>
              <w:left w:w="34" w:type="dxa"/>
              <w:bottom w:w="0" w:type="dxa"/>
              <w:right w:w="34" w:type="dxa"/>
            </w:tcMar>
            <w:vAlign w:val="center"/>
          </w:tcPr>
          <w:p w14:paraId="1A4FDEBF" w14:textId="77777777" w:rsidR="00B868BB" w:rsidRPr="00022BA7" w:rsidRDefault="00B868BB" w:rsidP="0067573D">
            <w:pPr>
              <w:jc w:val="right"/>
              <w:rPr>
                <w:sz w:val="20"/>
                <w:szCs w:val="20"/>
              </w:rPr>
            </w:pPr>
            <w:r w:rsidRPr="00022BA7">
              <w:rPr>
                <w:sz w:val="20"/>
                <w:szCs w:val="20"/>
              </w:rPr>
              <w:t>98.0%</w:t>
            </w:r>
          </w:p>
        </w:tc>
      </w:tr>
    </w:tbl>
    <w:p w14:paraId="6175D43A" w14:textId="2A5FF9B8" w:rsidR="00B868BB" w:rsidRPr="00022BA7" w:rsidRDefault="00B868BB" w:rsidP="00B868BB">
      <w:pPr>
        <w:rPr>
          <w:sz w:val="20"/>
          <w:szCs w:val="20"/>
        </w:rPr>
      </w:pPr>
      <w:r w:rsidRPr="00022BA7">
        <w:rPr>
          <w:sz w:val="20"/>
          <w:szCs w:val="20"/>
        </w:rPr>
        <w:t>* Authors</w:t>
      </w:r>
      <w:r>
        <w:rPr>
          <w:sz w:val="20"/>
          <w:szCs w:val="20"/>
        </w:rPr>
        <w:t>’</w:t>
      </w:r>
      <w:r w:rsidRPr="00022BA7">
        <w:rPr>
          <w:sz w:val="20"/>
          <w:szCs w:val="20"/>
        </w:rPr>
        <w:t xml:space="preserve"> assumptions based on Ghimire et al.</w:t>
      </w:r>
      <w:r w:rsidR="00D07805">
        <w:rPr>
          <w:sz w:val="20"/>
          <w:szCs w:val="20"/>
        </w:rPr>
        <w:fldChar w:fldCharType="begin"/>
      </w:r>
      <w:r w:rsidR="000F2CEE">
        <w:rPr>
          <w:sz w:val="20"/>
          <w:szCs w:val="20"/>
        </w:rPr>
        <w:instrText xml:space="preserve"> ADDIN ZOTERO_ITEM CSL_CITATION {"citationID":"qYrT2cEL","properties":{"formattedCitation":"\\super 36\\nosupersub{}","plainCitation":"36","noteIndex":0},"citationItems":[{"id":203,"uris":["http://zotero.org/users/12468222/items/826966FL"],"itemData":{"id":203,"type":"article-journal","abstract":"In this article, a data-driven dynamic efficiency model is developed for efficiency evaluation and comparison of ship electric powertrain with various system configurations. Based on the proposed method, the entire powertrain efficiency is assessed from the fuel consumption to the propulsion unit and the rest of the onboard load. The efficiency model is repeated for the conventional diesel electric and the hybrid power system with batteries. In the latter case, the efficiency of the battery system is also included in the model. Then, the analysis is extended for different power system architectures such as AC and DC onboard power systems. As a case study, system efficiency in a cruise ship is investigated using a real operational profile. A comprehensive analysis is performed to demonstrate the loss distribution in each subsystem of a hybrid AC and DC power system. For a fair comparison between AC and DC, the battery charge level is equalized based on fuel compensation. The case study shows that hybridizing the ship power system increases system efficiency and enhances operational flexibility for the studied use case vessel. Furthermore, the DC hybrid power system can improve the efficiency of the whole ship powertrain due to the variable-speed operation of engines.","container-title":"IEEE Transactions on Transportation Electrification","DOI":"10.1109/TTE.2021.3123886","ISSN":"2332-7782","issue":"2","note":"event-title: IEEE Transactions on Transportation Electrification","page":"1930-1943","source":"IEEE Xplore","title":"Data-Driven Efficiency Modeling and Analysis of All-Electric Ship Powertrain: A Comparison of Power System Architectures","title-short":"Data-Driven Efficiency Modeling and Analysis of All-Electric Ship Powertrain","volume":"8","author":[{"family":"Ghimire","given":"Pramod"},{"family":"Zadeh","given":"Mehdi"},{"family":"Thorstensen","given":"Jarle"},{"family":"Pedersen","given":"Eilif"}],"issued":{"date-parts":[["2022",6]]}}}],"schema":"https://github.com/citation-style-language/schema/raw/master/csl-citation.json"} </w:instrText>
      </w:r>
      <w:r w:rsidR="00D07805">
        <w:rPr>
          <w:sz w:val="20"/>
          <w:szCs w:val="20"/>
        </w:rPr>
        <w:fldChar w:fldCharType="separate"/>
      </w:r>
      <w:r w:rsidR="000F2CEE" w:rsidRPr="000F2CEE">
        <w:rPr>
          <w:rFonts w:cs="Times New Roman"/>
          <w:sz w:val="20"/>
          <w:szCs w:val="24"/>
          <w:vertAlign w:val="superscript"/>
        </w:rPr>
        <w:t>36</w:t>
      </w:r>
      <w:r w:rsidR="00D07805">
        <w:rPr>
          <w:sz w:val="20"/>
          <w:szCs w:val="20"/>
        </w:rPr>
        <w:fldChar w:fldCharType="end"/>
      </w:r>
      <w:r w:rsidRPr="00022BA7">
        <w:rPr>
          <w:sz w:val="20"/>
          <w:szCs w:val="20"/>
        </w:rPr>
        <w:t xml:space="preserve"> and expert interview</w:t>
      </w:r>
      <w:r>
        <w:rPr>
          <w:sz w:val="20"/>
          <w:szCs w:val="20"/>
        </w:rPr>
        <w:t>s.</w:t>
      </w:r>
    </w:p>
    <w:p w14:paraId="005B8FAA" w14:textId="77777777" w:rsidR="00B868BB" w:rsidRPr="00022BA7" w:rsidRDefault="00B868BB" w:rsidP="00B868BB"/>
    <w:p w14:paraId="3DAEE94A" w14:textId="390FE8D3" w:rsidR="00B868BB" w:rsidRDefault="00B868BB">
      <w:pPr>
        <w:widowControl/>
        <w:spacing w:line="240" w:lineRule="auto"/>
        <w:rPr>
          <w:color w:val="1F497D" w:themeColor="text2"/>
        </w:rPr>
      </w:pPr>
      <w:r>
        <w:rPr>
          <w:color w:val="1F497D" w:themeColor="text2"/>
        </w:rPr>
        <w:br w:type="page"/>
      </w:r>
    </w:p>
    <w:p w14:paraId="4CD06ADB" w14:textId="08F1B48C" w:rsidR="007301DF" w:rsidRPr="00022BA7" w:rsidRDefault="00995F0B" w:rsidP="007301DF">
      <w:pPr>
        <w:pStyle w:val="Caption"/>
        <w:keepNext/>
        <w:spacing w:line="240" w:lineRule="auto"/>
      </w:pPr>
      <w:bookmarkStart w:id="125" w:name="_Ref144853608"/>
      <w:bookmarkStart w:id="126" w:name="_Toc146723139"/>
      <w:r>
        <w:t xml:space="preserve">Supplementary </w:t>
      </w:r>
      <w:r w:rsidR="007301DF" w:rsidRPr="00022BA7">
        <w:t xml:space="preserve">Table </w:t>
      </w:r>
      <w:r w:rsidR="00590C69">
        <w:fldChar w:fldCharType="begin"/>
      </w:r>
      <w:r w:rsidR="00590C69">
        <w:instrText xml:space="preserve"> SEQ Table \* ARABIC </w:instrText>
      </w:r>
      <w:r w:rsidR="00590C69">
        <w:fldChar w:fldCharType="separate"/>
      </w:r>
      <w:r w:rsidR="00C661AC">
        <w:rPr>
          <w:noProof/>
        </w:rPr>
        <w:t>14</w:t>
      </w:r>
      <w:r w:rsidR="00590C69">
        <w:rPr>
          <w:noProof/>
        </w:rPr>
        <w:fldChar w:fldCharType="end"/>
      </w:r>
      <w:bookmarkEnd w:id="125"/>
      <w:r w:rsidR="007301DF" w:rsidRPr="00022BA7">
        <w:t>. Emission Factors for I</w:t>
      </w:r>
      <w:r w:rsidR="007301DF">
        <w:t>CE</w:t>
      </w:r>
      <w:r w:rsidR="007301DF" w:rsidRPr="00022BA7">
        <w:t xml:space="preserve"> Ships Fueled by </w:t>
      </w:r>
      <w:proofErr w:type="spellStart"/>
      <w:r w:rsidR="007301DF" w:rsidRPr="00022BA7">
        <w:t>ULSD</w:t>
      </w:r>
      <w:r w:rsidR="007301DF" w:rsidRPr="00022BA7">
        <w:rPr>
          <w:vertAlign w:val="superscript"/>
        </w:rPr>
        <w:t>a</w:t>
      </w:r>
      <w:bookmarkEnd w:id="126"/>
      <w:proofErr w:type="spellEnd"/>
    </w:p>
    <w:tbl>
      <w:tblPr>
        <w:tblW w:w="5000" w:type="pct"/>
        <w:tblLayout w:type="fixed"/>
        <w:tblCellMar>
          <w:left w:w="0" w:type="dxa"/>
          <w:right w:w="0" w:type="dxa"/>
        </w:tblCellMar>
        <w:tblLook w:val="0600" w:firstRow="0" w:lastRow="0" w:firstColumn="0" w:lastColumn="0" w:noHBand="1" w:noVBand="1"/>
      </w:tblPr>
      <w:tblGrid>
        <w:gridCol w:w="2462"/>
        <w:gridCol w:w="867"/>
        <w:gridCol w:w="868"/>
        <w:gridCol w:w="1030"/>
        <w:gridCol w:w="1029"/>
        <w:gridCol w:w="1029"/>
        <w:gridCol w:w="1029"/>
        <w:gridCol w:w="1036"/>
      </w:tblGrid>
      <w:tr w:rsidR="007301DF" w:rsidRPr="00022BA7" w14:paraId="1A12F1B1" w14:textId="77777777" w:rsidTr="0067573D">
        <w:trPr>
          <w:trHeight w:val="156"/>
        </w:trPr>
        <w:tc>
          <w:tcPr>
            <w:tcW w:w="1317" w:type="pct"/>
            <w:vMerge w:val="restart"/>
            <w:tcBorders>
              <w:top w:val="single" w:sz="18" w:space="0" w:color="auto"/>
              <w:left w:val="single" w:sz="4" w:space="0" w:color="auto"/>
              <w:right w:val="single" w:sz="4" w:space="0" w:color="auto"/>
            </w:tcBorders>
            <w:shd w:val="clear" w:color="auto" w:fill="F2F2F2" w:themeFill="background1" w:themeFillShade="F2"/>
            <w:tcMar>
              <w:top w:w="72" w:type="dxa"/>
              <w:left w:w="144" w:type="dxa"/>
              <w:bottom w:w="72" w:type="dxa"/>
              <w:right w:w="144" w:type="dxa"/>
            </w:tcMar>
            <w:vAlign w:val="bottom"/>
          </w:tcPr>
          <w:p w14:paraId="72A028AD" w14:textId="77777777" w:rsidR="007301DF" w:rsidRPr="00022BA7" w:rsidRDefault="007301DF" w:rsidP="0067573D">
            <w:pPr>
              <w:spacing w:line="240" w:lineRule="auto"/>
              <w:jc w:val="center"/>
              <w:rPr>
                <w:b/>
                <w:color w:val="000000"/>
                <w:sz w:val="20"/>
              </w:rPr>
            </w:pPr>
          </w:p>
        </w:tc>
        <w:tc>
          <w:tcPr>
            <w:tcW w:w="464" w:type="pct"/>
            <w:vMerge w:val="restart"/>
            <w:tcBorders>
              <w:top w:val="single" w:sz="18" w:space="0" w:color="auto"/>
              <w:left w:val="single" w:sz="4" w:space="0" w:color="auto"/>
              <w:right w:val="single" w:sz="4" w:space="0" w:color="auto"/>
            </w:tcBorders>
            <w:shd w:val="clear" w:color="auto" w:fill="F2F2F2" w:themeFill="background1" w:themeFillShade="F2"/>
            <w:vAlign w:val="center"/>
          </w:tcPr>
          <w:p w14:paraId="05455BE1" w14:textId="77777777" w:rsidR="007301DF" w:rsidRPr="00022BA7" w:rsidRDefault="007301DF" w:rsidP="0067573D">
            <w:pPr>
              <w:spacing w:line="240" w:lineRule="auto"/>
              <w:jc w:val="center"/>
              <w:rPr>
                <w:b/>
              </w:rPr>
            </w:pPr>
            <w:r w:rsidRPr="00022BA7">
              <w:rPr>
                <w:b/>
                <w:sz w:val="20"/>
                <w:szCs w:val="20"/>
              </w:rPr>
              <w:t>Year</w:t>
            </w:r>
          </w:p>
        </w:tc>
        <w:tc>
          <w:tcPr>
            <w:tcW w:w="3220" w:type="pct"/>
            <w:gridSpan w:val="6"/>
            <w:tcBorders>
              <w:top w:val="single" w:sz="18" w:space="0" w:color="auto"/>
              <w:left w:val="single" w:sz="4" w:space="0" w:color="auto"/>
              <w:bottom w:val="single" w:sz="4" w:space="0" w:color="auto"/>
              <w:right w:val="single" w:sz="4" w:space="0" w:color="auto"/>
            </w:tcBorders>
            <w:shd w:val="clear" w:color="auto" w:fill="F2F2F2" w:themeFill="background1" w:themeFillShade="F2"/>
            <w:tcMar>
              <w:top w:w="72" w:type="dxa"/>
              <w:left w:w="144" w:type="dxa"/>
              <w:bottom w:w="72" w:type="dxa"/>
              <w:right w:w="144" w:type="dxa"/>
            </w:tcMar>
            <w:vAlign w:val="bottom"/>
          </w:tcPr>
          <w:p w14:paraId="50E270EC" w14:textId="77777777" w:rsidR="007301DF" w:rsidRPr="00022BA7" w:rsidRDefault="007301DF" w:rsidP="0067573D">
            <w:pPr>
              <w:spacing w:line="240" w:lineRule="auto"/>
              <w:jc w:val="center"/>
              <w:rPr>
                <w:b/>
                <w:sz w:val="20"/>
              </w:rPr>
            </w:pPr>
            <w:r w:rsidRPr="00022BA7">
              <w:rPr>
                <w:b/>
              </w:rPr>
              <w:t xml:space="preserve">Emission Factors by </w:t>
            </w:r>
            <w:r>
              <w:rPr>
                <w:b/>
              </w:rPr>
              <w:t>E</w:t>
            </w:r>
            <w:r w:rsidRPr="00022BA7">
              <w:rPr>
                <w:b/>
              </w:rPr>
              <w:t xml:space="preserve">mission </w:t>
            </w:r>
            <m:oMath>
              <m:r>
                <w:rPr>
                  <w:rFonts w:ascii="Cambria Math" w:hAnsi="Cambria Math"/>
                </w:rPr>
                <m:t>e</m:t>
              </m:r>
            </m:oMath>
            <w:r w:rsidRPr="00022BA7">
              <w:rPr>
                <w:b/>
              </w:rPr>
              <w:t xml:space="preserve"> </w:t>
            </w:r>
            <w:r>
              <w:rPr>
                <w:b/>
              </w:rPr>
              <w:t>(</w:t>
            </w:r>
            <w:r w:rsidRPr="00022BA7">
              <w:rPr>
                <w:b/>
              </w:rPr>
              <w:t xml:space="preserve">in </w:t>
            </w:r>
            <w:r w:rsidRPr="00022BA7">
              <w:rPr>
                <w:b/>
                <w:sz w:val="20"/>
              </w:rPr>
              <w:t>g/kWh</w:t>
            </w:r>
            <w:r>
              <w:rPr>
                <w:b/>
                <w:sz w:val="20"/>
              </w:rPr>
              <w:t>)</w:t>
            </w:r>
          </w:p>
        </w:tc>
      </w:tr>
      <w:tr w:rsidR="007301DF" w:rsidRPr="00022BA7" w14:paraId="68556381" w14:textId="77777777" w:rsidTr="0067573D">
        <w:trPr>
          <w:trHeight w:val="156"/>
        </w:trPr>
        <w:tc>
          <w:tcPr>
            <w:tcW w:w="1317" w:type="pct"/>
            <w:vMerge/>
            <w:tcBorders>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tcPr>
          <w:p w14:paraId="63CED29D" w14:textId="77777777" w:rsidR="007301DF" w:rsidRPr="00022BA7" w:rsidRDefault="007301DF" w:rsidP="0067573D">
            <w:pPr>
              <w:spacing w:line="240" w:lineRule="auto"/>
              <w:jc w:val="right"/>
              <w:rPr>
                <w:b/>
                <w:sz w:val="20"/>
              </w:rPr>
            </w:pPr>
          </w:p>
        </w:tc>
        <w:tc>
          <w:tcPr>
            <w:tcW w:w="464" w:type="pct"/>
            <w:vMerge/>
            <w:tcBorders>
              <w:left w:val="single" w:sz="4" w:space="0" w:color="auto"/>
              <w:bottom w:val="single" w:sz="18" w:space="0" w:color="auto"/>
              <w:right w:val="single" w:sz="4" w:space="0" w:color="auto"/>
            </w:tcBorders>
            <w:shd w:val="clear" w:color="auto" w:fill="F2F2F2" w:themeFill="background1" w:themeFillShade="F2"/>
          </w:tcPr>
          <w:p w14:paraId="1072BD89" w14:textId="77777777" w:rsidR="007301DF" w:rsidRPr="00022BA7" w:rsidRDefault="007301DF" w:rsidP="0067573D">
            <w:pPr>
              <w:spacing w:line="240" w:lineRule="auto"/>
              <w:jc w:val="center"/>
              <w:rPr>
                <w:rFonts w:eastAsia="Times New Roman"/>
                <w:b/>
                <w:sz w:val="20"/>
              </w:rPr>
            </w:pPr>
          </w:p>
        </w:tc>
        <w:tc>
          <w:tcPr>
            <w:tcW w:w="464"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hideMark/>
          </w:tcPr>
          <w:p w14:paraId="1CDDE4D9" w14:textId="77777777" w:rsidR="007301DF" w:rsidRPr="00022BA7" w:rsidRDefault="007301DF" w:rsidP="0067573D">
            <w:pPr>
              <w:spacing w:line="240" w:lineRule="auto"/>
              <w:jc w:val="center"/>
              <w:rPr>
                <w:b/>
                <w:sz w:val="20"/>
              </w:rPr>
            </w:pPr>
            <w:r w:rsidRPr="00022BA7">
              <w:rPr>
                <w:rFonts w:eastAsia="Times New Roman"/>
                <w:b/>
                <w:sz w:val="20"/>
              </w:rPr>
              <w:t>CH</w:t>
            </w:r>
            <w:r w:rsidRPr="00022BA7">
              <w:rPr>
                <w:b/>
                <w:sz w:val="20"/>
                <w:vertAlign w:val="subscript"/>
              </w:rPr>
              <w:t>4</w:t>
            </w:r>
          </w:p>
        </w:tc>
        <w:tc>
          <w:tcPr>
            <w:tcW w:w="551"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hideMark/>
          </w:tcPr>
          <w:p w14:paraId="07A11587" w14:textId="77777777" w:rsidR="007301DF" w:rsidRPr="00022BA7" w:rsidRDefault="007301DF" w:rsidP="0067573D">
            <w:pPr>
              <w:spacing w:line="240" w:lineRule="auto"/>
              <w:jc w:val="center"/>
              <w:rPr>
                <w:b/>
                <w:sz w:val="20"/>
              </w:rPr>
            </w:pPr>
            <w:r w:rsidRPr="00022BA7">
              <w:rPr>
                <w:b/>
                <w:sz w:val="20"/>
              </w:rPr>
              <w:t>N</w:t>
            </w:r>
            <w:r w:rsidRPr="00022BA7">
              <w:rPr>
                <w:b/>
                <w:sz w:val="20"/>
                <w:vertAlign w:val="subscript"/>
              </w:rPr>
              <w:t>2</w:t>
            </w:r>
            <w:r w:rsidRPr="00022BA7">
              <w:rPr>
                <w:b/>
                <w:sz w:val="20"/>
              </w:rPr>
              <w:t>O</w:t>
            </w:r>
          </w:p>
        </w:tc>
        <w:tc>
          <w:tcPr>
            <w:tcW w:w="550"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hideMark/>
          </w:tcPr>
          <w:p w14:paraId="49C39477" w14:textId="77777777" w:rsidR="007301DF" w:rsidRPr="00022BA7" w:rsidRDefault="007301DF" w:rsidP="0067573D">
            <w:pPr>
              <w:spacing w:line="240" w:lineRule="auto"/>
              <w:jc w:val="center"/>
              <w:rPr>
                <w:b/>
                <w:sz w:val="20"/>
              </w:rPr>
            </w:pPr>
            <w:r w:rsidRPr="00022BA7">
              <w:rPr>
                <w:b/>
                <w:sz w:val="20"/>
              </w:rPr>
              <w:t>CO</w:t>
            </w:r>
            <w:r w:rsidRPr="00022BA7">
              <w:rPr>
                <w:b/>
                <w:sz w:val="20"/>
                <w:vertAlign w:val="subscript"/>
              </w:rPr>
              <w:t>2</w:t>
            </w:r>
          </w:p>
        </w:tc>
        <w:tc>
          <w:tcPr>
            <w:tcW w:w="550"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hideMark/>
          </w:tcPr>
          <w:p w14:paraId="6F236A73" w14:textId="77777777" w:rsidR="007301DF" w:rsidRPr="00022BA7" w:rsidRDefault="007301DF" w:rsidP="0067573D">
            <w:pPr>
              <w:spacing w:line="240" w:lineRule="auto"/>
              <w:jc w:val="center"/>
              <w:rPr>
                <w:b/>
                <w:sz w:val="20"/>
              </w:rPr>
            </w:pPr>
            <w:r w:rsidRPr="00022BA7">
              <w:rPr>
                <w:b/>
                <w:sz w:val="20"/>
                <w:szCs w:val="20"/>
              </w:rPr>
              <w:t>CO</w:t>
            </w:r>
            <w:r w:rsidRPr="00022BA7">
              <w:rPr>
                <w:b/>
                <w:sz w:val="20"/>
                <w:szCs w:val="20"/>
                <w:vertAlign w:val="subscript"/>
              </w:rPr>
              <w:t>2</w:t>
            </w:r>
            <w:r w:rsidRPr="00022BA7">
              <w:rPr>
                <w:b/>
                <w:noProof/>
                <w:sz w:val="20"/>
                <w:szCs w:val="20"/>
              </w:rPr>
              <w:t>e</w:t>
            </w:r>
          </w:p>
        </w:tc>
        <w:tc>
          <w:tcPr>
            <w:tcW w:w="550"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hideMark/>
          </w:tcPr>
          <w:p w14:paraId="3CB7BA15" w14:textId="77777777" w:rsidR="007301DF" w:rsidRPr="00022BA7" w:rsidRDefault="007301DF" w:rsidP="0067573D">
            <w:pPr>
              <w:spacing w:line="240" w:lineRule="auto"/>
              <w:jc w:val="center"/>
              <w:rPr>
                <w:b/>
                <w:sz w:val="20"/>
              </w:rPr>
            </w:pPr>
            <w:r w:rsidRPr="00022BA7">
              <w:rPr>
                <w:b/>
                <w:sz w:val="20"/>
              </w:rPr>
              <w:t>NO</w:t>
            </w:r>
            <w:r w:rsidRPr="00022BA7">
              <w:rPr>
                <w:b/>
                <w:sz w:val="20"/>
                <w:vertAlign w:val="subscript"/>
              </w:rPr>
              <w:t>x</w:t>
            </w:r>
            <w:r w:rsidRPr="00022BA7">
              <w:rPr>
                <w:vertAlign w:val="superscript"/>
              </w:rPr>
              <w:t xml:space="preserve"> b</w:t>
            </w:r>
          </w:p>
        </w:tc>
        <w:tc>
          <w:tcPr>
            <w:tcW w:w="554"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center"/>
            <w:hideMark/>
          </w:tcPr>
          <w:p w14:paraId="6F6A9EA7" w14:textId="77777777" w:rsidR="007301DF" w:rsidRPr="00022BA7" w:rsidRDefault="007301DF" w:rsidP="0067573D">
            <w:pPr>
              <w:spacing w:line="240" w:lineRule="auto"/>
              <w:jc w:val="center"/>
              <w:rPr>
                <w:b/>
                <w:sz w:val="20"/>
              </w:rPr>
            </w:pPr>
            <w:proofErr w:type="spellStart"/>
            <w:r w:rsidRPr="00022BA7">
              <w:rPr>
                <w:b/>
                <w:sz w:val="20"/>
              </w:rPr>
              <w:t>SO</w:t>
            </w:r>
            <w:r w:rsidRPr="00022BA7">
              <w:rPr>
                <w:b/>
                <w:sz w:val="20"/>
                <w:vertAlign w:val="subscript"/>
              </w:rPr>
              <w:t>x</w:t>
            </w:r>
            <w:proofErr w:type="spellEnd"/>
          </w:p>
        </w:tc>
      </w:tr>
      <w:tr w:rsidR="007301DF" w:rsidRPr="00022BA7" w14:paraId="0F4CB660" w14:textId="77777777" w:rsidTr="0067573D">
        <w:trPr>
          <w:trHeight w:val="156"/>
        </w:trPr>
        <w:tc>
          <w:tcPr>
            <w:tcW w:w="5000" w:type="pct"/>
            <w:gridSpan w:val="8"/>
            <w:tcBorders>
              <w:top w:val="single" w:sz="18" w:space="0" w:color="auto"/>
              <w:left w:val="single" w:sz="4" w:space="0" w:color="auto"/>
              <w:bottom w:val="single" w:sz="4" w:space="0" w:color="auto"/>
              <w:right w:val="single" w:sz="4" w:space="0" w:color="auto"/>
            </w:tcBorders>
          </w:tcPr>
          <w:p w14:paraId="2ED72900" w14:textId="77777777" w:rsidR="007301DF" w:rsidRPr="00022BA7" w:rsidRDefault="007301DF" w:rsidP="0067573D">
            <w:pPr>
              <w:spacing w:line="240" w:lineRule="auto"/>
            </w:pPr>
            <w:proofErr w:type="spellStart"/>
            <w:r w:rsidRPr="00022BA7">
              <w:rPr>
                <w:b/>
                <w:color w:val="000000"/>
                <w:sz w:val="20"/>
              </w:rPr>
              <w:t>Ultra Low</w:t>
            </w:r>
            <w:proofErr w:type="spellEnd"/>
            <w:r w:rsidRPr="00022BA7">
              <w:rPr>
                <w:b/>
                <w:color w:val="000000"/>
                <w:sz w:val="20"/>
              </w:rPr>
              <w:t xml:space="preserve"> Sulfur Diesel</w:t>
            </w:r>
            <w:r>
              <w:rPr>
                <w:b/>
                <w:color w:val="000000"/>
                <w:sz w:val="20"/>
              </w:rPr>
              <w:t xml:space="preserve"> (ULSD)</w:t>
            </w:r>
            <w:r w:rsidRPr="00022BA7">
              <w:rPr>
                <w:vertAlign w:val="superscript"/>
              </w:rPr>
              <w:t xml:space="preserve">c </w:t>
            </w:r>
          </w:p>
        </w:tc>
      </w:tr>
      <w:tr w:rsidR="007301DF" w:rsidRPr="00022BA7" w14:paraId="055F8DE5" w14:textId="77777777" w:rsidTr="0067573D">
        <w:trPr>
          <w:trHeight w:val="156"/>
        </w:trPr>
        <w:tc>
          <w:tcPr>
            <w:tcW w:w="1317"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CFD3E65" w14:textId="77777777" w:rsidR="007301DF" w:rsidRPr="00022BA7" w:rsidRDefault="007301DF" w:rsidP="0067573D">
            <w:pPr>
              <w:spacing w:line="240" w:lineRule="auto"/>
              <w:jc w:val="right"/>
              <w:rPr>
                <w:color w:val="000000"/>
                <w:sz w:val="20"/>
              </w:rPr>
            </w:pPr>
            <w:r w:rsidRPr="00022BA7">
              <w:rPr>
                <w:color w:val="000000"/>
                <w:sz w:val="20"/>
              </w:rPr>
              <w:t>Well-to-Tank (</w:t>
            </w:r>
            <m:oMath>
              <m:sSubSup>
                <m:sSubSupPr>
                  <m:ctrlPr>
                    <w:rPr>
                      <w:rFonts w:ascii="Cambria Math" w:hAnsi="Cambria Math"/>
                    </w:rPr>
                  </m:ctrlPr>
                </m:sSubSupPr>
                <m:e>
                  <m:r>
                    <w:rPr>
                      <w:rFonts w:ascii="Cambria Math" w:hAnsi="Cambria Math"/>
                    </w:rPr>
                    <m:t>EF</m:t>
                  </m:r>
                </m:e>
                <m:sub>
                  <m:r>
                    <w:rPr>
                      <w:rFonts w:ascii="Cambria Math" w:hAnsi="Cambria Math"/>
                    </w:rPr>
                    <m:t>e</m:t>
                  </m:r>
                </m:sub>
                <m:sup>
                  <m:r>
                    <w:rPr>
                      <w:rFonts w:ascii="Cambria Math" w:hAnsi="Cambria Math"/>
                    </w:rPr>
                    <m:t>WtT,ICE</m:t>
                  </m:r>
                </m:sup>
              </m:sSubSup>
            </m:oMath>
            <w:r w:rsidRPr="00022BA7">
              <w:rPr>
                <w:color w:val="000000"/>
                <w:sz w:val="20"/>
              </w:rPr>
              <w:t>)</w:t>
            </w:r>
          </w:p>
        </w:tc>
        <w:tc>
          <w:tcPr>
            <w:tcW w:w="464" w:type="pct"/>
            <w:tcBorders>
              <w:top w:val="single" w:sz="4" w:space="0" w:color="auto"/>
              <w:left w:val="single" w:sz="4" w:space="0" w:color="auto"/>
              <w:bottom w:val="single" w:sz="4" w:space="0" w:color="auto"/>
              <w:right w:val="single" w:sz="4" w:space="0" w:color="auto"/>
            </w:tcBorders>
          </w:tcPr>
          <w:p w14:paraId="6A4F6109" w14:textId="77777777" w:rsidR="007301DF" w:rsidRPr="00022BA7" w:rsidRDefault="007301DF" w:rsidP="0067573D">
            <w:pPr>
              <w:spacing w:line="240" w:lineRule="auto"/>
              <w:jc w:val="right"/>
            </w:pPr>
            <w:r w:rsidRPr="00022BA7">
              <w:t>-</w:t>
            </w:r>
          </w:p>
        </w:tc>
        <w:tc>
          <w:tcPr>
            <w:tcW w:w="464"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24A86E4"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0.828 </w:t>
            </w:r>
          </w:p>
        </w:tc>
        <w:tc>
          <w:tcPr>
            <w:tcW w:w="551"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0258C88"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0.0014 </w:t>
            </w: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B8CFD9F"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98.4 </w:t>
            </w: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AEAA0C9"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121.9 </w:t>
            </w: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6271B69"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p>
        </w:tc>
        <w:tc>
          <w:tcPr>
            <w:tcW w:w="554"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5533D33"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p>
        </w:tc>
      </w:tr>
      <w:tr w:rsidR="007301DF" w:rsidRPr="00022BA7" w14:paraId="1ED14BF0" w14:textId="77777777" w:rsidTr="0067573D">
        <w:trPr>
          <w:trHeight w:val="156"/>
        </w:trPr>
        <w:tc>
          <w:tcPr>
            <w:tcW w:w="1317"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3DD33ECB" w14:textId="77777777" w:rsidR="007301DF" w:rsidRPr="00022BA7" w:rsidRDefault="007301DF" w:rsidP="0067573D">
            <w:pPr>
              <w:spacing w:line="240" w:lineRule="auto"/>
              <w:jc w:val="right"/>
              <w:rPr>
                <w:rFonts w:eastAsia="Times New Roman"/>
                <w:color w:val="000000"/>
                <w:sz w:val="20"/>
              </w:rPr>
            </w:pPr>
            <w:r w:rsidRPr="00022BA7">
              <w:rPr>
                <w:color w:val="000000"/>
                <w:sz w:val="20"/>
              </w:rPr>
              <w:t>Main Engine (</w:t>
            </w:r>
            <m:oMath>
              <m:sSubSup>
                <m:sSubSupPr>
                  <m:ctrlPr>
                    <w:rPr>
                      <w:rFonts w:ascii="Cambria Math" w:hAnsi="Cambria Math"/>
                    </w:rPr>
                  </m:ctrlPr>
                </m:sSubSupPr>
                <m:e>
                  <m:r>
                    <w:rPr>
                      <w:rFonts w:ascii="Cambria Math" w:hAnsi="Cambria Math"/>
                    </w:rPr>
                    <m:t>EF</m:t>
                  </m:r>
                </m:e>
                <m:sub>
                  <m:r>
                    <w:rPr>
                      <w:rFonts w:ascii="Cambria Math" w:hAnsi="Cambria Math"/>
                    </w:rPr>
                    <m:t>e</m:t>
                  </m:r>
                </m:sub>
                <m:sup>
                  <m:r>
                    <w:rPr>
                      <w:rFonts w:ascii="Cambria Math" w:hAnsi="Cambria Math"/>
                    </w:rPr>
                    <m:t>ME</m:t>
                  </m:r>
                </m:sup>
              </m:sSubSup>
            </m:oMath>
            <w:r w:rsidRPr="00022BA7">
              <w:rPr>
                <w:color w:val="000000"/>
                <w:sz w:val="20"/>
              </w:rPr>
              <w:t>)</w:t>
            </w:r>
          </w:p>
        </w:tc>
        <w:tc>
          <w:tcPr>
            <w:tcW w:w="464" w:type="pct"/>
            <w:tcBorders>
              <w:top w:val="single" w:sz="4" w:space="0" w:color="auto"/>
              <w:left w:val="single" w:sz="4" w:space="0" w:color="auto"/>
              <w:bottom w:val="single" w:sz="4" w:space="0" w:color="auto"/>
              <w:right w:val="single" w:sz="4" w:space="0" w:color="auto"/>
            </w:tcBorders>
          </w:tcPr>
          <w:p w14:paraId="6C1CB8DA" w14:textId="77777777" w:rsidR="007301DF" w:rsidRPr="00022BA7" w:rsidRDefault="007301DF" w:rsidP="0067573D">
            <w:pPr>
              <w:spacing w:line="240" w:lineRule="auto"/>
              <w:jc w:val="right"/>
            </w:pPr>
            <w:r w:rsidRPr="00022BA7">
              <w:t>2022</w:t>
            </w:r>
          </w:p>
        </w:tc>
        <w:tc>
          <w:tcPr>
            <w:tcW w:w="464"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24EC6B7F"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0.012 </w:t>
            </w:r>
          </w:p>
        </w:tc>
        <w:tc>
          <w:tcPr>
            <w:tcW w:w="551"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1CE4BAF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0.0310 </w:t>
            </w:r>
          </w:p>
        </w:tc>
        <w:tc>
          <w:tcPr>
            <w:tcW w:w="550"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0DE612D7"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583.8 </w:t>
            </w:r>
          </w:p>
        </w:tc>
        <w:tc>
          <w:tcPr>
            <w:tcW w:w="550" w:type="pct"/>
            <w:vMerge w:val="restart"/>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4E6D8BE9"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592.6 </w:t>
            </w: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B9D4043"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3.40</w:t>
            </w:r>
          </w:p>
        </w:tc>
        <w:tc>
          <w:tcPr>
            <w:tcW w:w="554"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AB72348"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0.0054</w:t>
            </w:r>
          </w:p>
        </w:tc>
      </w:tr>
      <w:tr w:rsidR="007301DF" w:rsidRPr="00022BA7" w14:paraId="50009FA1" w14:textId="77777777" w:rsidTr="0067573D">
        <w:trPr>
          <w:trHeight w:val="156"/>
        </w:trPr>
        <w:tc>
          <w:tcPr>
            <w:tcW w:w="1317"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5E5AF44D" w14:textId="77777777" w:rsidR="007301DF" w:rsidRPr="00022BA7" w:rsidRDefault="007301DF" w:rsidP="0067573D">
            <w:pPr>
              <w:spacing w:line="240" w:lineRule="auto"/>
              <w:jc w:val="right"/>
              <w:rPr>
                <w:color w:val="000000"/>
                <w:sz w:val="20"/>
              </w:rPr>
            </w:pPr>
          </w:p>
        </w:tc>
        <w:tc>
          <w:tcPr>
            <w:tcW w:w="464" w:type="pct"/>
            <w:tcBorders>
              <w:top w:val="single" w:sz="4" w:space="0" w:color="auto"/>
              <w:left w:val="single" w:sz="4" w:space="0" w:color="auto"/>
              <w:bottom w:val="single" w:sz="4" w:space="0" w:color="auto"/>
              <w:right w:val="single" w:sz="4" w:space="0" w:color="auto"/>
            </w:tcBorders>
          </w:tcPr>
          <w:p w14:paraId="625B1E10" w14:textId="77777777" w:rsidR="007301DF" w:rsidRPr="00022BA7" w:rsidRDefault="007301DF" w:rsidP="0067573D">
            <w:pPr>
              <w:spacing w:line="240" w:lineRule="auto"/>
              <w:jc w:val="right"/>
            </w:pPr>
            <w:r w:rsidRPr="00022BA7">
              <w:t>2035</w:t>
            </w:r>
          </w:p>
        </w:tc>
        <w:tc>
          <w:tcPr>
            <w:tcW w:w="464"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5C9D41D3" w14:textId="77777777" w:rsidR="007301DF" w:rsidRPr="00022BA7" w:rsidRDefault="007301DF" w:rsidP="0067573D">
            <w:pPr>
              <w:keepNext/>
              <w:spacing w:line="240" w:lineRule="auto"/>
              <w:jc w:val="right"/>
              <w:rPr>
                <w:rFonts w:eastAsia="Times New Roman"/>
                <w:color w:val="000000"/>
                <w:sz w:val="20"/>
              </w:rPr>
            </w:pPr>
          </w:p>
        </w:tc>
        <w:tc>
          <w:tcPr>
            <w:tcW w:w="551"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17F318B7"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6407EEE2"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1F643C1B" w14:textId="77777777" w:rsidR="007301DF" w:rsidRPr="00022BA7" w:rsidRDefault="007301DF" w:rsidP="0067573D">
            <w:pPr>
              <w:keepNext/>
              <w:spacing w:line="240" w:lineRule="auto"/>
              <w:jc w:val="right"/>
              <w:rPr>
                <w:rFonts w:eastAsia="Times New Roman"/>
                <w:color w:val="000000"/>
                <w:sz w:val="20"/>
              </w:rPr>
            </w:pP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3628FC7"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1.19</w:t>
            </w:r>
            <w:r w:rsidRPr="00022BA7">
              <w:rPr>
                <w:rFonts w:eastAsia="Times New Roman"/>
                <w:color w:val="000000"/>
                <w:sz w:val="20"/>
                <w:vertAlign w:val="superscript"/>
              </w:rPr>
              <w:t>d</w:t>
            </w:r>
          </w:p>
        </w:tc>
        <w:tc>
          <w:tcPr>
            <w:tcW w:w="554"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732B96E"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r>
      <w:tr w:rsidR="007301DF" w:rsidRPr="00022BA7" w14:paraId="370ADEF0" w14:textId="77777777" w:rsidTr="0067573D">
        <w:trPr>
          <w:trHeight w:val="156"/>
        </w:trPr>
        <w:tc>
          <w:tcPr>
            <w:tcW w:w="1317"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2F8C831" w14:textId="77777777" w:rsidR="007301DF" w:rsidRPr="00022BA7" w:rsidRDefault="007301DF" w:rsidP="0067573D">
            <w:pPr>
              <w:spacing w:line="240" w:lineRule="auto"/>
              <w:jc w:val="right"/>
              <w:rPr>
                <w:color w:val="000000"/>
                <w:sz w:val="20"/>
              </w:rPr>
            </w:pPr>
          </w:p>
        </w:tc>
        <w:tc>
          <w:tcPr>
            <w:tcW w:w="464" w:type="pct"/>
            <w:tcBorders>
              <w:top w:val="single" w:sz="4" w:space="0" w:color="auto"/>
              <w:left w:val="single" w:sz="4" w:space="0" w:color="auto"/>
              <w:bottom w:val="single" w:sz="4" w:space="0" w:color="auto"/>
              <w:right w:val="single" w:sz="4" w:space="0" w:color="auto"/>
            </w:tcBorders>
          </w:tcPr>
          <w:p w14:paraId="5D24DE6F" w14:textId="77777777" w:rsidR="007301DF" w:rsidRPr="00022BA7" w:rsidRDefault="007301DF" w:rsidP="0067573D">
            <w:pPr>
              <w:spacing w:line="240" w:lineRule="auto"/>
              <w:jc w:val="right"/>
            </w:pPr>
            <w:r w:rsidRPr="00022BA7">
              <w:t>2050</w:t>
            </w:r>
          </w:p>
        </w:tc>
        <w:tc>
          <w:tcPr>
            <w:tcW w:w="464"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A7631F9" w14:textId="77777777" w:rsidR="007301DF" w:rsidRPr="00022BA7" w:rsidRDefault="007301DF" w:rsidP="0067573D">
            <w:pPr>
              <w:keepNext/>
              <w:spacing w:line="240" w:lineRule="auto"/>
              <w:jc w:val="right"/>
              <w:rPr>
                <w:rFonts w:eastAsia="Times New Roman"/>
                <w:color w:val="000000"/>
                <w:sz w:val="20"/>
              </w:rPr>
            </w:pPr>
          </w:p>
        </w:tc>
        <w:tc>
          <w:tcPr>
            <w:tcW w:w="551"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367FBA4"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72DA8C7"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DB0D135" w14:textId="77777777" w:rsidR="007301DF" w:rsidRPr="00022BA7" w:rsidRDefault="007301DF" w:rsidP="0067573D">
            <w:pPr>
              <w:keepNext/>
              <w:spacing w:line="240" w:lineRule="auto"/>
              <w:jc w:val="right"/>
              <w:rPr>
                <w:rFonts w:eastAsia="Times New Roman"/>
                <w:color w:val="000000"/>
                <w:sz w:val="20"/>
              </w:rPr>
            </w:pPr>
          </w:p>
        </w:tc>
        <w:tc>
          <w:tcPr>
            <w:tcW w:w="55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3569BD8"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c>
          <w:tcPr>
            <w:tcW w:w="554"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CA59326"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r>
      <w:tr w:rsidR="007301DF" w:rsidRPr="00022BA7" w14:paraId="5D90B635" w14:textId="77777777" w:rsidTr="0067573D">
        <w:trPr>
          <w:trHeight w:val="156"/>
        </w:trPr>
        <w:tc>
          <w:tcPr>
            <w:tcW w:w="1317" w:type="pct"/>
            <w:vMerge w:val="restart"/>
            <w:tcBorders>
              <w:top w:val="single" w:sz="4" w:space="0" w:color="auto"/>
              <w:left w:val="single" w:sz="4" w:space="0" w:color="6E6E6E"/>
              <w:right w:val="single" w:sz="4" w:space="0" w:color="6E6E6E"/>
            </w:tcBorders>
            <w:shd w:val="clear" w:color="auto" w:fill="auto"/>
            <w:tcMar>
              <w:top w:w="72" w:type="dxa"/>
              <w:left w:w="144" w:type="dxa"/>
              <w:bottom w:w="72" w:type="dxa"/>
              <w:right w:w="144" w:type="dxa"/>
            </w:tcMar>
            <w:vAlign w:val="center"/>
          </w:tcPr>
          <w:p w14:paraId="371777A0" w14:textId="77777777" w:rsidR="007301DF" w:rsidRPr="00022BA7" w:rsidRDefault="007301DF" w:rsidP="0067573D">
            <w:pPr>
              <w:spacing w:line="240" w:lineRule="auto"/>
              <w:jc w:val="right"/>
              <w:rPr>
                <w:rFonts w:eastAsia="Times New Roman"/>
                <w:color w:val="000000"/>
                <w:sz w:val="20"/>
              </w:rPr>
            </w:pPr>
            <w:r w:rsidRPr="00022BA7">
              <w:rPr>
                <w:color w:val="000000"/>
                <w:sz w:val="20"/>
              </w:rPr>
              <w:t>Auxiliary Engine (</w:t>
            </w:r>
            <m:oMath>
              <m:sSubSup>
                <m:sSubSupPr>
                  <m:ctrlPr>
                    <w:rPr>
                      <w:rFonts w:ascii="Cambria Math" w:hAnsi="Cambria Math"/>
                    </w:rPr>
                  </m:ctrlPr>
                </m:sSubSupPr>
                <m:e>
                  <m:r>
                    <w:rPr>
                      <w:rFonts w:ascii="Cambria Math" w:hAnsi="Cambria Math"/>
                    </w:rPr>
                    <m:t>EF</m:t>
                  </m:r>
                </m:e>
                <m:sub>
                  <m:r>
                    <w:rPr>
                      <w:rFonts w:ascii="Cambria Math" w:hAnsi="Cambria Math"/>
                    </w:rPr>
                    <m:t>e</m:t>
                  </m:r>
                </m:sub>
                <m:sup>
                  <m:r>
                    <w:rPr>
                      <w:rFonts w:ascii="Cambria Math" w:hAnsi="Cambria Math"/>
                    </w:rPr>
                    <m:t>AE</m:t>
                  </m:r>
                </m:sup>
              </m:sSubSup>
            </m:oMath>
            <w:r w:rsidRPr="00022BA7">
              <w:rPr>
                <w:color w:val="000000"/>
                <w:sz w:val="20"/>
              </w:rPr>
              <w:t>)</w:t>
            </w:r>
          </w:p>
        </w:tc>
        <w:tc>
          <w:tcPr>
            <w:tcW w:w="464" w:type="pct"/>
            <w:tcBorders>
              <w:top w:val="single" w:sz="4" w:space="0" w:color="auto"/>
              <w:left w:val="single" w:sz="4" w:space="0" w:color="6E6E6E"/>
              <w:bottom w:val="single" w:sz="4" w:space="0" w:color="auto"/>
              <w:right w:val="single" w:sz="4" w:space="0" w:color="6E6E6E"/>
            </w:tcBorders>
          </w:tcPr>
          <w:p w14:paraId="1A55182F" w14:textId="77777777" w:rsidR="007301DF" w:rsidRPr="00022BA7" w:rsidRDefault="007301DF" w:rsidP="0067573D">
            <w:pPr>
              <w:spacing w:line="240" w:lineRule="auto"/>
              <w:jc w:val="right"/>
            </w:pPr>
            <w:r w:rsidRPr="00022BA7">
              <w:t>2022</w:t>
            </w:r>
          </w:p>
        </w:tc>
        <w:tc>
          <w:tcPr>
            <w:tcW w:w="464" w:type="pct"/>
            <w:vMerge w:val="restart"/>
            <w:tcBorders>
              <w:top w:val="single" w:sz="4" w:space="0" w:color="auto"/>
              <w:left w:val="single" w:sz="4" w:space="0" w:color="6E6E6E"/>
              <w:right w:val="single" w:sz="4" w:space="0" w:color="6E6E6E"/>
            </w:tcBorders>
            <w:shd w:val="clear" w:color="auto" w:fill="auto"/>
            <w:tcMar>
              <w:top w:w="72" w:type="dxa"/>
              <w:left w:w="144" w:type="dxa"/>
              <w:bottom w:w="72" w:type="dxa"/>
              <w:right w:w="144" w:type="dxa"/>
            </w:tcMar>
            <w:vAlign w:val="center"/>
          </w:tcPr>
          <w:p w14:paraId="4D8D7B7F"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0.014 </w:t>
            </w:r>
          </w:p>
        </w:tc>
        <w:tc>
          <w:tcPr>
            <w:tcW w:w="551" w:type="pct"/>
            <w:vMerge w:val="restart"/>
            <w:tcBorders>
              <w:top w:val="single" w:sz="4" w:space="0" w:color="auto"/>
              <w:left w:val="single" w:sz="4" w:space="0" w:color="6E6E6E"/>
              <w:right w:val="single" w:sz="4" w:space="0" w:color="6E6E6E"/>
            </w:tcBorders>
            <w:shd w:val="clear" w:color="auto" w:fill="auto"/>
            <w:tcMar>
              <w:top w:w="72" w:type="dxa"/>
              <w:left w:w="144" w:type="dxa"/>
              <w:bottom w:w="72" w:type="dxa"/>
              <w:right w:w="144" w:type="dxa"/>
            </w:tcMar>
            <w:vAlign w:val="center"/>
          </w:tcPr>
          <w:p w14:paraId="47C7885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0.0364 </w:t>
            </w:r>
          </w:p>
        </w:tc>
        <w:tc>
          <w:tcPr>
            <w:tcW w:w="550" w:type="pct"/>
            <w:vMerge w:val="restart"/>
            <w:tcBorders>
              <w:top w:val="single" w:sz="4" w:space="0" w:color="auto"/>
              <w:left w:val="single" w:sz="4" w:space="0" w:color="6E6E6E"/>
              <w:right w:val="single" w:sz="4" w:space="0" w:color="6E6E6E"/>
            </w:tcBorders>
            <w:shd w:val="clear" w:color="auto" w:fill="auto"/>
            <w:tcMar>
              <w:top w:w="72" w:type="dxa"/>
              <w:left w:w="144" w:type="dxa"/>
              <w:bottom w:w="72" w:type="dxa"/>
              <w:right w:w="144" w:type="dxa"/>
            </w:tcMar>
            <w:vAlign w:val="center"/>
          </w:tcPr>
          <w:p w14:paraId="4CC7075D"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684.7 </w:t>
            </w:r>
          </w:p>
        </w:tc>
        <w:tc>
          <w:tcPr>
            <w:tcW w:w="550" w:type="pct"/>
            <w:vMerge w:val="restart"/>
            <w:tcBorders>
              <w:top w:val="single" w:sz="4" w:space="0" w:color="auto"/>
              <w:left w:val="single" w:sz="4" w:space="0" w:color="6E6E6E"/>
              <w:right w:val="single" w:sz="4" w:space="0" w:color="6E6E6E"/>
            </w:tcBorders>
            <w:shd w:val="clear" w:color="auto" w:fill="auto"/>
            <w:tcMar>
              <w:top w:w="72" w:type="dxa"/>
              <w:left w:w="144" w:type="dxa"/>
              <w:bottom w:w="72" w:type="dxa"/>
              <w:right w:w="144" w:type="dxa"/>
            </w:tcMar>
            <w:vAlign w:val="center"/>
          </w:tcPr>
          <w:p w14:paraId="0A7261BD"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695.1 </w:t>
            </w:r>
          </w:p>
        </w:tc>
        <w:tc>
          <w:tcPr>
            <w:tcW w:w="550"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611C592A"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3.99</w:t>
            </w:r>
          </w:p>
        </w:tc>
        <w:tc>
          <w:tcPr>
            <w:tcW w:w="554"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1795815E"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 xml:space="preserve"> 0.0064 </w:t>
            </w:r>
          </w:p>
        </w:tc>
      </w:tr>
      <w:tr w:rsidR="007301DF" w:rsidRPr="00022BA7" w14:paraId="2424D3B0" w14:textId="77777777" w:rsidTr="0067573D">
        <w:trPr>
          <w:trHeight w:val="156"/>
        </w:trPr>
        <w:tc>
          <w:tcPr>
            <w:tcW w:w="1317" w:type="pct"/>
            <w:vMerge/>
            <w:tcBorders>
              <w:left w:val="single" w:sz="4" w:space="0" w:color="6E6E6E"/>
              <w:right w:val="single" w:sz="4" w:space="0" w:color="6E6E6E"/>
            </w:tcBorders>
            <w:shd w:val="clear" w:color="auto" w:fill="auto"/>
            <w:tcMar>
              <w:top w:w="72" w:type="dxa"/>
              <w:left w:w="144" w:type="dxa"/>
              <w:bottom w:w="72" w:type="dxa"/>
              <w:right w:w="144" w:type="dxa"/>
            </w:tcMar>
            <w:vAlign w:val="center"/>
          </w:tcPr>
          <w:p w14:paraId="13AAFEE6" w14:textId="77777777" w:rsidR="007301DF" w:rsidRPr="00022BA7" w:rsidRDefault="007301DF" w:rsidP="0067573D">
            <w:pPr>
              <w:spacing w:line="240" w:lineRule="auto"/>
              <w:jc w:val="right"/>
              <w:rPr>
                <w:color w:val="000000"/>
                <w:sz w:val="20"/>
              </w:rPr>
            </w:pPr>
          </w:p>
        </w:tc>
        <w:tc>
          <w:tcPr>
            <w:tcW w:w="464" w:type="pct"/>
            <w:tcBorders>
              <w:top w:val="single" w:sz="4" w:space="0" w:color="auto"/>
              <w:left w:val="single" w:sz="4" w:space="0" w:color="6E6E6E"/>
              <w:bottom w:val="single" w:sz="4" w:space="0" w:color="auto"/>
              <w:right w:val="single" w:sz="4" w:space="0" w:color="6E6E6E"/>
            </w:tcBorders>
          </w:tcPr>
          <w:p w14:paraId="220189C2" w14:textId="77777777" w:rsidR="007301DF" w:rsidRPr="00022BA7" w:rsidRDefault="007301DF" w:rsidP="0067573D">
            <w:pPr>
              <w:spacing w:line="240" w:lineRule="auto"/>
              <w:jc w:val="right"/>
            </w:pPr>
            <w:r w:rsidRPr="00022BA7">
              <w:t>2035</w:t>
            </w:r>
          </w:p>
        </w:tc>
        <w:tc>
          <w:tcPr>
            <w:tcW w:w="464" w:type="pct"/>
            <w:vMerge/>
            <w:tcBorders>
              <w:left w:val="single" w:sz="4" w:space="0" w:color="6E6E6E"/>
              <w:right w:val="single" w:sz="4" w:space="0" w:color="6E6E6E"/>
            </w:tcBorders>
            <w:shd w:val="clear" w:color="auto" w:fill="auto"/>
            <w:tcMar>
              <w:top w:w="72" w:type="dxa"/>
              <w:left w:w="144" w:type="dxa"/>
              <w:bottom w:w="72" w:type="dxa"/>
              <w:right w:w="144" w:type="dxa"/>
            </w:tcMar>
            <w:vAlign w:val="center"/>
          </w:tcPr>
          <w:p w14:paraId="300EA6E7" w14:textId="77777777" w:rsidR="007301DF" w:rsidRPr="00022BA7" w:rsidRDefault="007301DF" w:rsidP="0067573D">
            <w:pPr>
              <w:keepNext/>
              <w:spacing w:line="240" w:lineRule="auto"/>
              <w:jc w:val="right"/>
              <w:rPr>
                <w:rFonts w:eastAsia="Times New Roman"/>
                <w:color w:val="000000"/>
                <w:sz w:val="20"/>
              </w:rPr>
            </w:pPr>
          </w:p>
        </w:tc>
        <w:tc>
          <w:tcPr>
            <w:tcW w:w="551" w:type="pct"/>
            <w:vMerge/>
            <w:tcBorders>
              <w:left w:val="single" w:sz="4" w:space="0" w:color="6E6E6E"/>
              <w:right w:val="single" w:sz="4" w:space="0" w:color="6E6E6E"/>
            </w:tcBorders>
            <w:shd w:val="clear" w:color="auto" w:fill="auto"/>
            <w:tcMar>
              <w:top w:w="72" w:type="dxa"/>
              <w:left w:w="144" w:type="dxa"/>
              <w:bottom w:w="72" w:type="dxa"/>
              <w:right w:w="144" w:type="dxa"/>
            </w:tcMar>
            <w:vAlign w:val="center"/>
          </w:tcPr>
          <w:p w14:paraId="3D25B413"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6E6E6E"/>
              <w:right w:val="single" w:sz="4" w:space="0" w:color="6E6E6E"/>
            </w:tcBorders>
            <w:shd w:val="clear" w:color="auto" w:fill="auto"/>
            <w:tcMar>
              <w:top w:w="72" w:type="dxa"/>
              <w:left w:w="144" w:type="dxa"/>
              <w:bottom w:w="72" w:type="dxa"/>
              <w:right w:w="144" w:type="dxa"/>
            </w:tcMar>
            <w:vAlign w:val="center"/>
          </w:tcPr>
          <w:p w14:paraId="6A7A13AB"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6E6E6E"/>
              <w:right w:val="single" w:sz="4" w:space="0" w:color="6E6E6E"/>
            </w:tcBorders>
            <w:shd w:val="clear" w:color="auto" w:fill="auto"/>
            <w:tcMar>
              <w:top w:w="72" w:type="dxa"/>
              <w:left w:w="144" w:type="dxa"/>
              <w:bottom w:w="72" w:type="dxa"/>
              <w:right w:w="144" w:type="dxa"/>
            </w:tcMar>
            <w:vAlign w:val="center"/>
          </w:tcPr>
          <w:p w14:paraId="68516DFF" w14:textId="77777777" w:rsidR="007301DF" w:rsidRPr="00022BA7" w:rsidRDefault="007301DF" w:rsidP="0067573D">
            <w:pPr>
              <w:keepNext/>
              <w:spacing w:line="240" w:lineRule="auto"/>
              <w:jc w:val="right"/>
              <w:rPr>
                <w:rFonts w:eastAsia="Times New Roman"/>
                <w:color w:val="000000"/>
                <w:sz w:val="20"/>
              </w:rPr>
            </w:pPr>
          </w:p>
        </w:tc>
        <w:tc>
          <w:tcPr>
            <w:tcW w:w="550"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16F5B88A"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1.40</w:t>
            </w:r>
            <w:r w:rsidRPr="00022BA7">
              <w:rPr>
                <w:rFonts w:eastAsia="Times New Roman"/>
                <w:color w:val="000000"/>
                <w:sz w:val="20"/>
                <w:vertAlign w:val="superscript"/>
              </w:rPr>
              <w:t>d</w:t>
            </w:r>
          </w:p>
        </w:tc>
        <w:tc>
          <w:tcPr>
            <w:tcW w:w="554"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6BB544FF"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r>
      <w:tr w:rsidR="007301DF" w:rsidRPr="00022BA7" w14:paraId="42C9F4A1" w14:textId="77777777" w:rsidTr="0067573D">
        <w:trPr>
          <w:trHeight w:val="156"/>
        </w:trPr>
        <w:tc>
          <w:tcPr>
            <w:tcW w:w="1317" w:type="pct"/>
            <w:vMerge/>
            <w:tcBorders>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33D9D3E4" w14:textId="77777777" w:rsidR="007301DF" w:rsidRPr="00022BA7" w:rsidRDefault="007301DF" w:rsidP="0067573D">
            <w:pPr>
              <w:spacing w:line="240" w:lineRule="auto"/>
              <w:jc w:val="right"/>
              <w:rPr>
                <w:color w:val="000000"/>
                <w:sz w:val="20"/>
              </w:rPr>
            </w:pPr>
          </w:p>
        </w:tc>
        <w:tc>
          <w:tcPr>
            <w:tcW w:w="464" w:type="pct"/>
            <w:tcBorders>
              <w:top w:val="single" w:sz="4" w:space="0" w:color="auto"/>
              <w:left w:val="single" w:sz="4" w:space="0" w:color="6E6E6E"/>
              <w:bottom w:val="single" w:sz="4" w:space="0" w:color="auto"/>
              <w:right w:val="single" w:sz="4" w:space="0" w:color="6E6E6E"/>
            </w:tcBorders>
          </w:tcPr>
          <w:p w14:paraId="46A29A35" w14:textId="77777777" w:rsidR="007301DF" w:rsidRPr="00022BA7" w:rsidRDefault="007301DF" w:rsidP="0067573D">
            <w:pPr>
              <w:spacing w:line="240" w:lineRule="auto"/>
              <w:jc w:val="right"/>
            </w:pPr>
            <w:r w:rsidRPr="00022BA7">
              <w:t>2050</w:t>
            </w:r>
          </w:p>
        </w:tc>
        <w:tc>
          <w:tcPr>
            <w:tcW w:w="464" w:type="pct"/>
            <w:vMerge/>
            <w:tcBorders>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6702CEEC" w14:textId="77777777" w:rsidR="007301DF" w:rsidRPr="00022BA7" w:rsidRDefault="007301DF" w:rsidP="0067573D">
            <w:pPr>
              <w:keepNext/>
              <w:spacing w:line="240" w:lineRule="auto"/>
              <w:jc w:val="right"/>
              <w:rPr>
                <w:rFonts w:eastAsia="Times New Roman"/>
                <w:color w:val="000000"/>
                <w:sz w:val="20"/>
              </w:rPr>
            </w:pPr>
          </w:p>
        </w:tc>
        <w:tc>
          <w:tcPr>
            <w:tcW w:w="551" w:type="pct"/>
            <w:vMerge/>
            <w:tcBorders>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71C9349C"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4EF42EB2" w14:textId="77777777" w:rsidR="007301DF" w:rsidRPr="00022BA7" w:rsidRDefault="007301DF" w:rsidP="0067573D">
            <w:pPr>
              <w:keepNext/>
              <w:spacing w:line="240" w:lineRule="auto"/>
              <w:jc w:val="right"/>
              <w:rPr>
                <w:rFonts w:eastAsia="Times New Roman"/>
                <w:color w:val="000000"/>
                <w:sz w:val="20"/>
              </w:rPr>
            </w:pPr>
          </w:p>
        </w:tc>
        <w:tc>
          <w:tcPr>
            <w:tcW w:w="550" w:type="pct"/>
            <w:vMerge/>
            <w:tcBorders>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08B03D68" w14:textId="77777777" w:rsidR="007301DF" w:rsidRPr="00022BA7" w:rsidRDefault="007301DF" w:rsidP="0067573D">
            <w:pPr>
              <w:keepNext/>
              <w:spacing w:line="240" w:lineRule="auto"/>
              <w:jc w:val="right"/>
              <w:rPr>
                <w:rFonts w:eastAsia="Times New Roman"/>
                <w:color w:val="000000"/>
                <w:sz w:val="20"/>
              </w:rPr>
            </w:pPr>
          </w:p>
        </w:tc>
        <w:tc>
          <w:tcPr>
            <w:tcW w:w="550"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6C3070FB"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c>
          <w:tcPr>
            <w:tcW w:w="554" w:type="pct"/>
            <w:tcBorders>
              <w:top w:val="single" w:sz="4" w:space="0" w:color="auto"/>
              <w:left w:val="single" w:sz="4" w:space="0" w:color="6E6E6E"/>
              <w:bottom w:val="single" w:sz="4" w:space="0" w:color="auto"/>
              <w:right w:val="single" w:sz="4" w:space="0" w:color="6E6E6E"/>
            </w:tcBorders>
            <w:shd w:val="clear" w:color="auto" w:fill="auto"/>
            <w:tcMar>
              <w:top w:w="72" w:type="dxa"/>
              <w:left w:w="144" w:type="dxa"/>
              <w:bottom w:w="72" w:type="dxa"/>
              <w:right w:w="144" w:type="dxa"/>
            </w:tcMar>
            <w:vAlign w:val="center"/>
          </w:tcPr>
          <w:p w14:paraId="196B41DA"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0</w:t>
            </w:r>
            <w:r w:rsidRPr="00022BA7">
              <w:rPr>
                <w:rFonts w:eastAsia="Times New Roman"/>
                <w:color w:val="000000"/>
                <w:sz w:val="20"/>
                <w:vertAlign w:val="superscript"/>
              </w:rPr>
              <w:t>e</w:t>
            </w:r>
          </w:p>
        </w:tc>
      </w:tr>
    </w:tbl>
    <w:p w14:paraId="58BA9350" w14:textId="34B2C006" w:rsidR="007301DF" w:rsidRPr="00022BA7" w:rsidRDefault="007301DF" w:rsidP="007301DF">
      <w:pPr>
        <w:rPr>
          <w:sz w:val="18"/>
        </w:rPr>
      </w:pPr>
      <w:proofErr w:type="spellStart"/>
      <w:r w:rsidRPr="00022BA7">
        <w:rPr>
          <w:sz w:val="18"/>
        </w:rPr>
        <w:t>a</w:t>
      </w:r>
      <w:proofErr w:type="spellEnd"/>
      <w:r w:rsidRPr="00022BA7">
        <w:rPr>
          <w:sz w:val="18"/>
        </w:rPr>
        <w:t xml:space="preserve"> Authors</w:t>
      </w:r>
      <w:r>
        <w:rPr>
          <w:sz w:val="18"/>
        </w:rPr>
        <w:t>’</w:t>
      </w:r>
      <w:r w:rsidRPr="00022BA7">
        <w:rPr>
          <w:sz w:val="18"/>
        </w:rPr>
        <w:t xml:space="preserve"> work</w:t>
      </w:r>
      <w:r w:rsidRPr="00022BA7" w:rsidDel="003056B2">
        <w:rPr>
          <w:sz w:val="18"/>
        </w:rPr>
        <w:t xml:space="preserve"> </w:t>
      </w:r>
      <w:r w:rsidRPr="00022BA7">
        <w:rPr>
          <w:sz w:val="18"/>
        </w:rPr>
        <w:t>based on GREET</w:t>
      </w:r>
      <w:r w:rsidR="00EA078F">
        <w:rPr>
          <w:sz w:val="18"/>
        </w:rPr>
        <w:fldChar w:fldCharType="begin"/>
      </w:r>
      <w:r w:rsidR="00F33969">
        <w:rPr>
          <w:sz w:val="18"/>
        </w:rPr>
        <w:instrText xml:space="preserve"> ADDIN ZOTERO_ITEM CSL_CITATION {"citationID":"QOZc4r66","properties":{"formattedCitation":"\\super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EA078F">
        <w:rPr>
          <w:sz w:val="18"/>
        </w:rPr>
        <w:fldChar w:fldCharType="separate"/>
      </w:r>
      <w:r w:rsidR="00F33969" w:rsidRPr="00F33969">
        <w:rPr>
          <w:rFonts w:cs="Times New Roman"/>
          <w:sz w:val="18"/>
          <w:szCs w:val="24"/>
          <w:vertAlign w:val="superscript"/>
        </w:rPr>
        <w:t>20</w:t>
      </w:r>
      <w:r w:rsidR="00EA078F">
        <w:rPr>
          <w:sz w:val="18"/>
        </w:rPr>
        <w:fldChar w:fldCharType="end"/>
      </w:r>
      <w:r>
        <w:rPr>
          <w:sz w:val="18"/>
        </w:rPr>
        <w:t>.</w:t>
      </w:r>
      <w:r w:rsidRPr="00022BA7">
        <w:rPr>
          <w:sz w:val="18"/>
        </w:rPr>
        <w:br/>
        <w:t>b Tier III for IMO NO</w:t>
      </w:r>
      <w:r w:rsidRPr="00022BA7">
        <w:rPr>
          <w:sz w:val="18"/>
          <w:vertAlign w:val="subscript"/>
        </w:rPr>
        <w:t>x</w:t>
      </w:r>
      <w:r w:rsidRPr="00022BA7">
        <w:rPr>
          <w:sz w:val="18"/>
        </w:rPr>
        <w:t xml:space="preserve"> regulation is selected in GREET.</w:t>
      </w:r>
    </w:p>
    <w:p w14:paraId="08B24134" w14:textId="77777777" w:rsidR="007301DF" w:rsidRPr="00022BA7" w:rsidRDefault="007301DF" w:rsidP="007301DF">
      <w:pPr>
        <w:rPr>
          <w:sz w:val="18"/>
        </w:rPr>
      </w:pPr>
      <w:r w:rsidRPr="00022BA7">
        <w:rPr>
          <w:sz w:val="18"/>
        </w:rPr>
        <w:t>c Based on GREET, emission factors for ULSD</w:t>
      </w:r>
      <w:r>
        <w:rPr>
          <w:sz w:val="18"/>
        </w:rPr>
        <w:t xml:space="preserve"> and</w:t>
      </w:r>
      <w:r w:rsidRPr="00022BA7">
        <w:rPr>
          <w:sz w:val="18"/>
        </w:rPr>
        <w:t xml:space="preserve"> </w:t>
      </w:r>
      <w:r>
        <w:rPr>
          <w:sz w:val="18"/>
        </w:rPr>
        <w:t>Marine Diesel Oil</w:t>
      </w:r>
      <w:r w:rsidRPr="00022BA7">
        <w:rPr>
          <w:sz w:val="18"/>
        </w:rPr>
        <w:t xml:space="preserve"> with sulfur 0.0015% </w:t>
      </w:r>
      <w:r>
        <w:rPr>
          <w:sz w:val="18"/>
        </w:rPr>
        <w:t>are</w:t>
      </w:r>
      <w:r w:rsidRPr="00022BA7">
        <w:rPr>
          <w:sz w:val="18"/>
        </w:rPr>
        <w:t xml:space="preserve"> calculated from heavy fuel oil with sulfur 0.0015% and marine gasoline oil with sulfur 0.0015%</w:t>
      </w:r>
      <w:r>
        <w:rPr>
          <w:sz w:val="18"/>
        </w:rPr>
        <w:t>.</w:t>
      </w:r>
    </w:p>
    <w:p w14:paraId="397C12E6" w14:textId="2AAD1BFF" w:rsidR="007301DF" w:rsidRPr="00022BA7" w:rsidRDefault="007301DF" w:rsidP="007301DF">
      <w:pPr>
        <w:rPr>
          <w:sz w:val="18"/>
        </w:rPr>
      </w:pPr>
      <w:r w:rsidRPr="00022BA7">
        <w:rPr>
          <w:sz w:val="18"/>
        </w:rPr>
        <w:t xml:space="preserve">d </w:t>
      </w:r>
      <w:r>
        <w:rPr>
          <w:sz w:val="18"/>
        </w:rPr>
        <w:t>To d</w:t>
      </w:r>
      <w:r w:rsidRPr="00022BA7">
        <w:rPr>
          <w:sz w:val="18"/>
        </w:rPr>
        <w:t>ecrease 65</w:t>
      </w:r>
      <w:r>
        <w:rPr>
          <w:sz w:val="18"/>
        </w:rPr>
        <w:t>%</w:t>
      </w:r>
      <w:r w:rsidRPr="00022BA7">
        <w:rPr>
          <w:sz w:val="18"/>
        </w:rPr>
        <w:t xml:space="preserve"> by 2035</w:t>
      </w:r>
      <w:r w:rsidR="004C7FB5">
        <w:rPr>
          <w:sz w:val="18"/>
        </w:rPr>
        <w:fldChar w:fldCharType="begin"/>
      </w:r>
      <w:r w:rsidR="00F33969">
        <w:rPr>
          <w:sz w:val="18"/>
        </w:rPr>
        <w:instrText xml:space="preserve"> ADDIN ZOTERO_ITEM CSL_CITATION {"citationID":"bQGMOI7y","properties":{"formattedCitation":"\\super 21\\nosupersub{}","plainCitation":"21","noteIndex":0},"citationItems":[{"id":170,"uris":["http://zotero.org/users/12468222/items/HICJDB5T"],"itemData":{"id":170,"type":"webpage","title":"CHC Fact Sheet: Tugboats (Towing Vessels)","URL":"https://ww2.arb.ca.gov/resources/fact-sheets/chc-fact-sheet-tugboats-towing-vessels","author":[{"literal":"California Air Resources Board"}],"accessed":{"date-parts":[["2023",9,26]]},"issued":{"date-parts":[["2021"]]}}}],"schema":"https://github.com/citation-style-language/schema/raw/master/csl-citation.json"} </w:instrText>
      </w:r>
      <w:r w:rsidR="004C7FB5">
        <w:rPr>
          <w:sz w:val="18"/>
        </w:rPr>
        <w:fldChar w:fldCharType="separate"/>
      </w:r>
      <w:r w:rsidR="00F33969" w:rsidRPr="00F33969">
        <w:rPr>
          <w:rFonts w:cs="Times New Roman"/>
          <w:sz w:val="18"/>
          <w:szCs w:val="24"/>
          <w:vertAlign w:val="superscript"/>
        </w:rPr>
        <w:t>21</w:t>
      </w:r>
      <w:r w:rsidR="004C7FB5">
        <w:rPr>
          <w:sz w:val="18"/>
        </w:rPr>
        <w:fldChar w:fldCharType="end"/>
      </w:r>
      <w:r>
        <w:rPr>
          <w:sz w:val="18"/>
        </w:rPr>
        <w:t>.</w:t>
      </w:r>
    </w:p>
    <w:p w14:paraId="67EDE56F" w14:textId="77777777" w:rsidR="007301DF" w:rsidRPr="00022BA7" w:rsidRDefault="007301DF" w:rsidP="007301DF">
      <w:pPr>
        <w:rPr>
          <w:sz w:val="18"/>
        </w:rPr>
      </w:pPr>
      <w:r w:rsidRPr="00022BA7">
        <w:rPr>
          <w:sz w:val="18"/>
        </w:rPr>
        <w:t>e Authors</w:t>
      </w:r>
      <w:r>
        <w:rPr>
          <w:sz w:val="18"/>
        </w:rPr>
        <w:t>’</w:t>
      </w:r>
      <w:r w:rsidRPr="00022BA7">
        <w:rPr>
          <w:sz w:val="18"/>
        </w:rPr>
        <w:t xml:space="preserve"> assumpti</w:t>
      </w:r>
      <w:r>
        <w:rPr>
          <w:sz w:val="18"/>
        </w:rPr>
        <w:t>ons.</w:t>
      </w:r>
    </w:p>
    <w:p w14:paraId="3263BFE5" w14:textId="37C5747B" w:rsidR="007732A7" w:rsidRDefault="007732A7" w:rsidP="009B1D80">
      <w:pPr>
        <w:rPr>
          <w:color w:val="1F497D" w:themeColor="text2"/>
        </w:rPr>
      </w:pPr>
    </w:p>
    <w:p w14:paraId="2D1266AE" w14:textId="0BB9C18C" w:rsidR="007301DF" w:rsidRDefault="007301DF">
      <w:pPr>
        <w:widowControl/>
        <w:spacing w:line="240" w:lineRule="auto"/>
        <w:rPr>
          <w:color w:val="1F497D" w:themeColor="text2"/>
        </w:rPr>
      </w:pPr>
      <w:r>
        <w:rPr>
          <w:color w:val="1F497D" w:themeColor="text2"/>
        </w:rPr>
        <w:br w:type="page"/>
      </w:r>
    </w:p>
    <w:p w14:paraId="0C7F40B5" w14:textId="642553F2" w:rsidR="007301DF" w:rsidRPr="00022BA7" w:rsidRDefault="00995F0B" w:rsidP="007301DF">
      <w:pPr>
        <w:pStyle w:val="Caption"/>
        <w:keepNext/>
        <w:spacing w:line="240" w:lineRule="auto"/>
      </w:pPr>
      <w:bookmarkStart w:id="127" w:name="_Ref144853694"/>
      <w:bookmarkStart w:id="128" w:name="_Toc146723140"/>
      <w:r>
        <w:t xml:space="preserve">Supplementary </w:t>
      </w:r>
      <w:r w:rsidR="007301DF" w:rsidRPr="00022BA7">
        <w:t xml:space="preserve">Table </w:t>
      </w:r>
      <w:r w:rsidR="00590C69">
        <w:fldChar w:fldCharType="begin"/>
      </w:r>
      <w:r w:rsidR="00590C69">
        <w:instrText xml:space="preserve"> SEQ Table \* ARABIC </w:instrText>
      </w:r>
      <w:r w:rsidR="00590C69">
        <w:fldChar w:fldCharType="separate"/>
      </w:r>
      <w:r w:rsidR="00C661AC">
        <w:rPr>
          <w:noProof/>
        </w:rPr>
        <w:t>15</w:t>
      </w:r>
      <w:r w:rsidR="00590C69">
        <w:rPr>
          <w:noProof/>
        </w:rPr>
        <w:fldChar w:fldCharType="end"/>
      </w:r>
      <w:bookmarkEnd w:id="127"/>
      <w:r w:rsidR="007301DF" w:rsidRPr="00022BA7">
        <w:t>. Low-Load Adjustment Factors</w:t>
      </w:r>
      <w:r w:rsidR="0073701A">
        <w:fldChar w:fldCharType="begin"/>
      </w:r>
      <w:r w:rsidR="00C61E16">
        <w:instrText xml:space="preserve"> ADDIN ZOTERO_ITEM CSL_CITATION {"citationID":"zz4sQjRL","properties":{"formattedCitation":"\\super 14\\nosupersub{}","plainCitation":"14","noteIndex":0},"citationItems":[{"id":272,"uris":["http://zotero.org/users/12468222/items/DMRL742K"],"itemData":{"id":272,"type":"report","language":"en","publisher":"U.S. Environmental Protection Agency","title":"Proposal to Designate an Emission Control Area for Nitrogen Oxides, Sulphur Oxides and Particulate Matter: Technical Support Document","URL":"https://nepis.epa.gov/Exe/ZyNET.exe/P10081MU.TXT?ZyActionD=ZyDocument&amp;Client=EPA&amp;Index=2006+Thru+2010&amp;Docs=&amp;Query=&amp;Time=&amp;EndTime=&amp;SearchMethod=1&amp;TocRestrict=n&amp;Toc=&amp;TocEntry=&amp;QField=&amp;QFieldYear=&amp;QFieldMonth=&amp;QFieldDay=&amp;IntQFieldOp=0&amp;ExtQFieldOp=0&amp;XmlQuery=&amp;File=D%3A%5Czyfiles%5CIndex%20Data%5C06thru10%5CTxt%5C00000019%5CP10081MU.txt&amp;User=ANONYMOUS&amp;Password=anonymous&amp;SortMethod=h%7C-&amp;MaximumDocuments=1&amp;FuzzyDegree=0&amp;ImageQuality=r75g8/r75g8/x150y150g16/i425&amp;Display=hpfr&amp;DefSeekPage=x&amp;SearchBack=ZyActionL&amp;Back=ZyActionS&amp;BackDesc=Results%20page&amp;MaximumPages=1&amp;ZyEntry=1&amp;SeekPage=x&amp;ZyPURL","author":[{"literal":"U.S. Environmental Protection Agency"}],"accessed":{"date-parts":[["2023",9,26]]},"issued":{"date-parts":[["2009"]]}}}],"schema":"https://github.com/citation-style-language/schema/raw/master/csl-citation.json"} </w:instrText>
      </w:r>
      <w:r w:rsidR="0073701A">
        <w:fldChar w:fldCharType="separate"/>
      </w:r>
      <w:r w:rsidR="00C61E16" w:rsidRPr="00C61E16">
        <w:rPr>
          <w:szCs w:val="24"/>
          <w:vertAlign w:val="superscript"/>
        </w:rPr>
        <w:t>14</w:t>
      </w:r>
      <w:bookmarkEnd w:id="128"/>
      <w:r w:rsidR="0073701A">
        <w:fldChar w:fldCharType="end"/>
      </w:r>
    </w:p>
    <w:tbl>
      <w:tblPr>
        <w:tblW w:w="4932" w:type="pct"/>
        <w:tblCellMar>
          <w:left w:w="0" w:type="dxa"/>
          <w:right w:w="0" w:type="dxa"/>
        </w:tblCellMar>
        <w:tblLook w:val="0600" w:firstRow="0" w:lastRow="0" w:firstColumn="0" w:lastColumn="0" w:noHBand="1" w:noVBand="1"/>
      </w:tblPr>
      <w:tblGrid>
        <w:gridCol w:w="2606"/>
        <w:gridCol w:w="1273"/>
        <w:gridCol w:w="1338"/>
        <w:gridCol w:w="1338"/>
        <w:gridCol w:w="1338"/>
        <w:gridCol w:w="1334"/>
      </w:tblGrid>
      <w:tr w:rsidR="007301DF" w:rsidRPr="00022BA7" w14:paraId="6BB93F5D" w14:textId="77777777" w:rsidTr="0067573D">
        <w:trPr>
          <w:trHeight w:val="153"/>
        </w:trPr>
        <w:tc>
          <w:tcPr>
            <w:tcW w:w="1412"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bottom"/>
            <w:hideMark/>
          </w:tcPr>
          <w:p w14:paraId="08E206CC" w14:textId="77777777" w:rsidR="007301DF" w:rsidRPr="00022BA7" w:rsidRDefault="007301DF" w:rsidP="0067573D">
            <w:pPr>
              <w:keepNext/>
              <w:spacing w:line="240" w:lineRule="auto"/>
              <w:jc w:val="right"/>
              <w:rPr>
                <w:rFonts w:eastAsia="Times New Roman"/>
                <w:b/>
                <w:sz w:val="20"/>
              </w:rPr>
            </w:pPr>
            <w:r>
              <w:rPr>
                <w:rFonts w:eastAsia="Times New Roman"/>
                <w:b/>
                <w:sz w:val="20"/>
              </w:rPr>
              <w:t>M</w:t>
            </w:r>
            <w:r w:rsidRPr="00022BA7">
              <w:rPr>
                <w:rFonts w:eastAsia="Times New Roman"/>
                <w:b/>
                <w:sz w:val="20"/>
              </w:rPr>
              <w:t xml:space="preserve">ain </w:t>
            </w:r>
            <w:r>
              <w:rPr>
                <w:rFonts w:eastAsia="Times New Roman"/>
                <w:b/>
                <w:sz w:val="20"/>
              </w:rPr>
              <w:t>E</w:t>
            </w:r>
            <w:r w:rsidRPr="00022BA7">
              <w:rPr>
                <w:rFonts w:eastAsia="Times New Roman"/>
                <w:b/>
                <w:sz w:val="20"/>
              </w:rPr>
              <w:t xml:space="preserve">ngine </w:t>
            </w:r>
            <w:r>
              <w:rPr>
                <w:rFonts w:eastAsia="Times New Roman"/>
                <w:b/>
                <w:sz w:val="20"/>
              </w:rPr>
              <w:t>L</w:t>
            </w:r>
            <w:r w:rsidRPr="00022BA7">
              <w:rPr>
                <w:rFonts w:eastAsia="Times New Roman"/>
                <w:b/>
                <w:sz w:val="20"/>
              </w:rPr>
              <w:t xml:space="preserve">oad </w:t>
            </w:r>
            <w:r>
              <w:rPr>
                <w:rFonts w:eastAsia="Times New Roman"/>
                <w:b/>
                <w:sz w:val="20"/>
              </w:rPr>
              <w:t>F</w:t>
            </w:r>
            <w:r w:rsidRPr="00022BA7">
              <w:rPr>
                <w:rFonts w:eastAsia="Times New Roman"/>
                <w:b/>
                <w:sz w:val="20"/>
              </w:rPr>
              <w:t xml:space="preserve">actor </w:t>
            </w:r>
            <m:oMath>
              <m:sSubSup>
                <m:sSubSupPr>
                  <m:ctrlPr>
                    <w:rPr>
                      <w:rFonts w:ascii="Cambria Math" w:hAnsi="Cambria Math"/>
                      <w:b/>
                      <w:i/>
                    </w:rPr>
                  </m:ctrlPr>
                </m:sSubSupPr>
                <m:e>
                  <m:r>
                    <m:rPr>
                      <m:sty m:val="bi"/>
                    </m:rPr>
                    <w:rPr>
                      <w:rFonts w:ascii="Cambria Math" w:hAnsi="Cambria Math"/>
                    </w:rPr>
                    <m:t>LF</m:t>
                  </m:r>
                </m:e>
                <m:sub>
                  <m:r>
                    <m:rPr>
                      <m:sty m:val="bi"/>
                    </m:rPr>
                    <w:rPr>
                      <w:rFonts w:ascii="Cambria Math" w:hAnsi="Cambria Math"/>
                    </w:rPr>
                    <m:t>v,t</m:t>
                  </m:r>
                </m:sub>
                <m:sup>
                  <m:r>
                    <m:rPr>
                      <m:sty m:val="bi"/>
                    </m:rPr>
                    <w:rPr>
                      <w:rFonts w:ascii="Cambria Math" w:hAnsi="Cambria Math"/>
                    </w:rPr>
                    <m:t>ME</m:t>
                  </m:r>
                </m:sup>
              </m:sSubSup>
            </m:oMath>
          </w:p>
        </w:tc>
        <w:tc>
          <w:tcPr>
            <w:tcW w:w="690"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center"/>
            <w:hideMark/>
          </w:tcPr>
          <w:p w14:paraId="622B6592" w14:textId="77777777" w:rsidR="007301DF" w:rsidRPr="00022BA7" w:rsidRDefault="007301DF" w:rsidP="0067573D">
            <w:pPr>
              <w:keepNext/>
              <w:spacing w:line="240" w:lineRule="auto"/>
              <w:jc w:val="center"/>
              <w:rPr>
                <w:rFonts w:eastAsia="Times New Roman"/>
                <w:b/>
                <w:sz w:val="20"/>
              </w:rPr>
            </w:pPr>
            <w:r w:rsidRPr="00022BA7">
              <w:rPr>
                <w:rFonts w:eastAsia="Times New Roman"/>
                <w:b/>
                <w:sz w:val="20"/>
              </w:rPr>
              <w:t>CH</w:t>
            </w:r>
            <w:r w:rsidRPr="00022BA7">
              <w:rPr>
                <w:b/>
                <w:sz w:val="20"/>
                <w:vertAlign w:val="subscript"/>
              </w:rPr>
              <w:t>4</w:t>
            </w:r>
          </w:p>
        </w:tc>
        <w:tc>
          <w:tcPr>
            <w:tcW w:w="725"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center"/>
            <w:hideMark/>
          </w:tcPr>
          <w:p w14:paraId="35E48B59" w14:textId="77777777" w:rsidR="007301DF" w:rsidRPr="00022BA7" w:rsidRDefault="007301DF" w:rsidP="0067573D">
            <w:pPr>
              <w:keepNext/>
              <w:spacing w:line="240" w:lineRule="auto"/>
              <w:jc w:val="center"/>
              <w:rPr>
                <w:rFonts w:eastAsia="Times New Roman"/>
                <w:b/>
                <w:sz w:val="20"/>
              </w:rPr>
            </w:pPr>
            <w:r w:rsidRPr="00022BA7">
              <w:rPr>
                <w:rFonts w:eastAsia="Times New Roman"/>
                <w:b/>
                <w:sz w:val="20"/>
              </w:rPr>
              <w:t>N</w:t>
            </w:r>
            <w:r w:rsidRPr="00022BA7">
              <w:rPr>
                <w:rFonts w:eastAsia="Times New Roman"/>
                <w:b/>
                <w:sz w:val="20"/>
                <w:vertAlign w:val="subscript"/>
              </w:rPr>
              <w:t>2</w:t>
            </w:r>
            <w:r w:rsidRPr="00022BA7">
              <w:rPr>
                <w:rFonts w:eastAsia="Times New Roman"/>
                <w:b/>
                <w:sz w:val="20"/>
              </w:rPr>
              <w:t>O</w:t>
            </w:r>
          </w:p>
        </w:tc>
        <w:tc>
          <w:tcPr>
            <w:tcW w:w="725"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center"/>
            <w:hideMark/>
          </w:tcPr>
          <w:p w14:paraId="1BC2B219" w14:textId="77777777" w:rsidR="007301DF" w:rsidRPr="00022BA7" w:rsidRDefault="007301DF" w:rsidP="0067573D">
            <w:pPr>
              <w:keepNext/>
              <w:spacing w:line="240" w:lineRule="auto"/>
              <w:jc w:val="center"/>
              <w:rPr>
                <w:rFonts w:eastAsia="Times New Roman"/>
                <w:b/>
                <w:sz w:val="20"/>
              </w:rPr>
            </w:pPr>
            <w:r w:rsidRPr="00022BA7">
              <w:rPr>
                <w:rFonts w:eastAsia="Times New Roman"/>
                <w:b/>
                <w:sz w:val="20"/>
              </w:rPr>
              <w:t>CO</w:t>
            </w:r>
            <w:r w:rsidRPr="00022BA7">
              <w:rPr>
                <w:rFonts w:eastAsia="Times New Roman"/>
                <w:b/>
                <w:sz w:val="20"/>
                <w:vertAlign w:val="subscript"/>
              </w:rPr>
              <w:t>2</w:t>
            </w:r>
          </w:p>
        </w:tc>
        <w:tc>
          <w:tcPr>
            <w:tcW w:w="725"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center"/>
            <w:hideMark/>
          </w:tcPr>
          <w:p w14:paraId="1737179E" w14:textId="77777777" w:rsidR="007301DF" w:rsidRPr="00022BA7" w:rsidRDefault="007301DF" w:rsidP="0067573D">
            <w:pPr>
              <w:keepNext/>
              <w:spacing w:line="240" w:lineRule="auto"/>
              <w:jc w:val="center"/>
              <w:rPr>
                <w:rFonts w:eastAsia="Times New Roman"/>
                <w:b/>
                <w:sz w:val="20"/>
              </w:rPr>
            </w:pPr>
            <w:r w:rsidRPr="00022BA7">
              <w:rPr>
                <w:rFonts w:eastAsia="Times New Roman"/>
                <w:b/>
                <w:sz w:val="20"/>
              </w:rPr>
              <w:t>NO</w:t>
            </w:r>
            <w:r w:rsidRPr="00022BA7">
              <w:rPr>
                <w:rFonts w:eastAsia="Times New Roman"/>
                <w:b/>
                <w:sz w:val="20"/>
                <w:vertAlign w:val="subscript"/>
              </w:rPr>
              <w:t>x</w:t>
            </w:r>
          </w:p>
        </w:tc>
        <w:tc>
          <w:tcPr>
            <w:tcW w:w="723" w:type="pct"/>
            <w:tcBorders>
              <w:top w:val="single" w:sz="18" w:space="0" w:color="auto"/>
              <w:left w:val="single" w:sz="2" w:space="0" w:color="auto"/>
              <w:bottom w:val="single" w:sz="18" w:space="0" w:color="auto"/>
              <w:right w:val="single" w:sz="2" w:space="0" w:color="auto"/>
            </w:tcBorders>
            <w:shd w:val="clear" w:color="auto" w:fill="F2F2F2" w:themeFill="background1" w:themeFillShade="F2"/>
            <w:tcMar>
              <w:top w:w="72" w:type="dxa"/>
              <w:left w:w="144" w:type="dxa"/>
              <w:bottom w:w="72" w:type="dxa"/>
              <w:right w:w="144" w:type="dxa"/>
            </w:tcMar>
            <w:vAlign w:val="center"/>
            <w:hideMark/>
          </w:tcPr>
          <w:p w14:paraId="3791B428" w14:textId="77777777" w:rsidR="007301DF" w:rsidRPr="00022BA7" w:rsidRDefault="007301DF" w:rsidP="0067573D">
            <w:pPr>
              <w:keepNext/>
              <w:spacing w:line="240" w:lineRule="auto"/>
              <w:jc w:val="center"/>
              <w:rPr>
                <w:rFonts w:eastAsia="Times New Roman"/>
                <w:b/>
                <w:sz w:val="20"/>
              </w:rPr>
            </w:pPr>
            <w:proofErr w:type="spellStart"/>
            <w:r w:rsidRPr="00022BA7">
              <w:rPr>
                <w:rFonts w:eastAsia="Times New Roman"/>
                <w:b/>
                <w:sz w:val="20"/>
              </w:rPr>
              <w:t>SO</w:t>
            </w:r>
            <w:r w:rsidRPr="00022BA7">
              <w:rPr>
                <w:rFonts w:eastAsia="Times New Roman"/>
                <w:b/>
                <w:sz w:val="20"/>
                <w:vertAlign w:val="subscript"/>
              </w:rPr>
              <w:t>x</w:t>
            </w:r>
            <w:proofErr w:type="spellEnd"/>
          </w:p>
        </w:tc>
      </w:tr>
      <w:tr w:rsidR="007301DF" w:rsidRPr="00022BA7" w14:paraId="0B82FCF0" w14:textId="77777777" w:rsidTr="0067573D">
        <w:trPr>
          <w:trHeight w:val="153"/>
        </w:trPr>
        <w:tc>
          <w:tcPr>
            <w:tcW w:w="1412"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3CC0D503" w14:textId="77777777" w:rsidR="007301DF" w:rsidRPr="00022BA7" w:rsidRDefault="007301DF" w:rsidP="0067573D">
            <w:pPr>
              <w:keepNext/>
              <w:spacing w:line="240" w:lineRule="auto"/>
              <w:jc w:val="right"/>
              <w:rPr>
                <w:rFonts w:eastAsia="Times New Roman"/>
                <w:color w:val="000000"/>
                <w:sz w:val="20"/>
              </w:rPr>
            </w:pPr>
            <m:oMath>
              <m:r>
                <w:rPr>
                  <w:rFonts w:ascii="Cambria Math" w:hAnsi="Cambria Math"/>
                </w:rPr>
                <m:t xml:space="preserve">≤ </m:t>
              </m:r>
            </m:oMath>
            <w:r w:rsidRPr="00022BA7">
              <w:rPr>
                <w:rFonts w:eastAsia="Times New Roman"/>
                <w:color w:val="000000"/>
                <w:sz w:val="20"/>
              </w:rPr>
              <w:t>2%</w:t>
            </w:r>
          </w:p>
        </w:tc>
        <w:tc>
          <w:tcPr>
            <w:tcW w:w="690"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4CB8A23D"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21.18</w:t>
            </w:r>
          </w:p>
        </w:tc>
        <w:tc>
          <w:tcPr>
            <w:tcW w:w="725"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6234E94E"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4.63</w:t>
            </w:r>
          </w:p>
        </w:tc>
        <w:tc>
          <w:tcPr>
            <w:tcW w:w="725"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22E74BCD"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5"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1E53B19F"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4.63</w:t>
            </w:r>
          </w:p>
        </w:tc>
        <w:tc>
          <w:tcPr>
            <w:tcW w:w="723" w:type="pct"/>
            <w:tcBorders>
              <w:top w:val="single" w:sz="18" w:space="0" w:color="auto"/>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0BD1D271"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r>
      <w:tr w:rsidR="007301DF" w:rsidRPr="00022BA7" w14:paraId="3D26E5BC" w14:textId="77777777" w:rsidTr="0067573D">
        <w:trPr>
          <w:trHeight w:val="153"/>
        </w:trPr>
        <w:tc>
          <w:tcPr>
            <w:tcW w:w="1412"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3B2E4C65"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10%</w:t>
            </w:r>
          </w:p>
        </w:tc>
        <w:tc>
          <w:tcPr>
            <w:tcW w:w="690"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7A3583E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2.18</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7212EEA4"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1.22</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5B59F7C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25842E71"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1.22</w:t>
            </w:r>
          </w:p>
        </w:tc>
        <w:tc>
          <w:tcPr>
            <w:tcW w:w="723"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5AF67D04"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r>
      <w:tr w:rsidR="007301DF" w:rsidRPr="00022BA7" w14:paraId="765280F1" w14:textId="77777777" w:rsidTr="0067573D">
        <w:trPr>
          <w:trHeight w:val="153"/>
        </w:trPr>
        <w:tc>
          <w:tcPr>
            <w:tcW w:w="1412"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18482AA0" w14:textId="77777777" w:rsidR="007301DF" w:rsidRPr="00022BA7" w:rsidRDefault="007301DF" w:rsidP="0067573D">
            <w:pPr>
              <w:keepNext/>
              <w:spacing w:line="240" w:lineRule="auto"/>
              <w:jc w:val="right"/>
              <w:rPr>
                <w:rFonts w:eastAsia="Times New Roman"/>
                <w:color w:val="000000"/>
                <w:sz w:val="20"/>
              </w:rPr>
            </w:pPr>
            <m:oMath>
              <m:r>
                <w:rPr>
                  <w:rFonts w:ascii="Cambria Math" w:hAnsi="Cambria Math"/>
                </w:rPr>
                <m:t>≤</m:t>
              </m:r>
            </m:oMath>
            <w:r w:rsidRPr="00022BA7">
              <w:rPr>
                <w:rFonts w:eastAsia="Times New Roman"/>
              </w:rPr>
              <w:t xml:space="preserve"> </w:t>
            </w:r>
            <w:r w:rsidRPr="00022BA7">
              <w:rPr>
                <w:rFonts w:eastAsia="Times New Roman"/>
                <w:color w:val="000000"/>
                <w:sz w:val="20"/>
              </w:rPr>
              <w:t>20%</w:t>
            </w:r>
          </w:p>
        </w:tc>
        <w:tc>
          <w:tcPr>
            <w:tcW w:w="690"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239800F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196A9A9E"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29BA556C"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5"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6C6BE8A6"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c>
          <w:tcPr>
            <w:tcW w:w="723" w:type="pct"/>
            <w:tcBorders>
              <w:top w:val="single" w:sz="4" w:space="0" w:color="6E6E6E"/>
              <w:left w:val="single" w:sz="4" w:space="0" w:color="6E6E6E"/>
              <w:bottom w:val="single" w:sz="4" w:space="0" w:color="6E6E6E"/>
              <w:right w:val="single" w:sz="4" w:space="0" w:color="6E6E6E"/>
            </w:tcBorders>
            <w:shd w:val="clear" w:color="auto" w:fill="auto"/>
            <w:tcMar>
              <w:top w:w="72" w:type="dxa"/>
              <w:left w:w="144" w:type="dxa"/>
              <w:bottom w:w="72" w:type="dxa"/>
              <w:right w:w="144" w:type="dxa"/>
            </w:tcMar>
            <w:vAlign w:val="bottom"/>
            <w:hideMark/>
          </w:tcPr>
          <w:p w14:paraId="02C90F09" w14:textId="77777777" w:rsidR="007301DF" w:rsidRPr="00022BA7" w:rsidRDefault="007301DF" w:rsidP="0067573D">
            <w:pPr>
              <w:keepNext/>
              <w:spacing w:line="240" w:lineRule="auto"/>
              <w:jc w:val="right"/>
              <w:rPr>
                <w:rFonts w:eastAsia="Times New Roman"/>
                <w:color w:val="000000"/>
                <w:sz w:val="20"/>
              </w:rPr>
            </w:pPr>
            <w:r w:rsidRPr="00022BA7">
              <w:rPr>
                <w:rFonts w:eastAsia="Times New Roman"/>
                <w:color w:val="000000"/>
                <w:sz w:val="20"/>
              </w:rPr>
              <w:t>1</w:t>
            </w:r>
          </w:p>
        </w:tc>
      </w:tr>
    </w:tbl>
    <w:p w14:paraId="562991FE" w14:textId="77777777" w:rsidR="007301DF" w:rsidRPr="00022BA7" w:rsidRDefault="007301DF" w:rsidP="007301DF">
      <w:pPr>
        <w:spacing w:after="240"/>
        <w:rPr>
          <w:sz w:val="18"/>
        </w:rPr>
      </w:pPr>
    </w:p>
    <w:p w14:paraId="7042DD3E" w14:textId="0C792388" w:rsidR="00DB6F74" w:rsidRDefault="00DB6F74">
      <w:pPr>
        <w:widowControl/>
        <w:spacing w:line="240" w:lineRule="auto"/>
        <w:rPr>
          <w:color w:val="1F497D" w:themeColor="text2"/>
        </w:rPr>
      </w:pPr>
      <w:r>
        <w:rPr>
          <w:color w:val="1F497D" w:themeColor="text2"/>
        </w:rPr>
        <w:br w:type="page"/>
      </w:r>
    </w:p>
    <w:p w14:paraId="61945865" w14:textId="32BF5EC6" w:rsidR="00DB6F74" w:rsidRPr="00022BA7" w:rsidRDefault="00995F0B" w:rsidP="00DB6F74">
      <w:pPr>
        <w:pStyle w:val="Caption"/>
        <w:keepNext/>
        <w:spacing w:line="240" w:lineRule="auto"/>
      </w:pPr>
      <w:bookmarkStart w:id="129" w:name="_Ref144853715"/>
      <w:bookmarkStart w:id="130" w:name="_Toc146723141"/>
      <w:r>
        <w:t xml:space="preserve">Supplementary </w:t>
      </w:r>
      <w:r w:rsidR="00DB6F74" w:rsidRPr="00022BA7">
        <w:t xml:space="preserve">Table </w:t>
      </w:r>
      <w:r w:rsidR="00590C69">
        <w:fldChar w:fldCharType="begin"/>
      </w:r>
      <w:r w:rsidR="00590C69">
        <w:instrText xml:space="preserve"> SEQ Table \* ARABIC </w:instrText>
      </w:r>
      <w:r w:rsidR="00590C69">
        <w:fldChar w:fldCharType="separate"/>
      </w:r>
      <w:r w:rsidR="00C661AC">
        <w:rPr>
          <w:noProof/>
        </w:rPr>
        <w:t>16</w:t>
      </w:r>
      <w:r w:rsidR="00590C69">
        <w:rPr>
          <w:noProof/>
        </w:rPr>
        <w:fldChar w:fldCharType="end"/>
      </w:r>
      <w:bookmarkEnd w:id="129"/>
      <w:r w:rsidR="00DB6F74" w:rsidRPr="00022BA7">
        <w:t xml:space="preserve">. Emission Factors for </w:t>
      </w:r>
      <w:proofErr w:type="spellStart"/>
      <w:r w:rsidR="00DB6F74" w:rsidRPr="00022BA7">
        <w:t>BESs</w:t>
      </w:r>
      <w:r w:rsidR="00DB6F74" w:rsidRPr="00022BA7">
        <w:rPr>
          <w:vertAlign w:val="superscript"/>
        </w:rPr>
        <w:t>a</w:t>
      </w:r>
      <w:bookmarkEnd w:id="130"/>
      <w:proofErr w:type="spellEnd"/>
    </w:p>
    <w:tbl>
      <w:tblPr>
        <w:tblW w:w="5000" w:type="pct"/>
        <w:tblLayout w:type="fixed"/>
        <w:tblCellMar>
          <w:left w:w="0" w:type="dxa"/>
          <w:right w:w="0" w:type="dxa"/>
        </w:tblCellMar>
        <w:tblLook w:val="0600" w:firstRow="0" w:lastRow="0" w:firstColumn="0" w:lastColumn="0" w:noHBand="1" w:noVBand="1"/>
      </w:tblPr>
      <w:tblGrid>
        <w:gridCol w:w="1343"/>
        <w:gridCol w:w="658"/>
        <w:gridCol w:w="961"/>
        <w:gridCol w:w="1064"/>
        <w:gridCol w:w="1064"/>
        <w:gridCol w:w="1066"/>
        <w:gridCol w:w="1066"/>
        <w:gridCol w:w="1066"/>
        <w:gridCol w:w="1062"/>
      </w:tblGrid>
      <w:tr w:rsidR="00DA2147" w:rsidRPr="00022BA7" w14:paraId="3446E4D1" w14:textId="1A34B0E3" w:rsidTr="00DA2147">
        <w:trPr>
          <w:trHeight w:val="207"/>
        </w:trPr>
        <w:tc>
          <w:tcPr>
            <w:tcW w:w="718" w:type="pct"/>
            <w:vMerge w:val="restart"/>
            <w:tcBorders>
              <w:top w:val="single" w:sz="18" w:space="0" w:color="auto"/>
              <w:left w:val="single" w:sz="4" w:space="0" w:color="auto"/>
              <w:right w:val="single" w:sz="4" w:space="0" w:color="auto"/>
            </w:tcBorders>
            <w:shd w:val="clear" w:color="auto" w:fill="F2F2F2" w:themeFill="background1" w:themeFillShade="F2"/>
            <w:tcMar>
              <w:top w:w="72" w:type="dxa"/>
              <w:left w:w="144" w:type="dxa"/>
              <w:bottom w:w="72" w:type="dxa"/>
              <w:right w:w="144" w:type="dxa"/>
            </w:tcMar>
            <w:vAlign w:val="center"/>
          </w:tcPr>
          <w:p w14:paraId="1310174D" w14:textId="77777777" w:rsidR="00DA2147" w:rsidRPr="00022BA7" w:rsidRDefault="00DA2147" w:rsidP="0067573D">
            <w:pPr>
              <w:keepNext/>
              <w:spacing w:line="240" w:lineRule="auto"/>
              <w:jc w:val="center"/>
              <w:rPr>
                <w:b/>
                <w:sz w:val="20"/>
              </w:rPr>
            </w:pPr>
            <w:r w:rsidRPr="00022BA7">
              <w:rPr>
                <w:b/>
                <w:sz w:val="20"/>
                <w:szCs w:val="20"/>
              </w:rPr>
              <w:t>Parameters</w:t>
            </w:r>
          </w:p>
        </w:tc>
        <w:tc>
          <w:tcPr>
            <w:tcW w:w="352" w:type="pct"/>
            <w:vMerge w:val="restart"/>
            <w:tcBorders>
              <w:top w:val="single" w:sz="18" w:space="0" w:color="auto"/>
              <w:left w:val="single" w:sz="4" w:space="0" w:color="auto"/>
              <w:right w:val="single" w:sz="4" w:space="0" w:color="auto"/>
            </w:tcBorders>
            <w:shd w:val="clear" w:color="auto" w:fill="F2F2F2" w:themeFill="background1" w:themeFillShade="F2"/>
            <w:vAlign w:val="center"/>
          </w:tcPr>
          <w:p w14:paraId="6B5A9B12" w14:textId="77777777" w:rsidR="00DA2147" w:rsidRPr="00022BA7" w:rsidRDefault="00DA2147" w:rsidP="0067573D">
            <w:pPr>
              <w:keepNext/>
              <w:spacing w:line="240" w:lineRule="auto"/>
              <w:jc w:val="center"/>
              <w:rPr>
                <w:b/>
                <w:sz w:val="20"/>
                <w:szCs w:val="20"/>
              </w:rPr>
            </w:pPr>
            <w:r w:rsidRPr="00022BA7">
              <w:rPr>
                <w:b/>
                <w:sz w:val="20"/>
                <w:szCs w:val="20"/>
              </w:rPr>
              <w:t>Year</w:t>
            </w:r>
          </w:p>
        </w:tc>
        <w:tc>
          <w:tcPr>
            <w:tcW w:w="514" w:type="pct"/>
            <w:vMerge w:val="restart"/>
            <w:tcBorders>
              <w:top w:val="single" w:sz="18" w:space="0" w:color="auto"/>
              <w:left w:val="single" w:sz="4" w:space="0" w:color="auto"/>
              <w:right w:val="single" w:sz="4" w:space="0" w:color="auto"/>
            </w:tcBorders>
            <w:shd w:val="clear" w:color="auto" w:fill="F2F2F2" w:themeFill="background1" w:themeFillShade="F2"/>
            <w:vAlign w:val="center"/>
          </w:tcPr>
          <w:p w14:paraId="0DFBE0ED" w14:textId="77777777" w:rsidR="00DA2147" w:rsidRPr="00022BA7" w:rsidRDefault="00DA2147" w:rsidP="0067573D">
            <w:pPr>
              <w:keepNext/>
              <w:spacing w:line="240" w:lineRule="auto"/>
              <w:jc w:val="center"/>
              <w:rPr>
                <w:b/>
                <w:sz w:val="20"/>
                <w:szCs w:val="20"/>
              </w:rPr>
            </w:pPr>
            <w:r w:rsidRPr="00022BA7">
              <w:rPr>
                <w:b/>
                <w:sz w:val="20"/>
                <w:szCs w:val="20"/>
              </w:rPr>
              <w:t xml:space="preserve">Decarb. </w:t>
            </w:r>
            <w:proofErr w:type="spellStart"/>
            <w:r w:rsidRPr="00022BA7">
              <w:rPr>
                <w:b/>
                <w:sz w:val="20"/>
                <w:szCs w:val="20"/>
              </w:rPr>
              <w:t>Scenario</w:t>
            </w:r>
            <w:r w:rsidRPr="00022BA7">
              <w:rPr>
                <w:b/>
                <w:sz w:val="20"/>
                <w:szCs w:val="20"/>
                <w:vertAlign w:val="superscript"/>
              </w:rPr>
              <w:t>b</w:t>
            </w:r>
            <w:proofErr w:type="spellEnd"/>
          </w:p>
        </w:tc>
        <w:tc>
          <w:tcPr>
            <w:tcW w:w="3416" w:type="pct"/>
            <w:gridSpan w:val="6"/>
            <w:tcBorders>
              <w:top w:val="single" w:sz="18" w:space="0" w:color="auto"/>
              <w:left w:val="single" w:sz="4" w:space="0" w:color="auto"/>
              <w:bottom w:val="single" w:sz="4" w:space="0" w:color="auto"/>
              <w:right w:val="single" w:sz="4" w:space="0" w:color="auto"/>
            </w:tcBorders>
            <w:shd w:val="clear" w:color="auto" w:fill="F2F2F2" w:themeFill="background1" w:themeFillShade="F2"/>
            <w:vAlign w:val="center"/>
          </w:tcPr>
          <w:p w14:paraId="7272BA4C" w14:textId="3BCFC7D8" w:rsidR="00DA2147" w:rsidRPr="00022BA7" w:rsidRDefault="00DA2147" w:rsidP="0067573D">
            <w:pPr>
              <w:keepNext/>
              <w:spacing w:line="240" w:lineRule="auto"/>
              <w:jc w:val="center"/>
              <w:rPr>
                <w:b/>
                <w:sz w:val="20"/>
              </w:rPr>
            </w:pPr>
            <w:r w:rsidRPr="00022BA7">
              <w:rPr>
                <w:b/>
                <w:sz w:val="20"/>
              </w:rPr>
              <w:t xml:space="preserve">Emission Factors by </w:t>
            </w:r>
            <w:r>
              <w:rPr>
                <w:b/>
                <w:sz w:val="20"/>
              </w:rPr>
              <w:t>E</w:t>
            </w:r>
            <w:r w:rsidRPr="00022BA7">
              <w:rPr>
                <w:b/>
                <w:sz w:val="20"/>
              </w:rPr>
              <w:t>mission (</w:t>
            </w:r>
            <m:oMath>
              <m:r>
                <m:rPr>
                  <m:sty m:val="bi"/>
                </m:rPr>
                <w:rPr>
                  <w:rFonts w:ascii="Cambria Math" w:hAnsi="Cambria Math"/>
                  <w:sz w:val="20"/>
                  <w:szCs w:val="20"/>
                </w:rPr>
                <m:t>e</m:t>
              </m:r>
            </m:oMath>
            <w:r w:rsidRPr="00022BA7">
              <w:rPr>
                <w:b/>
                <w:sz w:val="20"/>
              </w:rPr>
              <w:t>) in g/kWh</w:t>
            </w:r>
          </w:p>
        </w:tc>
      </w:tr>
      <w:tr w:rsidR="000F7BBA" w:rsidRPr="00022BA7" w14:paraId="33495E01" w14:textId="3661DA8A" w:rsidTr="00035F66">
        <w:trPr>
          <w:trHeight w:val="23"/>
        </w:trPr>
        <w:tc>
          <w:tcPr>
            <w:tcW w:w="718" w:type="pct"/>
            <w:vMerge/>
            <w:tcBorders>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bottom"/>
          </w:tcPr>
          <w:p w14:paraId="1EC4E564" w14:textId="77777777" w:rsidR="000F7BBA" w:rsidRPr="00022BA7" w:rsidRDefault="000F7BBA" w:rsidP="000F7BBA">
            <w:pPr>
              <w:keepNext/>
              <w:spacing w:line="240" w:lineRule="auto"/>
              <w:ind w:right="258"/>
              <w:jc w:val="center"/>
              <w:rPr>
                <w:b/>
                <w:sz w:val="20"/>
              </w:rPr>
            </w:pPr>
          </w:p>
        </w:tc>
        <w:tc>
          <w:tcPr>
            <w:tcW w:w="352" w:type="pct"/>
            <w:vMerge/>
            <w:tcBorders>
              <w:left w:val="single" w:sz="4" w:space="0" w:color="auto"/>
              <w:bottom w:val="single" w:sz="18" w:space="0" w:color="auto"/>
              <w:right w:val="single" w:sz="4" w:space="0" w:color="auto"/>
            </w:tcBorders>
            <w:shd w:val="clear" w:color="auto" w:fill="F2F2F2" w:themeFill="background1" w:themeFillShade="F2"/>
            <w:vAlign w:val="bottom"/>
          </w:tcPr>
          <w:p w14:paraId="02A10167" w14:textId="77777777" w:rsidR="000F7BBA" w:rsidRPr="00022BA7" w:rsidRDefault="000F7BBA" w:rsidP="000F7BBA">
            <w:pPr>
              <w:keepNext/>
              <w:spacing w:line="240" w:lineRule="auto"/>
              <w:jc w:val="center"/>
              <w:rPr>
                <w:b/>
                <w:sz w:val="20"/>
              </w:rPr>
            </w:pPr>
          </w:p>
        </w:tc>
        <w:tc>
          <w:tcPr>
            <w:tcW w:w="514" w:type="pct"/>
            <w:vMerge/>
            <w:tcBorders>
              <w:left w:val="single" w:sz="4" w:space="0" w:color="auto"/>
              <w:bottom w:val="single" w:sz="18" w:space="0" w:color="auto"/>
              <w:right w:val="single" w:sz="4" w:space="0" w:color="auto"/>
            </w:tcBorders>
            <w:shd w:val="clear" w:color="auto" w:fill="F2F2F2" w:themeFill="background1" w:themeFillShade="F2"/>
            <w:vAlign w:val="bottom"/>
          </w:tcPr>
          <w:p w14:paraId="75BF7840" w14:textId="77777777" w:rsidR="000F7BBA" w:rsidRPr="00022BA7" w:rsidRDefault="000F7BBA" w:rsidP="000F7BBA">
            <w:pPr>
              <w:keepNext/>
              <w:spacing w:line="240" w:lineRule="auto"/>
              <w:ind w:right="458"/>
              <w:jc w:val="center"/>
              <w:rPr>
                <w:b/>
                <w:sz w:val="20"/>
              </w:rPr>
            </w:pPr>
          </w:p>
        </w:tc>
        <w:tc>
          <w:tcPr>
            <w:tcW w:w="569"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bottom"/>
            <w:hideMark/>
          </w:tcPr>
          <w:p w14:paraId="4D75130E" w14:textId="77777777" w:rsidR="000F7BBA" w:rsidRPr="00022BA7" w:rsidRDefault="000F7BBA" w:rsidP="000F7BBA">
            <w:pPr>
              <w:keepNext/>
              <w:spacing w:line="240" w:lineRule="auto"/>
              <w:jc w:val="center"/>
              <w:rPr>
                <w:b/>
                <w:sz w:val="20"/>
                <w:szCs w:val="20"/>
              </w:rPr>
            </w:pPr>
            <w:r w:rsidRPr="00022BA7">
              <w:rPr>
                <w:b/>
                <w:sz w:val="20"/>
                <w:szCs w:val="20"/>
              </w:rPr>
              <w:t>CH</w:t>
            </w:r>
            <w:r w:rsidRPr="00022BA7">
              <w:rPr>
                <w:b/>
                <w:sz w:val="20"/>
                <w:szCs w:val="20"/>
                <w:vertAlign w:val="subscript"/>
              </w:rPr>
              <w:t>4</w:t>
            </w:r>
          </w:p>
        </w:tc>
        <w:tc>
          <w:tcPr>
            <w:tcW w:w="569" w:type="pct"/>
            <w:tcBorders>
              <w:top w:val="single" w:sz="4" w:space="0" w:color="auto"/>
              <w:left w:val="single" w:sz="4" w:space="0" w:color="auto"/>
              <w:bottom w:val="single" w:sz="18" w:space="0" w:color="auto"/>
              <w:right w:val="single" w:sz="4" w:space="0" w:color="auto"/>
            </w:tcBorders>
            <w:shd w:val="clear" w:color="auto" w:fill="F2F2F2" w:themeFill="background1" w:themeFillShade="F2"/>
            <w:vAlign w:val="bottom"/>
          </w:tcPr>
          <w:p w14:paraId="1F68EEE8" w14:textId="77777777" w:rsidR="000F7BBA" w:rsidRPr="00022BA7" w:rsidRDefault="000F7BBA" w:rsidP="000F7BBA">
            <w:pPr>
              <w:keepNext/>
              <w:spacing w:line="240" w:lineRule="auto"/>
              <w:jc w:val="center"/>
              <w:rPr>
                <w:b/>
                <w:sz w:val="20"/>
                <w:szCs w:val="20"/>
              </w:rPr>
            </w:pPr>
            <w:r w:rsidRPr="00022BA7">
              <w:rPr>
                <w:b/>
                <w:sz w:val="20"/>
                <w:szCs w:val="20"/>
              </w:rPr>
              <w:t>N</w:t>
            </w:r>
            <w:r w:rsidRPr="00022BA7">
              <w:rPr>
                <w:b/>
                <w:sz w:val="20"/>
                <w:szCs w:val="20"/>
                <w:vertAlign w:val="subscript"/>
              </w:rPr>
              <w:t>2</w:t>
            </w:r>
            <w:r w:rsidRPr="00022BA7">
              <w:rPr>
                <w:b/>
                <w:sz w:val="20"/>
                <w:szCs w:val="20"/>
              </w:rPr>
              <w:t>O</w:t>
            </w:r>
          </w:p>
        </w:tc>
        <w:tc>
          <w:tcPr>
            <w:tcW w:w="570" w:type="pct"/>
            <w:tcBorders>
              <w:top w:val="single" w:sz="4" w:space="0" w:color="auto"/>
              <w:left w:val="single" w:sz="4" w:space="0" w:color="auto"/>
              <w:bottom w:val="single" w:sz="18" w:space="0" w:color="auto"/>
              <w:right w:val="single" w:sz="4" w:space="0" w:color="auto"/>
            </w:tcBorders>
            <w:shd w:val="clear" w:color="auto" w:fill="F2F2F2" w:themeFill="background1" w:themeFillShade="F2"/>
            <w:vAlign w:val="bottom"/>
          </w:tcPr>
          <w:p w14:paraId="17A20690" w14:textId="77777777" w:rsidR="000F7BBA" w:rsidRPr="00022BA7" w:rsidRDefault="000F7BBA" w:rsidP="000F7BBA">
            <w:pPr>
              <w:keepNext/>
              <w:spacing w:line="240" w:lineRule="auto"/>
              <w:jc w:val="center"/>
              <w:rPr>
                <w:b/>
                <w:sz w:val="20"/>
                <w:szCs w:val="20"/>
              </w:rPr>
            </w:pPr>
            <w:r w:rsidRPr="00022BA7">
              <w:rPr>
                <w:b/>
                <w:sz w:val="20"/>
                <w:szCs w:val="20"/>
              </w:rPr>
              <w:t>CO</w:t>
            </w:r>
            <w:r w:rsidRPr="00022BA7">
              <w:rPr>
                <w:b/>
                <w:sz w:val="20"/>
                <w:szCs w:val="20"/>
                <w:vertAlign w:val="subscript"/>
              </w:rPr>
              <w:t>2</w:t>
            </w:r>
          </w:p>
        </w:tc>
        <w:tc>
          <w:tcPr>
            <w:tcW w:w="570" w:type="pct"/>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bottom"/>
            <w:hideMark/>
          </w:tcPr>
          <w:p w14:paraId="3DE27258" w14:textId="77777777" w:rsidR="000F7BBA" w:rsidRPr="00022BA7" w:rsidRDefault="000F7BBA" w:rsidP="000F7BBA">
            <w:pPr>
              <w:keepNext/>
              <w:spacing w:line="240" w:lineRule="auto"/>
              <w:jc w:val="center"/>
              <w:rPr>
                <w:b/>
                <w:sz w:val="20"/>
                <w:szCs w:val="20"/>
              </w:rPr>
            </w:pPr>
            <w:r w:rsidRPr="00022BA7">
              <w:rPr>
                <w:b/>
                <w:sz w:val="20"/>
                <w:szCs w:val="20"/>
              </w:rPr>
              <w:t>CO</w:t>
            </w:r>
            <w:r w:rsidRPr="00022BA7">
              <w:rPr>
                <w:b/>
                <w:sz w:val="20"/>
                <w:szCs w:val="20"/>
                <w:vertAlign w:val="subscript"/>
              </w:rPr>
              <w:t>2</w:t>
            </w:r>
            <w:r w:rsidRPr="00022BA7">
              <w:rPr>
                <w:b/>
                <w:noProof/>
                <w:sz w:val="20"/>
                <w:szCs w:val="20"/>
              </w:rPr>
              <w:t>e</w:t>
            </w:r>
          </w:p>
        </w:tc>
        <w:tc>
          <w:tcPr>
            <w:tcW w:w="570" w:type="pct"/>
            <w:tcBorders>
              <w:top w:val="single" w:sz="4" w:space="0" w:color="auto"/>
              <w:left w:val="single" w:sz="4" w:space="0" w:color="auto"/>
              <w:bottom w:val="single" w:sz="18" w:space="0" w:color="auto"/>
              <w:right w:val="single" w:sz="4" w:space="0" w:color="auto"/>
            </w:tcBorders>
            <w:shd w:val="clear" w:color="auto" w:fill="F2F2F2" w:themeFill="background1" w:themeFillShade="F2"/>
            <w:vAlign w:val="center"/>
          </w:tcPr>
          <w:p w14:paraId="3F47BC92" w14:textId="1A2E64F6" w:rsidR="000F7BBA" w:rsidRPr="00022BA7" w:rsidRDefault="000F7BBA" w:rsidP="000F7BBA">
            <w:pPr>
              <w:keepNext/>
              <w:spacing w:line="240" w:lineRule="auto"/>
              <w:jc w:val="center"/>
              <w:rPr>
                <w:b/>
                <w:sz w:val="20"/>
                <w:szCs w:val="20"/>
              </w:rPr>
            </w:pPr>
            <w:r w:rsidRPr="00022BA7">
              <w:rPr>
                <w:b/>
                <w:sz w:val="20"/>
              </w:rPr>
              <w:t>NO</w:t>
            </w:r>
            <w:r w:rsidRPr="00022BA7">
              <w:rPr>
                <w:b/>
                <w:sz w:val="20"/>
                <w:vertAlign w:val="subscript"/>
              </w:rPr>
              <w:t>x</w:t>
            </w:r>
            <w:r w:rsidRPr="00022BA7">
              <w:rPr>
                <w:vertAlign w:val="superscript"/>
              </w:rPr>
              <w:t xml:space="preserve"> </w:t>
            </w:r>
          </w:p>
        </w:tc>
        <w:tc>
          <w:tcPr>
            <w:tcW w:w="568" w:type="pct"/>
            <w:tcBorders>
              <w:top w:val="single" w:sz="4" w:space="0" w:color="auto"/>
              <w:left w:val="single" w:sz="4" w:space="0" w:color="auto"/>
              <w:bottom w:val="single" w:sz="18" w:space="0" w:color="auto"/>
              <w:right w:val="single" w:sz="4" w:space="0" w:color="auto"/>
            </w:tcBorders>
            <w:shd w:val="clear" w:color="auto" w:fill="F2F2F2" w:themeFill="background1" w:themeFillShade="F2"/>
            <w:vAlign w:val="center"/>
          </w:tcPr>
          <w:p w14:paraId="6309AD62" w14:textId="466E8D45" w:rsidR="000F7BBA" w:rsidRPr="00022BA7" w:rsidRDefault="000F7BBA" w:rsidP="000F7BBA">
            <w:pPr>
              <w:keepNext/>
              <w:spacing w:line="240" w:lineRule="auto"/>
              <w:jc w:val="center"/>
              <w:rPr>
                <w:b/>
                <w:sz w:val="20"/>
                <w:szCs w:val="20"/>
              </w:rPr>
            </w:pPr>
            <w:proofErr w:type="spellStart"/>
            <w:r w:rsidRPr="00022BA7">
              <w:rPr>
                <w:b/>
                <w:sz w:val="20"/>
              </w:rPr>
              <w:t>SO</w:t>
            </w:r>
            <w:r w:rsidRPr="00022BA7">
              <w:rPr>
                <w:b/>
                <w:sz w:val="20"/>
                <w:vertAlign w:val="subscript"/>
              </w:rPr>
              <w:t>x</w:t>
            </w:r>
            <w:proofErr w:type="spellEnd"/>
          </w:p>
        </w:tc>
      </w:tr>
      <w:tr w:rsidR="00A608CA" w:rsidRPr="00022BA7" w14:paraId="51F1E1CF" w14:textId="054D6CDC" w:rsidTr="00035F66">
        <w:trPr>
          <w:trHeight w:val="142"/>
        </w:trPr>
        <w:tc>
          <w:tcPr>
            <w:tcW w:w="718" w:type="pct"/>
            <w:vMerge w:val="restart"/>
            <w:tcBorders>
              <w:top w:val="single" w:sz="18"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20A82382" w14:textId="77777777" w:rsidR="00A608CA" w:rsidRPr="00022BA7" w:rsidRDefault="00A608CA" w:rsidP="00A608CA">
            <w:pPr>
              <w:keepNext/>
              <w:spacing w:line="240" w:lineRule="auto"/>
              <w:jc w:val="right"/>
              <w:rPr>
                <w:color w:val="000000"/>
                <w:sz w:val="20"/>
              </w:rPr>
            </w:pPr>
            <w:r w:rsidRPr="00022BA7">
              <w:rPr>
                <w:color w:val="000000"/>
                <w:sz w:val="20"/>
              </w:rPr>
              <w:t>Well-to-Tank (</w:t>
            </w:r>
            <m:oMath>
              <m:sSubSup>
                <m:sSubSupPr>
                  <m:ctrlPr>
                    <w:rPr>
                      <w:rFonts w:ascii="Cambria Math" w:hAnsi="Cambria Math"/>
                      <w:sz w:val="20"/>
                    </w:rPr>
                  </m:ctrlPr>
                </m:sSubSupPr>
                <m:e>
                  <m:r>
                    <w:rPr>
                      <w:rFonts w:ascii="Cambria Math" w:hAnsi="Cambria Math"/>
                      <w:sz w:val="20"/>
                    </w:rPr>
                    <m:t>EF</m:t>
                  </m:r>
                </m:e>
                <m:sub>
                  <m:r>
                    <w:rPr>
                      <w:rFonts w:ascii="Cambria Math" w:hAnsi="Cambria Math"/>
                      <w:sz w:val="20"/>
                    </w:rPr>
                    <m:t>e,sc</m:t>
                  </m:r>
                </m:sub>
                <m:sup>
                  <m:r>
                    <w:rPr>
                      <w:rFonts w:ascii="Cambria Math" w:hAnsi="Cambria Math"/>
                      <w:sz w:val="20"/>
                    </w:rPr>
                    <m:t>WtT</m:t>
                  </m:r>
                </m:sup>
              </m:sSubSup>
            </m:oMath>
            <w:r w:rsidRPr="00022BA7">
              <w:rPr>
                <w:color w:val="000000"/>
                <w:sz w:val="20"/>
              </w:rPr>
              <w:t>)</w:t>
            </w:r>
          </w:p>
        </w:tc>
        <w:tc>
          <w:tcPr>
            <w:tcW w:w="352" w:type="pct"/>
            <w:tcBorders>
              <w:top w:val="single" w:sz="18" w:space="0" w:color="auto"/>
              <w:left w:val="single" w:sz="4" w:space="0" w:color="auto"/>
              <w:bottom w:val="single" w:sz="4" w:space="0" w:color="auto"/>
              <w:right w:val="single" w:sz="4" w:space="0" w:color="auto"/>
            </w:tcBorders>
          </w:tcPr>
          <w:p w14:paraId="6D66EF37" w14:textId="77777777" w:rsidR="00A608CA" w:rsidRPr="00022BA7" w:rsidRDefault="00A608CA" w:rsidP="00A608CA">
            <w:pPr>
              <w:keepNext/>
              <w:spacing w:line="240" w:lineRule="auto"/>
              <w:jc w:val="right"/>
              <w:rPr>
                <w:color w:val="000000"/>
                <w:sz w:val="20"/>
              </w:rPr>
            </w:pPr>
            <w:r w:rsidRPr="00022BA7">
              <w:rPr>
                <w:rFonts w:eastAsia="Times New Roman"/>
                <w:color w:val="000000"/>
                <w:sz w:val="20"/>
                <w:szCs w:val="20"/>
              </w:rPr>
              <w:t>2022</w:t>
            </w:r>
          </w:p>
        </w:tc>
        <w:tc>
          <w:tcPr>
            <w:tcW w:w="514" w:type="pct"/>
            <w:tcBorders>
              <w:top w:val="single" w:sz="18" w:space="0" w:color="auto"/>
              <w:left w:val="single" w:sz="4" w:space="0" w:color="auto"/>
              <w:bottom w:val="single" w:sz="4" w:space="0" w:color="auto"/>
              <w:right w:val="single" w:sz="4" w:space="0" w:color="auto"/>
            </w:tcBorders>
            <w:vAlign w:val="center"/>
          </w:tcPr>
          <w:p w14:paraId="20F40BA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w:t>
            </w:r>
          </w:p>
        </w:tc>
        <w:tc>
          <w:tcPr>
            <w:tcW w:w="569" w:type="pct"/>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D6F536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0.9 </w:t>
            </w:r>
          </w:p>
        </w:tc>
        <w:tc>
          <w:tcPr>
            <w:tcW w:w="569" w:type="pct"/>
            <w:tcBorders>
              <w:top w:val="single" w:sz="18" w:space="0" w:color="auto"/>
              <w:left w:val="single" w:sz="4" w:space="0" w:color="auto"/>
              <w:bottom w:val="single" w:sz="4" w:space="0" w:color="auto"/>
              <w:right w:val="single" w:sz="4" w:space="0" w:color="auto"/>
            </w:tcBorders>
            <w:vAlign w:val="center"/>
          </w:tcPr>
          <w:p w14:paraId="42DF01BD"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0.0 </w:t>
            </w:r>
          </w:p>
        </w:tc>
        <w:tc>
          <w:tcPr>
            <w:tcW w:w="570" w:type="pct"/>
            <w:tcBorders>
              <w:top w:val="single" w:sz="18" w:space="0" w:color="auto"/>
              <w:left w:val="single" w:sz="4" w:space="0" w:color="auto"/>
              <w:bottom w:val="single" w:sz="4" w:space="0" w:color="auto"/>
              <w:right w:val="single" w:sz="4" w:space="0" w:color="auto"/>
            </w:tcBorders>
            <w:vAlign w:val="center"/>
          </w:tcPr>
          <w:p w14:paraId="00528469"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24.8 </w:t>
            </w:r>
          </w:p>
        </w:tc>
        <w:tc>
          <w:tcPr>
            <w:tcW w:w="570" w:type="pct"/>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8AE4DF6"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49.9 </w:t>
            </w:r>
          </w:p>
        </w:tc>
        <w:tc>
          <w:tcPr>
            <w:tcW w:w="570" w:type="pct"/>
            <w:tcBorders>
              <w:top w:val="single" w:sz="18" w:space="0" w:color="auto"/>
              <w:left w:val="single" w:sz="4" w:space="0" w:color="auto"/>
              <w:bottom w:val="single" w:sz="4" w:space="0" w:color="auto"/>
              <w:right w:val="single" w:sz="4" w:space="0" w:color="auto"/>
            </w:tcBorders>
          </w:tcPr>
          <w:p w14:paraId="066A2438" w14:textId="6FA3ED31" w:rsidR="00A608CA" w:rsidRPr="00022BA7" w:rsidRDefault="00A608CA" w:rsidP="00A608CA">
            <w:pPr>
              <w:keepNext/>
              <w:spacing w:line="240" w:lineRule="auto"/>
              <w:jc w:val="right"/>
              <w:rPr>
                <w:color w:val="000000"/>
                <w:sz w:val="20"/>
                <w:szCs w:val="20"/>
              </w:rPr>
            </w:pPr>
            <w:r w:rsidRPr="00953A2A">
              <w:rPr>
                <w:color w:val="000000"/>
                <w:sz w:val="20"/>
                <w:szCs w:val="20"/>
              </w:rPr>
              <w:t>-</w:t>
            </w:r>
          </w:p>
        </w:tc>
        <w:tc>
          <w:tcPr>
            <w:tcW w:w="568" w:type="pct"/>
            <w:tcBorders>
              <w:top w:val="single" w:sz="18" w:space="0" w:color="auto"/>
              <w:left w:val="single" w:sz="4" w:space="0" w:color="auto"/>
              <w:bottom w:val="single" w:sz="4" w:space="0" w:color="auto"/>
              <w:right w:val="single" w:sz="4" w:space="0" w:color="auto"/>
            </w:tcBorders>
          </w:tcPr>
          <w:p w14:paraId="0655E8C0" w14:textId="15A3566E" w:rsidR="00A608CA" w:rsidRPr="00022BA7" w:rsidRDefault="00A608CA" w:rsidP="00A608CA">
            <w:pPr>
              <w:keepNext/>
              <w:spacing w:line="240" w:lineRule="auto"/>
              <w:jc w:val="right"/>
              <w:rPr>
                <w:color w:val="000000"/>
                <w:sz w:val="20"/>
                <w:szCs w:val="20"/>
              </w:rPr>
            </w:pPr>
            <w:r w:rsidRPr="00953A2A">
              <w:rPr>
                <w:color w:val="000000"/>
                <w:sz w:val="20"/>
                <w:szCs w:val="20"/>
              </w:rPr>
              <w:t>-</w:t>
            </w:r>
          </w:p>
        </w:tc>
      </w:tr>
      <w:tr w:rsidR="00A608CA" w:rsidRPr="00022BA7" w14:paraId="167653F9" w14:textId="28CEC367" w:rsidTr="00035F66">
        <w:trPr>
          <w:trHeight w:val="142"/>
        </w:trPr>
        <w:tc>
          <w:tcPr>
            <w:tcW w:w="718" w:type="pct"/>
            <w:vMerge/>
            <w:tcBorders>
              <w:left w:val="single" w:sz="4" w:space="0" w:color="auto"/>
              <w:right w:val="single" w:sz="4" w:space="0" w:color="auto"/>
            </w:tcBorders>
            <w:shd w:val="clear" w:color="auto" w:fill="auto"/>
            <w:tcMar>
              <w:top w:w="72" w:type="dxa"/>
              <w:left w:w="144" w:type="dxa"/>
              <w:bottom w:w="72" w:type="dxa"/>
              <w:right w:w="144" w:type="dxa"/>
            </w:tcMar>
            <w:vAlign w:val="center"/>
          </w:tcPr>
          <w:p w14:paraId="4770ABC6" w14:textId="77777777" w:rsidR="00A608CA" w:rsidRPr="00022BA7" w:rsidRDefault="00A608CA" w:rsidP="00A608CA">
            <w:pPr>
              <w:keepNext/>
              <w:spacing w:line="240" w:lineRule="auto"/>
              <w:jc w:val="right"/>
              <w:rPr>
                <w:color w:val="000000"/>
                <w:sz w:val="20"/>
              </w:rPr>
            </w:pPr>
          </w:p>
        </w:tc>
        <w:tc>
          <w:tcPr>
            <w:tcW w:w="352" w:type="pct"/>
            <w:tcBorders>
              <w:top w:val="single" w:sz="4" w:space="0" w:color="auto"/>
              <w:left w:val="single" w:sz="4" w:space="0" w:color="auto"/>
              <w:bottom w:val="single" w:sz="4" w:space="0" w:color="auto"/>
              <w:right w:val="single" w:sz="4" w:space="0" w:color="auto"/>
            </w:tcBorders>
          </w:tcPr>
          <w:p w14:paraId="487AA225" w14:textId="77777777" w:rsidR="00A608CA" w:rsidRPr="00022BA7" w:rsidRDefault="00A608CA" w:rsidP="00A608CA">
            <w:pPr>
              <w:keepNext/>
              <w:spacing w:line="240" w:lineRule="auto"/>
              <w:jc w:val="right"/>
              <w:rPr>
                <w:color w:val="000000"/>
                <w:sz w:val="20"/>
                <w:szCs w:val="20"/>
              </w:rPr>
            </w:pPr>
            <w:r w:rsidRPr="00022BA7">
              <w:rPr>
                <w:rFonts w:eastAsia="Times New Roman"/>
                <w:color w:val="000000"/>
                <w:sz w:val="20"/>
                <w:szCs w:val="20"/>
              </w:rPr>
              <w:t>2035</w:t>
            </w:r>
          </w:p>
        </w:tc>
        <w:tc>
          <w:tcPr>
            <w:tcW w:w="514" w:type="pct"/>
            <w:tcBorders>
              <w:top w:val="single" w:sz="4" w:space="0" w:color="auto"/>
              <w:left w:val="single" w:sz="4" w:space="0" w:color="auto"/>
              <w:bottom w:val="single" w:sz="4" w:space="0" w:color="auto"/>
              <w:right w:val="single" w:sz="4" w:space="0" w:color="auto"/>
            </w:tcBorders>
            <w:vAlign w:val="center"/>
          </w:tcPr>
          <w:p w14:paraId="23AB4FC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7E1FE25F"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0.7 </w:t>
            </w:r>
          </w:p>
        </w:tc>
        <w:tc>
          <w:tcPr>
            <w:tcW w:w="569" w:type="pct"/>
            <w:tcBorders>
              <w:top w:val="single" w:sz="4" w:space="0" w:color="auto"/>
              <w:left w:val="single" w:sz="4" w:space="0" w:color="auto"/>
              <w:bottom w:val="single" w:sz="4" w:space="0" w:color="auto"/>
              <w:right w:val="single" w:sz="4" w:space="0" w:color="auto"/>
            </w:tcBorders>
            <w:vAlign w:val="bottom"/>
          </w:tcPr>
          <w:p w14:paraId="283C645A"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0.0 </w:t>
            </w:r>
          </w:p>
        </w:tc>
        <w:tc>
          <w:tcPr>
            <w:tcW w:w="570" w:type="pct"/>
            <w:tcBorders>
              <w:top w:val="single" w:sz="4" w:space="0" w:color="auto"/>
              <w:left w:val="single" w:sz="4" w:space="0" w:color="auto"/>
              <w:bottom w:val="single" w:sz="4" w:space="0" w:color="auto"/>
              <w:right w:val="single" w:sz="4" w:space="0" w:color="auto"/>
            </w:tcBorders>
            <w:vAlign w:val="bottom"/>
          </w:tcPr>
          <w:p w14:paraId="2FE2A4B1"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19.9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24D4E588"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40.1 </w:t>
            </w:r>
          </w:p>
        </w:tc>
        <w:tc>
          <w:tcPr>
            <w:tcW w:w="570" w:type="pct"/>
            <w:tcBorders>
              <w:top w:val="single" w:sz="4" w:space="0" w:color="auto"/>
              <w:left w:val="single" w:sz="4" w:space="0" w:color="auto"/>
              <w:bottom w:val="single" w:sz="4" w:space="0" w:color="auto"/>
              <w:right w:val="single" w:sz="4" w:space="0" w:color="auto"/>
            </w:tcBorders>
          </w:tcPr>
          <w:p w14:paraId="52FF21EC" w14:textId="7ECF5A99" w:rsidR="00A608CA" w:rsidRPr="00022BA7" w:rsidRDefault="00A608CA" w:rsidP="00A608CA">
            <w:pPr>
              <w:keepNext/>
              <w:spacing w:line="240" w:lineRule="auto"/>
              <w:jc w:val="right"/>
              <w:rPr>
                <w:color w:val="000000"/>
                <w:sz w:val="20"/>
                <w:szCs w:val="20"/>
              </w:rPr>
            </w:pPr>
            <w:r w:rsidRPr="00953A2A">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1F2AFBFE" w14:textId="36376BF0" w:rsidR="00A608CA" w:rsidRPr="00022BA7" w:rsidRDefault="00A608CA" w:rsidP="00A608CA">
            <w:pPr>
              <w:keepNext/>
              <w:spacing w:line="240" w:lineRule="auto"/>
              <w:jc w:val="right"/>
              <w:rPr>
                <w:color w:val="000000"/>
                <w:sz w:val="20"/>
                <w:szCs w:val="20"/>
              </w:rPr>
            </w:pPr>
            <w:r w:rsidRPr="00953A2A">
              <w:rPr>
                <w:color w:val="000000"/>
                <w:sz w:val="20"/>
                <w:szCs w:val="20"/>
              </w:rPr>
              <w:t>-</w:t>
            </w:r>
          </w:p>
        </w:tc>
      </w:tr>
      <w:tr w:rsidR="00A608CA" w:rsidRPr="00022BA7" w14:paraId="672E298C" w14:textId="4F12143E" w:rsidTr="00035F66">
        <w:trPr>
          <w:trHeight w:val="142"/>
        </w:trPr>
        <w:tc>
          <w:tcPr>
            <w:tcW w:w="718" w:type="pct"/>
            <w:vMerge/>
            <w:tcBorders>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4802876" w14:textId="77777777" w:rsidR="00A608CA" w:rsidRPr="00022BA7" w:rsidRDefault="00A608CA" w:rsidP="00A608CA">
            <w:pPr>
              <w:keepNext/>
              <w:spacing w:line="240" w:lineRule="auto"/>
              <w:jc w:val="right"/>
              <w:rPr>
                <w:color w:val="000000"/>
                <w:sz w:val="20"/>
              </w:rPr>
            </w:pPr>
          </w:p>
        </w:tc>
        <w:tc>
          <w:tcPr>
            <w:tcW w:w="352" w:type="pct"/>
            <w:tcBorders>
              <w:top w:val="single" w:sz="4" w:space="0" w:color="auto"/>
              <w:left w:val="single" w:sz="4" w:space="0" w:color="auto"/>
              <w:bottom w:val="single" w:sz="4" w:space="0" w:color="auto"/>
              <w:right w:val="single" w:sz="4" w:space="0" w:color="auto"/>
            </w:tcBorders>
            <w:vAlign w:val="center"/>
          </w:tcPr>
          <w:p w14:paraId="539D08C3"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2050</w:t>
            </w:r>
          </w:p>
        </w:tc>
        <w:tc>
          <w:tcPr>
            <w:tcW w:w="514" w:type="pct"/>
            <w:tcBorders>
              <w:top w:val="single" w:sz="4" w:space="0" w:color="auto"/>
              <w:left w:val="single" w:sz="4" w:space="0" w:color="auto"/>
              <w:bottom w:val="single" w:sz="4" w:space="0" w:color="auto"/>
              <w:right w:val="single" w:sz="4" w:space="0" w:color="auto"/>
            </w:tcBorders>
            <w:vAlign w:val="center"/>
          </w:tcPr>
          <w:p w14:paraId="4A660F22"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485F739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0.7 </w:t>
            </w:r>
          </w:p>
        </w:tc>
        <w:tc>
          <w:tcPr>
            <w:tcW w:w="569" w:type="pct"/>
            <w:tcBorders>
              <w:top w:val="single" w:sz="4" w:space="0" w:color="auto"/>
              <w:left w:val="single" w:sz="4" w:space="0" w:color="auto"/>
              <w:bottom w:val="single" w:sz="4" w:space="0" w:color="auto"/>
              <w:right w:val="single" w:sz="4" w:space="0" w:color="auto"/>
            </w:tcBorders>
            <w:vAlign w:val="bottom"/>
          </w:tcPr>
          <w:p w14:paraId="10E1C1A5"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0.0 </w:t>
            </w:r>
          </w:p>
        </w:tc>
        <w:tc>
          <w:tcPr>
            <w:tcW w:w="570" w:type="pct"/>
            <w:tcBorders>
              <w:top w:val="single" w:sz="4" w:space="0" w:color="auto"/>
              <w:left w:val="single" w:sz="4" w:space="0" w:color="auto"/>
              <w:bottom w:val="single" w:sz="4" w:space="0" w:color="auto"/>
              <w:right w:val="single" w:sz="4" w:space="0" w:color="auto"/>
            </w:tcBorders>
            <w:vAlign w:val="bottom"/>
          </w:tcPr>
          <w:p w14:paraId="3FCE985B"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20.0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73B7A47C"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39.6 </w:t>
            </w:r>
          </w:p>
        </w:tc>
        <w:tc>
          <w:tcPr>
            <w:tcW w:w="570" w:type="pct"/>
            <w:tcBorders>
              <w:top w:val="single" w:sz="4" w:space="0" w:color="auto"/>
              <w:left w:val="single" w:sz="4" w:space="0" w:color="auto"/>
              <w:bottom w:val="single" w:sz="4" w:space="0" w:color="auto"/>
              <w:right w:val="single" w:sz="4" w:space="0" w:color="auto"/>
            </w:tcBorders>
          </w:tcPr>
          <w:p w14:paraId="46E3AF91" w14:textId="73D38BB3" w:rsidR="00A608CA" w:rsidRPr="00022BA7" w:rsidRDefault="00A608CA" w:rsidP="00A608CA">
            <w:pPr>
              <w:keepNext/>
              <w:spacing w:line="240" w:lineRule="auto"/>
              <w:jc w:val="right"/>
              <w:rPr>
                <w:color w:val="000000"/>
                <w:sz w:val="20"/>
                <w:szCs w:val="20"/>
              </w:rPr>
            </w:pPr>
            <w:r w:rsidRPr="00953A2A">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039F679E" w14:textId="0734B5F3" w:rsidR="00A608CA" w:rsidRPr="00022BA7" w:rsidRDefault="00A608CA" w:rsidP="00A608CA">
            <w:pPr>
              <w:keepNext/>
              <w:spacing w:line="240" w:lineRule="auto"/>
              <w:jc w:val="right"/>
              <w:rPr>
                <w:color w:val="000000"/>
                <w:sz w:val="20"/>
                <w:szCs w:val="20"/>
              </w:rPr>
            </w:pPr>
            <w:r w:rsidRPr="00953A2A">
              <w:rPr>
                <w:color w:val="000000"/>
                <w:sz w:val="20"/>
                <w:szCs w:val="20"/>
              </w:rPr>
              <w:t>-</w:t>
            </w:r>
          </w:p>
        </w:tc>
      </w:tr>
      <w:tr w:rsidR="00357A07" w:rsidRPr="00022BA7" w14:paraId="19707F9B" w14:textId="1556CAC1" w:rsidTr="00035F66">
        <w:trPr>
          <w:trHeight w:val="142"/>
        </w:trPr>
        <w:tc>
          <w:tcPr>
            <w:tcW w:w="718" w:type="pct"/>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0FCCD7A" w14:textId="77777777" w:rsidR="00357A07" w:rsidRPr="00022BA7" w:rsidRDefault="00357A07" w:rsidP="00357A07">
            <w:pPr>
              <w:keepNext/>
              <w:spacing w:line="240" w:lineRule="auto"/>
              <w:jc w:val="right"/>
              <w:rPr>
                <w:color w:val="000000"/>
                <w:sz w:val="20"/>
              </w:rPr>
            </w:pPr>
            <w:r w:rsidRPr="00022BA7">
              <w:rPr>
                <w:color w:val="000000"/>
                <w:sz w:val="20"/>
              </w:rPr>
              <w:t>Grid (</w:t>
            </w:r>
            <m:oMath>
              <m:sSubSup>
                <m:sSubSupPr>
                  <m:ctrlPr>
                    <w:rPr>
                      <w:rFonts w:ascii="Cambria Math" w:hAnsi="Cambria Math"/>
                      <w:sz w:val="20"/>
                    </w:rPr>
                  </m:ctrlPr>
                </m:sSubSupPr>
                <m:e>
                  <m:r>
                    <w:rPr>
                      <w:rFonts w:ascii="Cambria Math" w:hAnsi="Cambria Math"/>
                      <w:sz w:val="20"/>
                    </w:rPr>
                    <m:t>EF</m:t>
                  </m:r>
                </m:e>
                <m:sub>
                  <m:r>
                    <w:rPr>
                      <w:rFonts w:ascii="Cambria Math" w:hAnsi="Cambria Math"/>
                      <w:sz w:val="20"/>
                    </w:rPr>
                    <m:t>e,sc</m:t>
                  </m:r>
                </m:sub>
                <m:sup>
                  <m:r>
                    <w:rPr>
                      <w:rFonts w:ascii="Cambria Math" w:hAnsi="Cambria Math"/>
                      <w:sz w:val="20"/>
                    </w:rPr>
                    <m:t>Grid</m:t>
                  </m:r>
                </m:sup>
              </m:sSubSup>
            </m:oMath>
            <w:r w:rsidRPr="00022BA7">
              <w:rPr>
                <w:color w:val="000000"/>
                <w:sz w:val="20"/>
              </w:rPr>
              <w:t>)</w:t>
            </w:r>
          </w:p>
        </w:tc>
        <w:tc>
          <w:tcPr>
            <w:tcW w:w="352" w:type="pct"/>
            <w:tcBorders>
              <w:top w:val="single" w:sz="4" w:space="0" w:color="auto"/>
              <w:left w:val="single" w:sz="4" w:space="0" w:color="auto"/>
              <w:bottom w:val="single" w:sz="4" w:space="0" w:color="auto"/>
              <w:right w:val="single" w:sz="4" w:space="0" w:color="auto"/>
            </w:tcBorders>
          </w:tcPr>
          <w:p w14:paraId="2D63B78F" w14:textId="77777777" w:rsidR="00357A07" w:rsidRPr="00022BA7" w:rsidRDefault="00357A07" w:rsidP="00357A07">
            <w:pPr>
              <w:keepNext/>
              <w:spacing w:line="240" w:lineRule="auto"/>
              <w:jc w:val="right"/>
              <w:rPr>
                <w:rFonts w:eastAsia="Times New Roman"/>
                <w:color w:val="000000"/>
                <w:sz w:val="20"/>
              </w:rPr>
            </w:pPr>
            <w:r w:rsidRPr="00022BA7">
              <w:rPr>
                <w:rFonts w:eastAsia="Times New Roman"/>
                <w:color w:val="000000"/>
                <w:sz w:val="20"/>
                <w:szCs w:val="20"/>
              </w:rPr>
              <w:t>2022</w:t>
            </w:r>
          </w:p>
        </w:tc>
        <w:tc>
          <w:tcPr>
            <w:tcW w:w="514" w:type="pct"/>
            <w:tcBorders>
              <w:top w:val="single" w:sz="4" w:space="0" w:color="auto"/>
              <w:left w:val="single" w:sz="4" w:space="0" w:color="auto"/>
              <w:bottom w:val="single" w:sz="4" w:space="0" w:color="auto"/>
              <w:right w:val="single" w:sz="4" w:space="0" w:color="auto"/>
            </w:tcBorders>
            <w:shd w:val="clear" w:color="auto" w:fill="auto"/>
          </w:tcPr>
          <w:p w14:paraId="6585B4B3" w14:textId="77777777" w:rsidR="00357A07" w:rsidRPr="00022BA7" w:rsidRDefault="00357A07" w:rsidP="00357A07">
            <w:pPr>
              <w:keepNext/>
              <w:spacing w:line="240" w:lineRule="auto"/>
              <w:jc w:val="right"/>
              <w:rPr>
                <w:rFonts w:eastAsia="Times New Roman"/>
                <w:color w:val="000000"/>
                <w:sz w:val="20"/>
              </w:rPr>
            </w:pPr>
            <w:r w:rsidRPr="00022BA7">
              <w:rPr>
                <w:color w:val="000000"/>
                <w:sz w:val="20"/>
                <w:szCs w:val="20"/>
              </w:rPr>
              <w:t>-</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5572295E" w14:textId="77777777" w:rsidR="00357A07" w:rsidRPr="00022BA7" w:rsidRDefault="00357A07" w:rsidP="00357A07">
            <w:pPr>
              <w:keepNext/>
              <w:spacing w:line="240" w:lineRule="auto"/>
              <w:jc w:val="right"/>
              <w:rPr>
                <w:rFonts w:eastAsia="Times New Roman"/>
                <w:color w:val="000000"/>
                <w:sz w:val="20"/>
              </w:rPr>
            </w:pPr>
            <w:r w:rsidRPr="00022BA7">
              <w:rPr>
                <w:rFonts w:eastAsia="Times New Roman"/>
                <w:color w:val="000000"/>
                <w:sz w:val="20"/>
              </w:rPr>
              <w:t>0.</w:t>
            </w:r>
            <w:r w:rsidRPr="00022BA7">
              <w:rPr>
                <w:color w:val="000000"/>
                <w:sz w:val="20"/>
                <w:szCs w:val="20"/>
              </w:rPr>
              <w:t>78</w:t>
            </w:r>
          </w:p>
        </w:tc>
        <w:tc>
          <w:tcPr>
            <w:tcW w:w="569" w:type="pct"/>
            <w:tcBorders>
              <w:top w:val="single" w:sz="4" w:space="0" w:color="auto"/>
              <w:left w:val="single" w:sz="4" w:space="0" w:color="auto"/>
              <w:bottom w:val="single" w:sz="4" w:space="0" w:color="auto"/>
              <w:right w:val="single" w:sz="4" w:space="0" w:color="auto"/>
            </w:tcBorders>
            <w:shd w:val="clear" w:color="auto" w:fill="auto"/>
            <w:vAlign w:val="bottom"/>
          </w:tcPr>
          <w:p w14:paraId="17A9DC09" w14:textId="77777777" w:rsidR="00357A07" w:rsidRPr="00022BA7" w:rsidRDefault="00357A07" w:rsidP="00357A07">
            <w:pPr>
              <w:keepNext/>
              <w:spacing w:line="240" w:lineRule="auto"/>
              <w:jc w:val="right"/>
              <w:rPr>
                <w:rFonts w:eastAsia="Times New Roman"/>
                <w:color w:val="000000"/>
                <w:sz w:val="20"/>
              </w:rPr>
            </w:pPr>
            <w:r w:rsidRPr="00022BA7">
              <w:rPr>
                <w:rFonts w:eastAsia="Times New Roman"/>
                <w:color w:val="000000"/>
                <w:sz w:val="20"/>
              </w:rPr>
              <w:t>0.</w:t>
            </w:r>
            <w:r w:rsidRPr="00022BA7">
              <w:rPr>
                <w:color w:val="000000"/>
                <w:sz w:val="20"/>
                <w:szCs w:val="20"/>
              </w:rPr>
              <w:t>0071</w:t>
            </w:r>
          </w:p>
        </w:tc>
        <w:tc>
          <w:tcPr>
            <w:tcW w:w="570" w:type="pct"/>
            <w:tcBorders>
              <w:top w:val="single" w:sz="4" w:space="0" w:color="auto"/>
              <w:left w:val="single" w:sz="4" w:space="0" w:color="auto"/>
              <w:bottom w:val="single" w:sz="4" w:space="0" w:color="auto"/>
              <w:right w:val="single" w:sz="4" w:space="0" w:color="auto"/>
            </w:tcBorders>
            <w:vAlign w:val="bottom"/>
          </w:tcPr>
          <w:p w14:paraId="6A6AF36C"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400.2</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2409723E"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423.8</w:t>
            </w:r>
          </w:p>
        </w:tc>
        <w:tc>
          <w:tcPr>
            <w:tcW w:w="570" w:type="pct"/>
            <w:tcBorders>
              <w:top w:val="single" w:sz="4" w:space="0" w:color="auto"/>
              <w:left w:val="single" w:sz="4" w:space="0" w:color="auto"/>
              <w:bottom w:val="single" w:sz="4" w:space="0" w:color="auto"/>
              <w:right w:val="single" w:sz="4" w:space="0" w:color="auto"/>
            </w:tcBorders>
            <w:vAlign w:val="bottom"/>
          </w:tcPr>
          <w:p w14:paraId="6CA24D79" w14:textId="2B282FCD" w:rsidR="00357A07" w:rsidRPr="00022BA7" w:rsidRDefault="00357A07" w:rsidP="00357A07">
            <w:pPr>
              <w:keepNext/>
              <w:spacing w:line="240" w:lineRule="auto"/>
              <w:jc w:val="right"/>
              <w:rPr>
                <w:color w:val="000000"/>
                <w:sz w:val="20"/>
                <w:szCs w:val="20"/>
              </w:rPr>
            </w:pPr>
            <w:r w:rsidRPr="00035F66">
              <w:rPr>
                <w:color w:val="000000"/>
                <w:sz w:val="20"/>
                <w:szCs w:val="20"/>
              </w:rPr>
              <w:t>0.116</w:t>
            </w:r>
          </w:p>
        </w:tc>
        <w:tc>
          <w:tcPr>
            <w:tcW w:w="568" w:type="pct"/>
            <w:tcBorders>
              <w:top w:val="single" w:sz="4" w:space="0" w:color="auto"/>
              <w:left w:val="single" w:sz="4" w:space="0" w:color="auto"/>
              <w:bottom w:val="single" w:sz="4" w:space="0" w:color="auto"/>
              <w:right w:val="single" w:sz="4" w:space="0" w:color="auto"/>
            </w:tcBorders>
            <w:vAlign w:val="bottom"/>
          </w:tcPr>
          <w:p w14:paraId="3DAD03FD" w14:textId="3FBE888A" w:rsidR="00357A07" w:rsidRPr="00022BA7" w:rsidRDefault="00357A07" w:rsidP="00357A07">
            <w:pPr>
              <w:keepNext/>
              <w:spacing w:line="240" w:lineRule="auto"/>
              <w:jc w:val="right"/>
              <w:rPr>
                <w:color w:val="000000"/>
                <w:sz w:val="20"/>
                <w:szCs w:val="20"/>
              </w:rPr>
            </w:pPr>
            <w:r w:rsidRPr="00035F66">
              <w:rPr>
                <w:color w:val="000000"/>
                <w:sz w:val="20"/>
                <w:szCs w:val="20"/>
              </w:rPr>
              <w:t>0.066</w:t>
            </w:r>
          </w:p>
        </w:tc>
      </w:tr>
      <w:tr w:rsidR="00357A07" w:rsidRPr="00022BA7" w14:paraId="7C7A4509" w14:textId="317ECB64"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BDC10F0" w14:textId="77777777" w:rsidR="00357A07" w:rsidRPr="00022BA7" w:rsidRDefault="00357A07" w:rsidP="00357A07">
            <w:pPr>
              <w:keepNext/>
              <w:spacing w:line="240" w:lineRule="auto"/>
              <w:jc w:val="right"/>
              <w:rPr>
                <w:color w:val="000000"/>
                <w:sz w:val="20"/>
                <w:szCs w:val="20"/>
              </w:rPr>
            </w:pPr>
          </w:p>
        </w:tc>
        <w:tc>
          <w:tcPr>
            <w:tcW w:w="352" w:type="pct"/>
            <w:vMerge w:val="restart"/>
            <w:tcBorders>
              <w:top w:val="single" w:sz="4" w:space="0" w:color="auto"/>
              <w:left w:val="single" w:sz="4" w:space="0" w:color="auto"/>
              <w:right w:val="single" w:sz="4" w:space="0" w:color="auto"/>
            </w:tcBorders>
          </w:tcPr>
          <w:p w14:paraId="14828070" w14:textId="77777777" w:rsidR="00357A07" w:rsidRPr="00022BA7" w:rsidRDefault="00357A07" w:rsidP="00357A07">
            <w:pPr>
              <w:keepNext/>
              <w:spacing w:line="240" w:lineRule="auto"/>
              <w:jc w:val="right"/>
              <w:rPr>
                <w:rFonts w:eastAsia="Times New Roman"/>
                <w:color w:val="000000"/>
                <w:sz w:val="20"/>
                <w:szCs w:val="20"/>
              </w:rPr>
            </w:pPr>
            <w:r w:rsidRPr="00022BA7">
              <w:rPr>
                <w:rFonts w:eastAsia="Times New Roman"/>
                <w:color w:val="000000"/>
                <w:sz w:val="20"/>
                <w:szCs w:val="20"/>
              </w:rPr>
              <w:t>2035</w:t>
            </w:r>
          </w:p>
          <w:p w14:paraId="6D85F378" w14:textId="77777777" w:rsidR="00357A07" w:rsidRPr="00022BA7" w:rsidRDefault="00357A07" w:rsidP="00357A07">
            <w:pPr>
              <w:keepNext/>
              <w:spacing w:line="240" w:lineRule="auto"/>
              <w:jc w:val="right"/>
              <w:rPr>
                <w:rFonts w:eastAsia="Times New Roman"/>
                <w:color w:val="000000"/>
                <w:sz w:val="20"/>
                <w:szCs w:val="20"/>
              </w:rPr>
            </w:pPr>
          </w:p>
        </w:tc>
        <w:tc>
          <w:tcPr>
            <w:tcW w:w="514" w:type="pct"/>
            <w:tcBorders>
              <w:top w:val="single" w:sz="4" w:space="0" w:color="auto"/>
              <w:left w:val="single" w:sz="4" w:space="0" w:color="auto"/>
              <w:bottom w:val="single" w:sz="4" w:space="0" w:color="auto"/>
              <w:right w:val="single" w:sz="4" w:space="0" w:color="auto"/>
            </w:tcBorders>
          </w:tcPr>
          <w:p w14:paraId="46DA37EE"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BAU</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3CA090AF"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0.59</w:t>
            </w:r>
          </w:p>
        </w:tc>
        <w:tc>
          <w:tcPr>
            <w:tcW w:w="569" w:type="pct"/>
            <w:tcBorders>
              <w:top w:val="single" w:sz="4" w:space="0" w:color="auto"/>
              <w:left w:val="single" w:sz="4" w:space="0" w:color="auto"/>
              <w:bottom w:val="single" w:sz="4" w:space="0" w:color="auto"/>
              <w:right w:val="single" w:sz="4" w:space="0" w:color="auto"/>
            </w:tcBorders>
            <w:vAlign w:val="bottom"/>
          </w:tcPr>
          <w:p w14:paraId="76DB60A3"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0.0049</w:t>
            </w:r>
          </w:p>
        </w:tc>
        <w:tc>
          <w:tcPr>
            <w:tcW w:w="570" w:type="pct"/>
            <w:tcBorders>
              <w:top w:val="single" w:sz="4" w:space="0" w:color="auto"/>
              <w:left w:val="single" w:sz="4" w:space="0" w:color="auto"/>
              <w:bottom w:val="single" w:sz="4" w:space="0" w:color="auto"/>
              <w:right w:val="single" w:sz="4" w:space="0" w:color="auto"/>
            </w:tcBorders>
            <w:vAlign w:val="bottom"/>
          </w:tcPr>
          <w:p w14:paraId="59174FF7"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275.6</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6E638F38"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293.3</w:t>
            </w:r>
          </w:p>
        </w:tc>
        <w:tc>
          <w:tcPr>
            <w:tcW w:w="570" w:type="pct"/>
            <w:tcBorders>
              <w:top w:val="single" w:sz="4" w:space="0" w:color="auto"/>
              <w:left w:val="single" w:sz="4" w:space="0" w:color="auto"/>
              <w:bottom w:val="single" w:sz="4" w:space="0" w:color="auto"/>
              <w:right w:val="single" w:sz="4" w:space="0" w:color="auto"/>
            </w:tcBorders>
            <w:vAlign w:val="bottom"/>
          </w:tcPr>
          <w:p w14:paraId="2454357A" w14:textId="0B88F166" w:rsidR="00357A07" w:rsidRPr="00022BA7" w:rsidRDefault="00357A07" w:rsidP="00357A07">
            <w:pPr>
              <w:keepNext/>
              <w:spacing w:line="240" w:lineRule="auto"/>
              <w:jc w:val="right"/>
              <w:rPr>
                <w:color w:val="000000"/>
                <w:sz w:val="20"/>
                <w:szCs w:val="20"/>
              </w:rPr>
            </w:pPr>
            <w:r w:rsidRPr="00035F66">
              <w:rPr>
                <w:color w:val="000000"/>
                <w:sz w:val="20"/>
                <w:szCs w:val="20"/>
              </w:rPr>
              <w:t>0.069</w:t>
            </w:r>
          </w:p>
        </w:tc>
        <w:tc>
          <w:tcPr>
            <w:tcW w:w="568" w:type="pct"/>
            <w:tcBorders>
              <w:top w:val="single" w:sz="4" w:space="0" w:color="auto"/>
              <w:left w:val="single" w:sz="4" w:space="0" w:color="auto"/>
              <w:bottom w:val="single" w:sz="4" w:space="0" w:color="auto"/>
              <w:right w:val="single" w:sz="4" w:space="0" w:color="auto"/>
            </w:tcBorders>
            <w:vAlign w:val="bottom"/>
          </w:tcPr>
          <w:p w14:paraId="684D83EE" w14:textId="1FA192AD" w:rsidR="00357A07" w:rsidRPr="00022BA7" w:rsidRDefault="00357A07" w:rsidP="00357A07">
            <w:pPr>
              <w:keepNext/>
              <w:spacing w:line="240" w:lineRule="auto"/>
              <w:jc w:val="right"/>
              <w:rPr>
                <w:color w:val="000000"/>
                <w:sz w:val="20"/>
                <w:szCs w:val="20"/>
              </w:rPr>
            </w:pPr>
            <w:r w:rsidRPr="00035F66">
              <w:rPr>
                <w:color w:val="000000"/>
                <w:sz w:val="20"/>
                <w:szCs w:val="20"/>
              </w:rPr>
              <w:t>0.034</w:t>
            </w:r>
          </w:p>
        </w:tc>
      </w:tr>
      <w:tr w:rsidR="00357A07" w:rsidRPr="00022BA7" w14:paraId="165F3E79" w14:textId="00CB420B"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9B76779" w14:textId="77777777" w:rsidR="00357A07" w:rsidRPr="00022BA7" w:rsidRDefault="00357A07" w:rsidP="00357A07">
            <w:pPr>
              <w:keepNext/>
              <w:spacing w:line="240" w:lineRule="auto"/>
              <w:jc w:val="right"/>
              <w:rPr>
                <w:color w:val="000000"/>
                <w:sz w:val="20"/>
              </w:rPr>
            </w:pPr>
          </w:p>
        </w:tc>
        <w:tc>
          <w:tcPr>
            <w:tcW w:w="352" w:type="pct"/>
            <w:vMerge/>
            <w:tcBorders>
              <w:left w:val="single" w:sz="4" w:space="0" w:color="auto"/>
              <w:bottom w:val="single" w:sz="4" w:space="0" w:color="auto"/>
              <w:right w:val="single" w:sz="4" w:space="0" w:color="auto"/>
            </w:tcBorders>
          </w:tcPr>
          <w:p w14:paraId="0C097AE1" w14:textId="77777777" w:rsidR="00357A07" w:rsidRPr="00022BA7" w:rsidRDefault="00357A07" w:rsidP="00357A07">
            <w:pPr>
              <w:keepNext/>
              <w:spacing w:line="240" w:lineRule="auto"/>
              <w:jc w:val="right"/>
              <w:rPr>
                <w:rFonts w:eastAsia="Times New Roman"/>
                <w:color w:val="000000"/>
                <w:sz w:val="20"/>
              </w:rPr>
            </w:pPr>
          </w:p>
        </w:tc>
        <w:tc>
          <w:tcPr>
            <w:tcW w:w="514" w:type="pct"/>
            <w:tcBorders>
              <w:top w:val="single" w:sz="4" w:space="0" w:color="auto"/>
              <w:left w:val="single" w:sz="4" w:space="0" w:color="auto"/>
              <w:bottom w:val="single" w:sz="4" w:space="0" w:color="auto"/>
              <w:right w:val="single" w:sz="4" w:space="0" w:color="auto"/>
            </w:tcBorders>
            <w:shd w:val="clear" w:color="auto" w:fill="auto"/>
          </w:tcPr>
          <w:p w14:paraId="62BBCF32" w14:textId="77777777" w:rsidR="00357A07" w:rsidRPr="00022BA7" w:rsidRDefault="00357A07" w:rsidP="00357A07">
            <w:pPr>
              <w:keepNext/>
              <w:spacing w:line="240" w:lineRule="auto"/>
              <w:jc w:val="right"/>
              <w:rPr>
                <w:rFonts w:eastAsia="Times New Roman"/>
                <w:color w:val="000000"/>
                <w:sz w:val="20"/>
              </w:rPr>
            </w:pPr>
            <w:r w:rsidRPr="00022BA7">
              <w:rPr>
                <w:color w:val="000000"/>
                <w:sz w:val="20"/>
                <w:szCs w:val="20"/>
              </w:rPr>
              <w:t>DEC</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5A08999D" w14:textId="77777777" w:rsidR="00357A07" w:rsidRPr="00022BA7" w:rsidRDefault="00357A07" w:rsidP="00357A07">
            <w:pPr>
              <w:keepNext/>
              <w:spacing w:line="240" w:lineRule="auto"/>
              <w:jc w:val="right"/>
              <w:rPr>
                <w:rFonts w:eastAsia="Times New Roman"/>
                <w:color w:val="000000"/>
                <w:sz w:val="20"/>
              </w:rPr>
            </w:pPr>
            <w:r w:rsidRPr="00022BA7">
              <w:rPr>
                <w:rFonts w:eastAsia="Times New Roman"/>
                <w:color w:val="000000"/>
                <w:sz w:val="20"/>
              </w:rPr>
              <w:t>0.</w:t>
            </w:r>
            <w:r w:rsidRPr="00022BA7">
              <w:rPr>
                <w:color w:val="000000"/>
                <w:sz w:val="20"/>
                <w:szCs w:val="20"/>
              </w:rPr>
              <w:t>52</w:t>
            </w:r>
          </w:p>
        </w:tc>
        <w:tc>
          <w:tcPr>
            <w:tcW w:w="569" w:type="pct"/>
            <w:tcBorders>
              <w:top w:val="single" w:sz="4" w:space="0" w:color="auto"/>
              <w:left w:val="single" w:sz="4" w:space="0" w:color="auto"/>
              <w:bottom w:val="single" w:sz="4" w:space="0" w:color="auto"/>
              <w:right w:val="single" w:sz="4" w:space="0" w:color="auto"/>
            </w:tcBorders>
            <w:shd w:val="clear" w:color="auto" w:fill="auto"/>
            <w:vAlign w:val="bottom"/>
          </w:tcPr>
          <w:p w14:paraId="16F9FDD2" w14:textId="77777777" w:rsidR="00357A07" w:rsidRPr="00022BA7" w:rsidRDefault="00357A07" w:rsidP="00357A07">
            <w:pPr>
              <w:keepNext/>
              <w:spacing w:line="240" w:lineRule="auto"/>
              <w:jc w:val="right"/>
              <w:rPr>
                <w:rFonts w:eastAsia="Times New Roman"/>
                <w:color w:val="000000"/>
                <w:sz w:val="20"/>
              </w:rPr>
            </w:pPr>
            <w:r w:rsidRPr="00022BA7">
              <w:rPr>
                <w:rFonts w:eastAsia="Times New Roman"/>
                <w:color w:val="000000"/>
                <w:sz w:val="20"/>
              </w:rPr>
              <w:t>0.</w:t>
            </w:r>
            <w:r w:rsidRPr="00022BA7">
              <w:rPr>
                <w:color w:val="000000"/>
                <w:sz w:val="20"/>
                <w:szCs w:val="20"/>
              </w:rPr>
              <w:t>0042</w:t>
            </w:r>
          </w:p>
        </w:tc>
        <w:tc>
          <w:tcPr>
            <w:tcW w:w="570" w:type="pct"/>
            <w:tcBorders>
              <w:top w:val="single" w:sz="4" w:space="0" w:color="auto"/>
              <w:left w:val="single" w:sz="4" w:space="0" w:color="auto"/>
              <w:bottom w:val="single" w:sz="4" w:space="0" w:color="auto"/>
              <w:right w:val="single" w:sz="4" w:space="0" w:color="auto"/>
            </w:tcBorders>
            <w:vAlign w:val="bottom"/>
          </w:tcPr>
          <w:p w14:paraId="0F8B1657"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235.0</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65E4D228"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250.6</w:t>
            </w:r>
          </w:p>
        </w:tc>
        <w:tc>
          <w:tcPr>
            <w:tcW w:w="570" w:type="pct"/>
            <w:tcBorders>
              <w:top w:val="single" w:sz="4" w:space="0" w:color="auto"/>
              <w:left w:val="single" w:sz="4" w:space="0" w:color="auto"/>
              <w:bottom w:val="single" w:sz="4" w:space="0" w:color="auto"/>
              <w:right w:val="single" w:sz="4" w:space="0" w:color="auto"/>
            </w:tcBorders>
            <w:vAlign w:val="bottom"/>
          </w:tcPr>
          <w:p w14:paraId="4C154276" w14:textId="1484A84E" w:rsidR="00357A07" w:rsidRPr="00022BA7" w:rsidRDefault="00357A07" w:rsidP="00357A07">
            <w:pPr>
              <w:keepNext/>
              <w:spacing w:line="240" w:lineRule="auto"/>
              <w:jc w:val="right"/>
              <w:rPr>
                <w:color w:val="000000"/>
                <w:sz w:val="20"/>
                <w:szCs w:val="20"/>
              </w:rPr>
            </w:pPr>
            <w:r w:rsidRPr="00035F66">
              <w:rPr>
                <w:color w:val="000000"/>
                <w:sz w:val="20"/>
                <w:szCs w:val="20"/>
              </w:rPr>
              <w:t>0.054</w:t>
            </w:r>
          </w:p>
        </w:tc>
        <w:tc>
          <w:tcPr>
            <w:tcW w:w="568" w:type="pct"/>
            <w:tcBorders>
              <w:top w:val="single" w:sz="4" w:space="0" w:color="auto"/>
              <w:left w:val="single" w:sz="4" w:space="0" w:color="auto"/>
              <w:bottom w:val="single" w:sz="4" w:space="0" w:color="auto"/>
              <w:right w:val="single" w:sz="4" w:space="0" w:color="auto"/>
            </w:tcBorders>
            <w:vAlign w:val="bottom"/>
          </w:tcPr>
          <w:p w14:paraId="10B147C9" w14:textId="40396751" w:rsidR="00357A07" w:rsidRPr="00022BA7" w:rsidRDefault="00357A07" w:rsidP="00357A07">
            <w:pPr>
              <w:keepNext/>
              <w:spacing w:line="240" w:lineRule="auto"/>
              <w:jc w:val="right"/>
              <w:rPr>
                <w:color w:val="000000"/>
                <w:sz w:val="20"/>
                <w:szCs w:val="20"/>
              </w:rPr>
            </w:pPr>
            <w:r w:rsidRPr="00035F66">
              <w:rPr>
                <w:color w:val="000000"/>
                <w:sz w:val="20"/>
                <w:szCs w:val="20"/>
              </w:rPr>
              <w:t>0.025</w:t>
            </w:r>
          </w:p>
        </w:tc>
      </w:tr>
      <w:tr w:rsidR="00357A07" w:rsidRPr="00022BA7" w14:paraId="68FB285B" w14:textId="7C1BAECD"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EEC57AF" w14:textId="77777777" w:rsidR="00357A07" w:rsidRPr="00022BA7" w:rsidRDefault="00357A07" w:rsidP="00357A07">
            <w:pPr>
              <w:keepNext/>
              <w:spacing w:line="240" w:lineRule="auto"/>
              <w:jc w:val="right"/>
              <w:rPr>
                <w:color w:val="000000"/>
                <w:sz w:val="20"/>
                <w:szCs w:val="20"/>
              </w:rPr>
            </w:pPr>
          </w:p>
        </w:tc>
        <w:tc>
          <w:tcPr>
            <w:tcW w:w="352" w:type="pct"/>
            <w:vMerge w:val="restart"/>
            <w:tcBorders>
              <w:top w:val="single" w:sz="4" w:space="0" w:color="auto"/>
              <w:left w:val="single" w:sz="4" w:space="0" w:color="auto"/>
              <w:right w:val="single" w:sz="4" w:space="0" w:color="auto"/>
            </w:tcBorders>
          </w:tcPr>
          <w:p w14:paraId="2BECC977" w14:textId="77777777" w:rsidR="00357A07" w:rsidRPr="00022BA7" w:rsidRDefault="00357A07" w:rsidP="00357A07">
            <w:pPr>
              <w:keepNext/>
              <w:spacing w:line="240" w:lineRule="auto"/>
              <w:jc w:val="right"/>
              <w:rPr>
                <w:rFonts w:eastAsia="Times New Roman"/>
                <w:color w:val="000000"/>
                <w:sz w:val="20"/>
                <w:szCs w:val="20"/>
              </w:rPr>
            </w:pPr>
            <w:r w:rsidRPr="00022BA7">
              <w:rPr>
                <w:rFonts w:eastAsia="Times New Roman"/>
                <w:color w:val="000000"/>
                <w:sz w:val="20"/>
                <w:szCs w:val="20"/>
              </w:rPr>
              <w:t>2050</w:t>
            </w:r>
          </w:p>
        </w:tc>
        <w:tc>
          <w:tcPr>
            <w:tcW w:w="514" w:type="pct"/>
            <w:tcBorders>
              <w:top w:val="single" w:sz="4" w:space="0" w:color="auto"/>
              <w:left w:val="single" w:sz="4" w:space="0" w:color="auto"/>
              <w:bottom w:val="single" w:sz="4" w:space="0" w:color="auto"/>
              <w:right w:val="single" w:sz="4" w:space="0" w:color="auto"/>
            </w:tcBorders>
          </w:tcPr>
          <w:p w14:paraId="35F99B7E"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BAU</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43CF12A1"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0.49</w:t>
            </w:r>
          </w:p>
        </w:tc>
        <w:tc>
          <w:tcPr>
            <w:tcW w:w="569" w:type="pct"/>
            <w:tcBorders>
              <w:top w:val="single" w:sz="4" w:space="0" w:color="auto"/>
              <w:left w:val="single" w:sz="4" w:space="0" w:color="auto"/>
              <w:bottom w:val="single" w:sz="4" w:space="0" w:color="auto"/>
              <w:right w:val="single" w:sz="4" w:space="0" w:color="auto"/>
            </w:tcBorders>
            <w:vAlign w:val="bottom"/>
          </w:tcPr>
          <w:p w14:paraId="7A0A8CDE"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0.0032</w:t>
            </w:r>
          </w:p>
        </w:tc>
        <w:tc>
          <w:tcPr>
            <w:tcW w:w="570" w:type="pct"/>
            <w:tcBorders>
              <w:top w:val="single" w:sz="4" w:space="0" w:color="auto"/>
              <w:left w:val="single" w:sz="4" w:space="0" w:color="auto"/>
              <w:bottom w:val="single" w:sz="4" w:space="0" w:color="auto"/>
              <w:right w:val="single" w:sz="4" w:space="0" w:color="auto"/>
            </w:tcBorders>
            <w:vAlign w:val="bottom"/>
          </w:tcPr>
          <w:p w14:paraId="01CB0D73"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203.7</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65CF9E5C"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218.1</w:t>
            </w:r>
          </w:p>
        </w:tc>
        <w:tc>
          <w:tcPr>
            <w:tcW w:w="570" w:type="pct"/>
            <w:tcBorders>
              <w:top w:val="single" w:sz="4" w:space="0" w:color="auto"/>
              <w:left w:val="single" w:sz="4" w:space="0" w:color="auto"/>
              <w:bottom w:val="single" w:sz="4" w:space="0" w:color="auto"/>
              <w:right w:val="single" w:sz="4" w:space="0" w:color="auto"/>
            </w:tcBorders>
            <w:vAlign w:val="bottom"/>
          </w:tcPr>
          <w:p w14:paraId="296A1079" w14:textId="7FEF463C" w:rsidR="00357A07" w:rsidRPr="00022BA7" w:rsidRDefault="00357A07" w:rsidP="00357A07">
            <w:pPr>
              <w:keepNext/>
              <w:spacing w:line="240" w:lineRule="auto"/>
              <w:jc w:val="right"/>
              <w:rPr>
                <w:color w:val="000000"/>
                <w:sz w:val="20"/>
                <w:szCs w:val="20"/>
              </w:rPr>
            </w:pPr>
            <w:r w:rsidRPr="00035F66">
              <w:rPr>
                <w:color w:val="000000"/>
                <w:sz w:val="20"/>
                <w:szCs w:val="20"/>
              </w:rPr>
              <w:t>0.039</w:t>
            </w:r>
          </w:p>
        </w:tc>
        <w:tc>
          <w:tcPr>
            <w:tcW w:w="568" w:type="pct"/>
            <w:tcBorders>
              <w:top w:val="single" w:sz="4" w:space="0" w:color="auto"/>
              <w:left w:val="single" w:sz="4" w:space="0" w:color="auto"/>
              <w:bottom w:val="single" w:sz="4" w:space="0" w:color="auto"/>
              <w:right w:val="single" w:sz="4" w:space="0" w:color="auto"/>
            </w:tcBorders>
            <w:vAlign w:val="bottom"/>
          </w:tcPr>
          <w:p w14:paraId="4D0DF06F" w14:textId="19667957" w:rsidR="00357A07" w:rsidRPr="00022BA7" w:rsidRDefault="00357A07" w:rsidP="00357A07">
            <w:pPr>
              <w:keepNext/>
              <w:spacing w:line="240" w:lineRule="auto"/>
              <w:jc w:val="right"/>
              <w:rPr>
                <w:color w:val="000000"/>
                <w:sz w:val="20"/>
                <w:szCs w:val="20"/>
              </w:rPr>
            </w:pPr>
            <w:r w:rsidRPr="00035F66">
              <w:rPr>
                <w:color w:val="000000"/>
                <w:sz w:val="20"/>
                <w:szCs w:val="20"/>
              </w:rPr>
              <w:t>0.015</w:t>
            </w:r>
          </w:p>
        </w:tc>
      </w:tr>
      <w:tr w:rsidR="00357A07" w:rsidRPr="00022BA7" w14:paraId="1B6C0534" w14:textId="2ACDC198"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6482259" w14:textId="77777777" w:rsidR="00357A07" w:rsidRPr="00022BA7" w:rsidRDefault="00357A07" w:rsidP="00357A07">
            <w:pPr>
              <w:keepNext/>
              <w:spacing w:line="240" w:lineRule="auto"/>
              <w:jc w:val="right"/>
              <w:rPr>
                <w:color w:val="000000"/>
                <w:sz w:val="20"/>
                <w:szCs w:val="20"/>
              </w:rPr>
            </w:pPr>
          </w:p>
        </w:tc>
        <w:tc>
          <w:tcPr>
            <w:tcW w:w="352" w:type="pct"/>
            <w:vMerge/>
            <w:tcBorders>
              <w:left w:val="single" w:sz="4" w:space="0" w:color="auto"/>
              <w:bottom w:val="single" w:sz="4" w:space="0" w:color="auto"/>
              <w:right w:val="single" w:sz="4" w:space="0" w:color="auto"/>
            </w:tcBorders>
          </w:tcPr>
          <w:p w14:paraId="185A6A67" w14:textId="77777777" w:rsidR="00357A07" w:rsidRPr="00022BA7" w:rsidRDefault="00357A07" w:rsidP="00357A07">
            <w:pPr>
              <w:keepNext/>
              <w:spacing w:line="240" w:lineRule="auto"/>
              <w:jc w:val="right"/>
              <w:rPr>
                <w:rFonts w:eastAsia="Times New Roman"/>
                <w:color w:val="000000"/>
                <w:sz w:val="20"/>
                <w:szCs w:val="20"/>
              </w:rPr>
            </w:pPr>
          </w:p>
        </w:tc>
        <w:tc>
          <w:tcPr>
            <w:tcW w:w="514" w:type="pct"/>
            <w:tcBorders>
              <w:top w:val="single" w:sz="4" w:space="0" w:color="auto"/>
              <w:left w:val="single" w:sz="4" w:space="0" w:color="auto"/>
              <w:bottom w:val="single" w:sz="4" w:space="0" w:color="auto"/>
              <w:right w:val="single" w:sz="4" w:space="0" w:color="auto"/>
            </w:tcBorders>
          </w:tcPr>
          <w:p w14:paraId="5FB0C27D"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DEC</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1B2223C8"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0.18</w:t>
            </w:r>
          </w:p>
        </w:tc>
        <w:tc>
          <w:tcPr>
            <w:tcW w:w="569" w:type="pct"/>
            <w:tcBorders>
              <w:top w:val="single" w:sz="4" w:space="0" w:color="auto"/>
              <w:left w:val="single" w:sz="4" w:space="0" w:color="auto"/>
              <w:bottom w:val="single" w:sz="4" w:space="0" w:color="auto"/>
              <w:right w:val="single" w:sz="4" w:space="0" w:color="auto"/>
            </w:tcBorders>
            <w:vAlign w:val="bottom"/>
          </w:tcPr>
          <w:p w14:paraId="07C3787E"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0.0014</w:t>
            </w:r>
          </w:p>
        </w:tc>
        <w:tc>
          <w:tcPr>
            <w:tcW w:w="570" w:type="pct"/>
            <w:tcBorders>
              <w:top w:val="single" w:sz="4" w:space="0" w:color="auto"/>
              <w:left w:val="single" w:sz="4" w:space="0" w:color="auto"/>
              <w:bottom w:val="single" w:sz="4" w:space="0" w:color="auto"/>
              <w:right w:val="single" w:sz="4" w:space="0" w:color="auto"/>
            </w:tcBorders>
            <w:vAlign w:val="bottom"/>
          </w:tcPr>
          <w:p w14:paraId="70F21C2A"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64.3</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bottom"/>
          </w:tcPr>
          <w:p w14:paraId="132F5F69" w14:textId="77777777" w:rsidR="00357A07" w:rsidRPr="00022BA7" w:rsidRDefault="00357A07" w:rsidP="00357A07">
            <w:pPr>
              <w:keepNext/>
              <w:spacing w:line="240" w:lineRule="auto"/>
              <w:jc w:val="right"/>
              <w:rPr>
                <w:color w:val="000000"/>
                <w:sz w:val="20"/>
                <w:szCs w:val="20"/>
              </w:rPr>
            </w:pPr>
            <w:r w:rsidRPr="00022BA7">
              <w:rPr>
                <w:color w:val="000000"/>
                <w:sz w:val="20"/>
                <w:szCs w:val="20"/>
              </w:rPr>
              <w:t>69.8</w:t>
            </w:r>
          </w:p>
        </w:tc>
        <w:tc>
          <w:tcPr>
            <w:tcW w:w="570" w:type="pct"/>
            <w:tcBorders>
              <w:top w:val="single" w:sz="4" w:space="0" w:color="auto"/>
              <w:left w:val="single" w:sz="4" w:space="0" w:color="auto"/>
              <w:bottom w:val="single" w:sz="4" w:space="0" w:color="auto"/>
              <w:right w:val="single" w:sz="4" w:space="0" w:color="auto"/>
            </w:tcBorders>
            <w:vAlign w:val="bottom"/>
          </w:tcPr>
          <w:p w14:paraId="4C0AF93A" w14:textId="0B49B6BB" w:rsidR="00357A07" w:rsidRPr="00022BA7" w:rsidRDefault="00357A07" w:rsidP="00357A07">
            <w:pPr>
              <w:keepNext/>
              <w:spacing w:line="240" w:lineRule="auto"/>
              <w:jc w:val="right"/>
              <w:rPr>
                <w:color w:val="000000"/>
                <w:sz w:val="20"/>
                <w:szCs w:val="20"/>
              </w:rPr>
            </w:pPr>
            <w:r w:rsidRPr="00035F66">
              <w:rPr>
                <w:color w:val="000000"/>
                <w:sz w:val="20"/>
                <w:szCs w:val="20"/>
              </w:rPr>
              <w:t>0.006</w:t>
            </w:r>
          </w:p>
        </w:tc>
        <w:tc>
          <w:tcPr>
            <w:tcW w:w="568" w:type="pct"/>
            <w:tcBorders>
              <w:top w:val="single" w:sz="4" w:space="0" w:color="auto"/>
              <w:left w:val="single" w:sz="4" w:space="0" w:color="auto"/>
              <w:bottom w:val="single" w:sz="4" w:space="0" w:color="auto"/>
              <w:right w:val="single" w:sz="4" w:space="0" w:color="auto"/>
            </w:tcBorders>
            <w:vAlign w:val="bottom"/>
          </w:tcPr>
          <w:p w14:paraId="3288B3F2" w14:textId="455EEE2B" w:rsidR="00357A07" w:rsidRPr="00022BA7" w:rsidRDefault="00357A07" w:rsidP="00357A07">
            <w:pPr>
              <w:keepNext/>
              <w:spacing w:line="240" w:lineRule="auto"/>
              <w:jc w:val="right"/>
              <w:rPr>
                <w:color w:val="000000"/>
                <w:sz w:val="20"/>
                <w:szCs w:val="20"/>
              </w:rPr>
            </w:pPr>
            <w:r w:rsidRPr="00035F66">
              <w:rPr>
                <w:color w:val="000000"/>
                <w:sz w:val="20"/>
                <w:szCs w:val="20"/>
              </w:rPr>
              <w:t>0</w:t>
            </w:r>
          </w:p>
        </w:tc>
      </w:tr>
      <w:tr w:rsidR="00A608CA" w:rsidRPr="00022BA7" w14:paraId="75ED0026" w14:textId="416C0895" w:rsidTr="00035F66">
        <w:trPr>
          <w:trHeight w:val="142"/>
        </w:trPr>
        <w:tc>
          <w:tcPr>
            <w:tcW w:w="718" w:type="pct"/>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A106F5D" w14:textId="77777777" w:rsidR="00A608CA" w:rsidRPr="00022BA7" w:rsidRDefault="00A608CA" w:rsidP="00A608CA">
            <w:pPr>
              <w:keepNext/>
              <w:spacing w:line="240" w:lineRule="auto"/>
              <w:jc w:val="right"/>
              <w:rPr>
                <w:color w:val="000000"/>
                <w:sz w:val="20"/>
              </w:rPr>
            </w:pPr>
            <w:r w:rsidRPr="00022BA7">
              <w:rPr>
                <w:color w:val="000000"/>
                <w:sz w:val="20"/>
              </w:rPr>
              <w:t>Battery Manufacturing (</w:t>
            </w:r>
            <m:oMath>
              <m:sSubSup>
                <m:sSubSupPr>
                  <m:ctrlPr>
                    <w:rPr>
                      <w:rFonts w:ascii="Cambria Math" w:hAnsi="Cambria Math"/>
                      <w:i/>
                      <w:sz w:val="20"/>
                    </w:rPr>
                  </m:ctrlPr>
                </m:sSubSupPr>
                <m:e>
                  <m:r>
                    <w:rPr>
                      <w:rFonts w:ascii="Cambria Math" w:hAnsi="Cambria Math"/>
                      <w:sz w:val="20"/>
                    </w:rPr>
                    <m:t>EF</m:t>
                  </m:r>
                </m:e>
                <m:sub>
                  <m:r>
                    <w:rPr>
                      <w:rFonts w:ascii="Cambria Math" w:hAnsi="Cambria Math"/>
                      <w:sz w:val="20"/>
                    </w:rPr>
                    <m:t>e</m:t>
                  </m:r>
                </m:sub>
                <m:sup>
                  <m:r>
                    <w:rPr>
                      <w:rFonts w:ascii="Cambria Math" w:hAnsi="Cambria Math"/>
                      <w:sz w:val="20"/>
                    </w:rPr>
                    <m:t>BM</m:t>
                  </m:r>
                </m:sup>
              </m:sSubSup>
            </m:oMath>
            <w:r w:rsidRPr="00022BA7">
              <w:rPr>
                <w:color w:val="000000"/>
                <w:sz w:val="20"/>
              </w:rPr>
              <w:t>)</w:t>
            </w:r>
          </w:p>
        </w:tc>
        <w:tc>
          <w:tcPr>
            <w:tcW w:w="352" w:type="pct"/>
            <w:tcBorders>
              <w:top w:val="single" w:sz="4" w:space="0" w:color="auto"/>
              <w:left w:val="single" w:sz="4" w:space="0" w:color="auto"/>
              <w:bottom w:val="single" w:sz="4" w:space="0" w:color="auto"/>
              <w:right w:val="single" w:sz="4" w:space="0" w:color="auto"/>
            </w:tcBorders>
          </w:tcPr>
          <w:p w14:paraId="038D039A"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2022</w:t>
            </w:r>
          </w:p>
        </w:tc>
        <w:tc>
          <w:tcPr>
            <w:tcW w:w="514" w:type="pct"/>
            <w:tcBorders>
              <w:top w:val="single" w:sz="4" w:space="0" w:color="auto"/>
              <w:left w:val="single" w:sz="4" w:space="0" w:color="auto"/>
              <w:bottom w:val="single" w:sz="4" w:space="0" w:color="auto"/>
              <w:right w:val="single" w:sz="4" w:space="0" w:color="auto"/>
            </w:tcBorders>
            <w:shd w:val="clear" w:color="auto" w:fill="auto"/>
          </w:tcPr>
          <w:p w14:paraId="53CFE2FE"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943FF04"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 xml:space="preserve"> 232.9 </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709B2700"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 xml:space="preserve"> 2.2 </w:t>
            </w:r>
          </w:p>
        </w:tc>
        <w:tc>
          <w:tcPr>
            <w:tcW w:w="570" w:type="pct"/>
            <w:tcBorders>
              <w:top w:val="single" w:sz="4" w:space="0" w:color="auto"/>
              <w:left w:val="single" w:sz="4" w:space="0" w:color="auto"/>
              <w:bottom w:val="single" w:sz="4" w:space="0" w:color="auto"/>
              <w:right w:val="single" w:sz="4" w:space="0" w:color="auto"/>
            </w:tcBorders>
          </w:tcPr>
          <w:p w14:paraId="0B341015"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107,346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759AA7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114,447 </w:t>
            </w:r>
          </w:p>
        </w:tc>
        <w:tc>
          <w:tcPr>
            <w:tcW w:w="570" w:type="pct"/>
            <w:tcBorders>
              <w:top w:val="single" w:sz="4" w:space="0" w:color="auto"/>
              <w:left w:val="single" w:sz="4" w:space="0" w:color="auto"/>
              <w:bottom w:val="single" w:sz="4" w:space="0" w:color="auto"/>
              <w:right w:val="single" w:sz="4" w:space="0" w:color="auto"/>
            </w:tcBorders>
          </w:tcPr>
          <w:p w14:paraId="3B2AB138" w14:textId="383CC9CF" w:rsidR="00A608CA" w:rsidRPr="00022BA7" w:rsidRDefault="00A608CA" w:rsidP="00A608CA">
            <w:pPr>
              <w:keepNext/>
              <w:spacing w:line="240" w:lineRule="auto"/>
              <w:jc w:val="right"/>
              <w:rPr>
                <w:color w:val="000000"/>
                <w:sz w:val="20"/>
                <w:szCs w:val="20"/>
              </w:rPr>
            </w:pPr>
            <w:r w:rsidRPr="00A2246B">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68920269" w14:textId="7560BDB6" w:rsidR="00A608CA" w:rsidRPr="00022BA7" w:rsidRDefault="00A608CA" w:rsidP="00A608CA">
            <w:pPr>
              <w:keepNext/>
              <w:spacing w:line="240" w:lineRule="auto"/>
              <w:jc w:val="right"/>
              <w:rPr>
                <w:color w:val="000000"/>
                <w:sz w:val="20"/>
                <w:szCs w:val="20"/>
              </w:rPr>
            </w:pPr>
            <w:r w:rsidRPr="00A2246B">
              <w:rPr>
                <w:color w:val="000000"/>
                <w:sz w:val="20"/>
                <w:szCs w:val="20"/>
              </w:rPr>
              <w:t>-</w:t>
            </w:r>
          </w:p>
        </w:tc>
      </w:tr>
      <w:tr w:rsidR="00A608CA" w:rsidRPr="00022BA7" w14:paraId="1DA236F2" w14:textId="44735E85"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02BB41B" w14:textId="77777777" w:rsidR="00A608CA" w:rsidRPr="00022BA7" w:rsidRDefault="00A608CA" w:rsidP="00A608CA">
            <w:pPr>
              <w:keepNext/>
              <w:spacing w:line="240" w:lineRule="auto"/>
              <w:jc w:val="right"/>
              <w:rPr>
                <w:color w:val="000000"/>
                <w:sz w:val="20"/>
              </w:rPr>
            </w:pPr>
          </w:p>
        </w:tc>
        <w:tc>
          <w:tcPr>
            <w:tcW w:w="352" w:type="pct"/>
            <w:vMerge w:val="restart"/>
            <w:tcBorders>
              <w:top w:val="single" w:sz="4" w:space="0" w:color="auto"/>
              <w:left w:val="single" w:sz="4" w:space="0" w:color="auto"/>
              <w:bottom w:val="single" w:sz="4" w:space="0" w:color="auto"/>
              <w:right w:val="single" w:sz="4" w:space="0" w:color="auto"/>
            </w:tcBorders>
          </w:tcPr>
          <w:p w14:paraId="47A944DA" w14:textId="77777777" w:rsidR="00A608CA" w:rsidRPr="00022BA7" w:rsidRDefault="00A608CA" w:rsidP="00A608CA">
            <w:pPr>
              <w:keepNext/>
              <w:spacing w:line="240" w:lineRule="auto"/>
              <w:jc w:val="right"/>
              <w:rPr>
                <w:rFonts w:eastAsia="Times New Roman"/>
                <w:color w:val="000000"/>
                <w:sz w:val="20"/>
                <w:szCs w:val="20"/>
              </w:rPr>
            </w:pPr>
            <w:r w:rsidRPr="00022BA7">
              <w:rPr>
                <w:rFonts w:eastAsia="Times New Roman"/>
                <w:color w:val="000000"/>
                <w:sz w:val="20"/>
                <w:szCs w:val="20"/>
              </w:rPr>
              <w:t>2035</w:t>
            </w:r>
          </w:p>
          <w:p w14:paraId="43C33F41" w14:textId="77777777" w:rsidR="00A608CA" w:rsidRPr="00022BA7" w:rsidRDefault="00A608CA" w:rsidP="00A608CA">
            <w:pPr>
              <w:keepNext/>
              <w:spacing w:line="240" w:lineRule="auto"/>
              <w:jc w:val="right"/>
              <w:rPr>
                <w:rFonts w:eastAsia="Times New Roman"/>
                <w:color w:val="000000"/>
                <w:sz w:val="20"/>
              </w:rPr>
            </w:pPr>
          </w:p>
        </w:tc>
        <w:tc>
          <w:tcPr>
            <w:tcW w:w="514" w:type="pct"/>
            <w:tcBorders>
              <w:top w:val="single" w:sz="4" w:space="0" w:color="auto"/>
              <w:left w:val="single" w:sz="4" w:space="0" w:color="auto"/>
              <w:bottom w:val="single" w:sz="4" w:space="0" w:color="auto"/>
              <w:right w:val="single" w:sz="4" w:space="0" w:color="auto"/>
            </w:tcBorders>
            <w:shd w:val="clear" w:color="auto" w:fill="auto"/>
          </w:tcPr>
          <w:p w14:paraId="345E7535"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BAU</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6C34EDE"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 xml:space="preserve"> 207.6 </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2DB5619B" w14:textId="77777777" w:rsidR="00A608CA" w:rsidRPr="00022BA7" w:rsidRDefault="00A608CA" w:rsidP="00A608CA">
            <w:pPr>
              <w:keepNext/>
              <w:spacing w:line="240" w:lineRule="auto"/>
              <w:jc w:val="right"/>
              <w:rPr>
                <w:rFonts w:eastAsia="Times New Roman"/>
                <w:color w:val="000000"/>
                <w:sz w:val="20"/>
              </w:rPr>
            </w:pPr>
            <w:r w:rsidRPr="00022BA7">
              <w:rPr>
                <w:color w:val="000000"/>
                <w:sz w:val="20"/>
                <w:szCs w:val="20"/>
              </w:rPr>
              <w:t xml:space="preserve"> 1.9 </w:t>
            </w:r>
          </w:p>
        </w:tc>
        <w:tc>
          <w:tcPr>
            <w:tcW w:w="570" w:type="pct"/>
            <w:tcBorders>
              <w:top w:val="single" w:sz="4" w:space="0" w:color="auto"/>
              <w:left w:val="single" w:sz="4" w:space="0" w:color="auto"/>
              <w:bottom w:val="single" w:sz="4" w:space="0" w:color="auto"/>
              <w:right w:val="single" w:sz="4" w:space="0" w:color="auto"/>
            </w:tcBorders>
          </w:tcPr>
          <w:p w14:paraId="226E51AD"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87,630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D400F91"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93,933 </w:t>
            </w:r>
          </w:p>
        </w:tc>
        <w:tc>
          <w:tcPr>
            <w:tcW w:w="570" w:type="pct"/>
            <w:tcBorders>
              <w:top w:val="single" w:sz="4" w:space="0" w:color="auto"/>
              <w:left w:val="single" w:sz="4" w:space="0" w:color="auto"/>
              <w:bottom w:val="single" w:sz="4" w:space="0" w:color="auto"/>
              <w:right w:val="single" w:sz="4" w:space="0" w:color="auto"/>
            </w:tcBorders>
          </w:tcPr>
          <w:p w14:paraId="22CC6941" w14:textId="0F16DAE6" w:rsidR="00A608CA" w:rsidRPr="00022BA7" w:rsidRDefault="00A608CA" w:rsidP="00A608CA">
            <w:pPr>
              <w:keepNext/>
              <w:spacing w:line="240" w:lineRule="auto"/>
              <w:jc w:val="right"/>
              <w:rPr>
                <w:color w:val="000000"/>
                <w:sz w:val="20"/>
                <w:szCs w:val="20"/>
              </w:rPr>
            </w:pPr>
            <w:r w:rsidRPr="00A2246B">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18FDEF22" w14:textId="1B5AF192" w:rsidR="00A608CA" w:rsidRPr="00022BA7" w:rsidRDefault="00A608CA" w:rsidP="00A608CA">
            <w:pPr>
              <w:keepNext/>
              <w:spacing w:line="240" w:lineRule="auto"/>
              <w:jc w:val="right"/>
              <w:rPr>
                <w:color w:val="000000"/>
                <w:sz w:val="20"/>
                <w:szCs w:val="20"/>
              </w:rPr>
            </w:pPr>
            <w:r w:rsidRPr="00A2246B">
              <w:rPr>
                <w:color w:val="000000"/>
                <w:sz w:val="20"/>
                <w:szCs w:val="20"/>
              </w:rPr>
              <w:t>-</w:t>
            </w:r>
          </w:p>
        </w:tc>
      </w:tr>
      <w:tr w:rsidR="00A608CA" w:rsidRPr="00022BA7" w14:paraId="1CF4042C" w14:textId="60CBA485"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322B2C2" w14:textId="77777777" w:rsidR="00A608CA" w:rsidRPr="00022BA7" w:rsidRDefault="00A608CA" w:rsidP="00A608CA">
            <w:pPr>
              <w:keepNext/>
              <w:spacing w:line="240" w:lineRule="auto"/>
              <w:jc w:val="right"/>
              <w:rPr>
                <w:color w:val="000000"/>
                <w:sz w:val="20"/>
                <w:szCs w:val="20"/>
              </w:rPr>
            </w:pPr>
          </w:p>
        </w:tc>
        <w:tc>
          <w:tcPr>
            <w:tcW w:w="352" w:type="pct"/>
            <w:vMerge/>
            <w:tcBorders>
              <w:top w:val="single" w:sz="4" w:space="0" w:color="auto"/>
              <w:left w:val="single" w:sz="4" w:space="0" w:color="auto"/>
              <w:bottom w:val="single" w:sz="4" w:space="0" w:color="auto"/>
              <w:right w:val="single" w:sz="4" w:space="0" w:color="auto"/>
            </w:tcBorders>
          </w:tcPr>
          <w:p w14:paraId="1530BC4F" w14:textId="77777777" w:rsidR="00A608CA" w:rsidRPr="00022BA7" w:rsidRDefault="00A608CA" w:rsidP="00A608CA">
            <w:pPr>
              <w:keepNext/>
              <w:spacing w:line="240" w:lineRule="auto"/>
              <w:jc w:val="right"/>
              <w:rPr>
                <w:rFonts w:eastAsia="Times New Roman"/>
                <w:color w:val="000000"/>
                <w:sz w:val="20"/>
                <w:szCs w:val="20"/>
              </w:rPr>
            </w:pPr>
          </w:p>
        </w:tc>
        <w:tc>
          <w:tcPr>
            <w:tcW w:w="514" w:type="pct"/>
            <w:tcBorders>
              <w:top w:val="single" w:sz="4" w:space="0" w:color="auto"/>
              <w:left w:val="single" w:sz="4" w:space="0" w:color="auto"/>
              <w:bottom w:val="single" w:sz="4" w:space="0" w:color="auto"/>
              <w:right w:val="single" w:sz="4" w:space="0" w:color="auto"/>
            </w:tcBorders>
          </w:tcPr>
          <w:p w14:paraId="09B4D1AF"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DEC</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8DCD5C7"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205.3 </w:t>
            </w:r>
          </w:p>
        </w:tc>
        <w:tc>
          <w:tcPr>
            <w:tcW w:w="569" w:type="pct"/>
            <w:tcBorders>
              <w:top w:val="single" w:sz="4" w:space="0" w:color="auto"/>
              <w:left w:val="single" w:sz="4" w:space="0" w:color="auto"/>
              <w:bottom w:val="single" w:sz="4" w:space="0" w:color="auto"/>
              <w:right w:val="single" w:sz="4" w:space="0" w:color="auto"/>
            </w:tcBorders>
          </w:tcPr>
          <w:p w14:paraId="4B021DC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1.8 </w:t>
            </w:r>
          </w:p>
        </w:tc>
        <w:tc>
          <w:tcPr>
            <w:tcW w:w="570" w:type="pct"/>
            <w:tcBorders>
              <w:top w:val="single" w:sz="4" w:space="0" w:color="auto"/>
              <w:left w:val="single" w:sz="4" w:space="0" w:color="auto"/>
              <w:bottom w:val="single" w:sz="4" w:space="0" w:color="auto"/>
              <w:right w:val="single" w:sz="4" w:space="0" w:color="auto"/>
            </w:tcBorders>
          </w:tcPr>
          <w:p w14:paraId="2B3CC664"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85,604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593AA2B"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91,835 </w:t>
            </w:r>
          </w:p>
        </w:tc>
        <w:tc>
          <w:tcPr>
            <w:tcW w:w="570" w:type="pct"/>
            <w:tcBorders>
              <w:top w:val="single" w:sz="4" w:space="0" w:color="auto"/>
              <w:left w:val="single" w:sz="4" w:space="0" w:color="auto"/>
              <w:bottom w:val="single" w:sz="4" w:space="0" w:color="auto"/>
              <w:right w:val="single" w:sz="4" w:space="0" w:color="auto"/>
            </w:tcBorders>
          </w:tcPr>
          <w:p w14:paraId="5D9E5862" w14:textId="7AD87514" w:rsidR="00A608CA" w:rsidRPr="00022BA7" w:rsidRDefault="00A608CA" w:rsidP="00A608CA">
            <w:pPr>
              <w:keepNext/>
              <w:spacing w:line="240" w:lineRule="auto"/>
              <w:jc w:val="right"/>
              <w:rPr>
                <w:color w:val="000000"/>
                <w:sz w:val="20"/>
                <w:szCs w:val="20"/>
              </w:rPr>
            </w:pPr>
            <w:r w:rsidRPr="00A2246B">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7F7372DB" w14:textId="0AF22AA9" w:rsidR="00A608CA" w:rsidRPr="00022BA7" w:rsidRDefault="00A608CA" w:rsidP="00A608CA">
            <w:pPr>
              <w:keepNext/>
              <w:spacing w:line="240" w:lineRule="auto"/>
              <w:jc w:val="right"/>
              <w:rPr>
                <w:color w:val="000000"/>
                <w:sz w:val="20"/>
                <w:szCs w:val="20"/>
              </w:rPr>
            </w:pPr>
            <w:r w:rsidRPr="00A2246B">
              <w:rPr>
                <w:color w:val="000000"/>
                <w:sz w:val="20"/>
                <w:szCs w:val="20"/>
              </w:rPr>
              <w:t>-</w:t>
            </w:r>
          </w:p>
        </w:tc>
      </w:tr>
      <w:tr w:rsidR="00A608CA" w:rsidRPr="00022BA7" w14:paraId="3BA8563C" w14:textId="0B0A3505"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850C993" w14:textId="77777777" w:rsidR="00A608CA" w:rsidRPr="00022BA7" w:rsidRDefault="00A608CA" w:rsidP="00A608CA">
            <w:pPr>
              <w:keepNext/>
              <w:spacing w:line="240" w:lineRule="auto"/>
              <w:jc w:val="right"/>
              <w:rPr>
                <w:color w:val="000000"/>
                <w:sz w:val="20"/>
                <w:szCs w:val="20"/>
              </w:rPr>
            </w:pPr>
          </w:p>
        </w:tc>
        <w:tc>
          <w:tcPr>
            <w:tcW w:w="352" w:type="pct"/>
            <w:vMerge w:val="restart"/>
            <w:tcBorders>
              <w:top w:val="single" w:sz="4" w:space="0" w:color="auto"/>
              <w:left w:val="single" w:sz="4" w:space="0" w:color="auto"/>
              <w:bottom w:val="single" w:sz="4" w:space="0" w:color="auto"/>
              <w:right w:val="single" w:sz="4" w:space="0" w:color="auto"/>
            </w:tcBorders>
          </w:tcPr>
          <w:p w14:paraId="2E51F215" w14:textId="77777777" w:rsidR="00A608CA" w:rsidRPr="00022BA7" w:rsidRDefault="00A608CA" w:rsidP="00A608CA">
            <w:pPr>
              <w:keepNext/>
              <w:spacing w:line="240" w:lineRule="auto"/>
              <w:jc w:val="right"/>
              <w:rPr>
                <w:rFonts w:eastAsia="Times New Roman"/>
                <w:color w:val="000000"/>
                <w:sz w:val="20"/>
                <w:szCs w:val="20"/>
              </w:rPr>
            </w:pPr>
            <w:r w:rsidRPr="00022BA7">
              <w:rPr>
                <w:rFonts w:eastAsia="Times New Roman"/>
                <w:color w:val="000000"/>
                <w:sz w:val="20"/>
                <w:szCs w:val="20"/>
              </w:rPr>
              <w:t>2050</w:t>
            </w:r>
          </w:p>
          <w:p w14:paraId="18C0D5C4" w14:textId="77777777" w:rsidR="00A608CA" w:rsidRPr="00022BA7" w:rsidRDefault="00A608CA" w:rsidP="00A608CA">
            <w:pPr>
              <w:keepNext/>
              <w:spacing w:line="240" w:lineRule="auto"/>
              <w:jc w:val="right"/>
              <w:rPr>
                <w:rFonts w:eastAsia="Times New Roman"/>
                <w:color w:val="000000"/>
                <w:sz w:val="20"/>
                <w:szCs w:val="20"/>
              </w:rPr>
            </w:pPr>
          </w:p>
        </w:tc>
        <w:tc>
          <w:tcPr>
            <w:tcW w:w="514" w:type="pct"/>
            <w:tcBorders>
              <w:top w:val="single" w:sz="4" w:space="0" w:color="auto"/>
              <w:left w:val="single" w:sz="4" w:space="0" w:color="auto"/>
              <w:bottom w:val="single" w:sz="4" w:space="0" w:color="auto"/>
              <w:right w:val="single" w:sz="4" w:space="0" w:color="auto"/>
            </w:tcBorders>
          </w:tcPr>
          <w:p w14:paraId="38D57447"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BAU</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FDAAAD8"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201.8 </w:t>
            </w:r>
          </w:p>
        </w:tc>
        <w:tc>
          <w:tcPr>
            <w:tcW w:w="569" w:type="pct"/>
            <w:tcBorders>
              <w:top w:val="single" w:sz="4" w:space="0" w:color="auto"/>
              <w:left w:val="single" w:sz="4" w:space="0" w:color="auto"/>
              <w:bottom w:val="single" w:sz="4" w:space="0" w:color="auto"/>
              <w:right w:val="single" w:sz="4" w:space="0" w:color="auto"/>
            </w:tcBorders>
          </w:tcPr>
          <w:p w14:paraId="32D9259E"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1.7 </w:t>
            </w:r>
          </w:p>
        </w:tc>
        <w:tc>
          <w:tcPr>
            <w:tcW w:w="570" w:type="pct"/>
            <w:tcBorders>
              <w:top w:val="single" w:sz="4" w:space="0" w:color="auto"/>
              <w:left w:val="single" w:sz="4" w:space="0" w:color="auto"/>
              <w:bottom w:val="single" w:sz="4" w:space="0" w:color="auto"/>
              <w:right w:val="single" w:sz="4" w:space="0" w:color="auto"/>
            </w:tcBorders>
          </w:tcPr>
          <w:p w14:paraId="4F84EFB2"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77,311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9EC5C93"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83,393 </w:t>
            </w:r>
          </w:p>
        </w:tc>
        <w:tc>
          <w:tcPr>
            <w:tcW w:w="570" w:type="pct"/>
            <w:tcBorders>
              <w:top w:val="single" w:sz="4" w:space="0" w:color="auto"/>
              <w:left w:val="single" w:sz="4" w:space="0" w:color="auto"/>
              <w:bottom w:val="single" w:sz="4" w:space="0" w:color="auto"/>
              <w:right w:val="single" w:sz="4" w:space="0" w:color="auto"/>
            </w:tcBorders>
          </w:tcPr>
          <w:p w14:paraId="1D0A0358" w14:textId="5D108410" w:rsidR="00A608CA" w:rsidRPr="00022BA7" w:rsidRDefault="00A608CA" w:rsidP="00A608CA">
            <w:pPr>
              <w:keepNext/>
              <w:spacing w:line="240" w:lineRule="auto"/>
              <w:jc w:val="right"/>
              <w:rPr>
                <w:color w:val="000000"/>
                <w:sz w:val="20"/>
                <w:szCs w:val="20"/>
              </w:rPr>
            </w:pPr>
            <w:r w:rsidRPr="00A2246B">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21A0C53A" w14:textId="075B46DA" w:rsidR="00A608CA" w:rsidRPr="00022BA7" w:rsidRDefault="00A608CA" w:rsidP="00A608CA">
            <w:pPr>
              <w:keepNext/>
              <w:spacing w:line="240" w:lineRule="auto"/>
              <w:jc w:val="right"/>
              <w:rPr>
                <w:color w:val="000000"/>
                <w:sz w:val="20"/>
                <w:szCs w:val="20"/>
              </w:rPr>
            </w:pPr>
            <w:r w:rsidRPr="00A2246B">
              <w:rPr>
                <w:color w:val="000000"/>
                <w:sz w:val="20"/>
                <w:szCs w:val="20"/>
              </w:rPr>
              <w:t>-</w:t>
            </w:r>
          </w:p>
        </w:tc>
      </w:tr>
      <w:tr w:rsidR="00A608CA" w:rsidRPr="00022BA7" w14:paraId="3C296028" w14:textId="2FBB15B1" w:rsidTr="00035F66">
        <w:trPr>
          <w:trHeight w:val="142"/>
        </w:trPr>
        <w:tc>
          <w:tcPr>
            <w:tcW w:w="718" w:type="pct"/>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40105AD" w14:textId="77777777" w:rsidR="00A608CA" w:rsidRPr="00022BA7" w:rsidRDefault="00A608CA" w:rsidP="00A608CA">
            <w:pPr>
              <w:keepNext/>
              <w:spacing w:line="240" w:lineRule="auto"/>
              <w:jc w:val="right"/>
              <w:rPr>
                <w:color w:val="000000"/>
                <w:sz w:val="20"/>
                <w:szCs w:val="20"/>
              </w:rPr>
            </w:pPr>
          </w:p>
        </w:tc>
        <w:tc>
          <w:tcPr>
            <w:tcW w:w="352" w:type="pct"/>
            <w:vMerge/>
            <w:tcBorders>
              <w:top w:val="single" w:sz="4" w:space="0" w:color="auto"/>
              <w:left w:val="single" w:sz="4" w:space="0" w:color="auto"/>
              <w:bottom w:val="single" w:sz="4" w:space="0" w:color="auto"/>
              <w:right w:val="single" w:sz="4" w:space="0" w:color="auto"/>
            </w:tcBorders>
          </w:tcPr>
          <w:p w14:paraId="76439B6E" w14:textId="77777777" w:rsidR="00A608CA" w:rsidRPr="00022BA7" w:rsidRDefault="00A608CA" w:rsidP="00A608CA">
            <w:pPr>
              <w:keepNext/>
              <w:spacing w:line="240" w:lineRule="auto"/>
              <w:jc w:val="right"/>
              <w:rPr>
                <w:rFonts w:eastAsia="Times New Roman"/>
                <w:color w:val="000000"/>
                <w:sz w:val="20"/>
                <w:szCs w:val="20"/>
              </w:rPr>
            </w:pPr>
          </w:p>
        </w:tc>
        <w:tc>
          <w:tcPr>
            <w:tcW w:w="514" w:type="pct"/>
            <w:tcBorders>
              <w:top w:val="single" w:sz="4" w:space="0" w:color="auto"/>
              <w:left w:val="single" w:sz="4" w:space="0" w:color="auto"/>
              <w:bottom w:val="single" w:sz="4" w:space="0" w:color="auto"/>
              <w:right w:val="single" w:sz="4" w:space="0" w:color="auto"/>
            </w:tcBorders>
          </w:tcPr>
          <w:p w14:paraId="1AAEC625"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DEC</w:t>
            </w:r>
          </w:p>
        </w:tc>
        <w:tc>
          <w:tcPr>
            <w:tcW w:w="569"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DF44498"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163.0 </w:t>
            </w:r>
          </w:p>
        </w:tc>
        <w:tc>
          <w:tcPr>
            <w:tcW w:w="569" w:type="pct"/>
            <w:tcBorders>
              <w:top w:val="single" w:sz="4" w:space="0" w:color="auto"/>
              <w:left w:val="single" w:sz="4" w:space="0" w:color="auto"/>
              <w:bottom w:val="single" w:sz="4" w:space="0" w:color="auto"/>
              <w:right w:val="single" w:sz="4" w:space="0" w:color="auto"/>
            </w:tcBorders>
          </w:tcPr>
          <w:p w14:paraId="5EF85C2D"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1.5 </w:t>
            </w:r>
          </w:p>
        </w:tc>
        <w:tc>
          <w:tcPr>
            <w:tcW w:w="570" w:type="pct"/>
            <w:tcBorders>
              <w:top w:val="single" w:sz="4" w:space="0" w:color="auto"/>
              <w:left w:val="single" w:sz="4" w:space="0" w:color="auto"/>
              <w:bottom w:val="single" w:sz="4" w:space="0" w:color="auto"/>
              <w:right w:val="single" w:sz="4" w:space="0" w:color="auto"/>
            </w:tcBorders>
          </w:tcPr>
          <w:p w14:paraId="78F505D5"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58,534 </w:t>
            </w:r>
          </w:p>
        </w:tc>
        <w:tc>
          <w:tcPr>
            <w:tcW w:w="570" w:type="pc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AEDB443" w14:textId="77777777" w:rsidR="00A608CA" w:rsidRPr="00022BA7" w:rsidRDefault="00A608CA" w:rsidP="00A608CA">
            <w:pPr>
              <w:keepNext/>
              <w:spacing w:line="240" w:lineRule="auto"/>
              <w:jc w:val="right"/>
              <w:rPr>
                <w:color w:val="000000"/>
                <w:sz w:val="20"/>
                <w:szCs w:val="20"/>
              </w:rPr>
            </w:pPr>
            <w:r w:rsidRPr="00022BA7">
              <w:rPr>
                <w:color w:val="000000"/>
                <w:sz w:val="20"/>
                <w:szCs w:val="20"/>
              </w:rPr>
              <w:t xml:space="preserve"> 63,479 </w:t>
            </w:r>
          </w:p>
        </w:tc>
        <w:tc>
          <w:tcPr>
            <w:tcW w:w="570" w:type="pct"/>
            <w:tcBorders>
              <w:top w:val="single" w:sz="4" w:space="0" w:color="auto"/>
              <w:left w:val="single" w:sz="4" w:space="0" w:color="auto"/>
              <w:bottom w:val="single" w:sz="4" w:space="0" w:color="auto"/>
              <w:right w:val="single" w:sz="4" w:space="0" w:color="auto"/>
            </w:tcBorders>
          </w:tcPr>
          <w:p w14:paraId="39B7F42C" w14:textId="5DA74722" w:rsidR="00A608CA" w:rsidRPr="00022BA7" w:rsidRDefault="00A608CA" w:rsidP="00A608CA">
            <w:pPr>
              <w:keepNext/>
              <w:spacing w:line="240" w:lineRule="auto"/>
              <w:jc w:val="right"/>
              <w:rPr>
                <w:color w:val="000000"/>
                <w:sz w:val="20"/>
                <w:szCs w:val="20"/>
              </w:rPr>
            </w:pPr>
            <w:r w:rsidRPr="00A2246B">
              <w:rPr>
                <w:color w:val="000000"/>
                <w:sz w:val="20"/>
                <w:szCs w:val="20"/>
              </w:rPr>
              <w:t>-</w:t>
            </w:r>
          </w:p>
        </w:tc>
        <w:tc>
          <w:tcPr>
            <w:tcW w:w="568" w:type="pct"/>
            <w:tcBorders>
              <w:top w:val="single" w:sz="4" w:space="0" w:color="auto"/>
              <w:left w:val="single" w:sz="4" w:space="0" w:color="auto"/>
              <w:bottom w:val="single" w:sz="4" w:space="0" w:color="auto"/>
              <w:right w:val="single" w:sz="4" w:space="0" w:color="auto"/>
            </w:tcBorders>
          </w:tcPr>
          <w:p w14:paraId="373BF60D" w14:textId="53B9C82D" w:rsidR="00A608CA" w:rsidRPr="00022BA7" w:rsidRDefault="00A608CA" w:rsidP="00A608CA">
            <w:pPr>
              <w:keepNext/>
              <w:spacing w:line="240" w:lineRule="auto"/>
              <w:jc w:val="right"/>
              <w:rPr>
                <w:color w:val="000000"/>
                <w:sz w:val="20"/>
                <w:szCs w:val="20"/>
              </w:rPr>
            </w:pPr>
            <w:r w:rsidRPr="00A2246B">
              <w:rPr>
                <w:color w:val="000000"/>
                <w:sz w:val="20"/>
                <w:szCs w:val="20"/>
              </w:rPr>
              <w:t>-</w:t>
            </w:r>
          </w:p>
        </w:tc>
      </w:tr>
    </w:tbl>
    <w:p w14:paraId="1A5AB513" w14:textId="452CF807" w:rsidR="00DB6F74" w:rsidRPr="00022BA7" w:rsidRDefault="00DB6F74" w:rsidP="00DB6F74">
      <w:pPr>
        <w:rPr>
          <w:sz w:val="18"/>
        </w:rPr>
      </w:pPr>
      <w:proofErr w:type="spellStart"/>
      <w:r w:rsidRPr="00022BA7">
        <w:rPr>
          <w:sz w:val="18"/>
        </w:rPr>
        <w:t>a</w:t>
      </w:r>
      <w:proofErr w:type="spellEnd"/>
      <w:r w:rsidRPr="00022BA7">
        <w:rPr>
          <w:sz w:val="18"/>
        </w:rPr>
        <w:t xml:space="preserve"> Authors</w:t>
      </w:r>
      <w:r>
        <w:rPr>
          <w:sz w:val="18"/>
        </w:rPr>
        <w:t>’</w:t>
      </w:r>
      <w:r w:rsidRPr="00022BA7">
        <w:rPr>
          <w:sz w:val="18"/>
        </w:rPr>
        <w:t xml:space="preserve"> work</w:t>
      </w:r>
      <w:r w:rsidRPr="00022BA7" w:rsidDel="003056B2">
        <w:rPr>
          <w:sz w:val="18"/>
        </w:rPr>
        <w:t xml:space="preserve"> </w:t>
      </w:r>
      <w:r w:rsidRPr="00022BA7">
        <w:rPr>
          <w:sz w:val="18"/>
        </w:rPr>
        <w:t>based on</w:t>
      </w:r>
      <w:r>
        <w:rPr>
          <w:sz w:val="18"/>
        </w:rPr>
        <w:t xml:space="preserve"> </w:t>
      </w:r>
      <w:r w:rsidRPr="00022BA7">
        <w:rPr>
          <w:sz w:val="18"/>
        </w:rPr>
        <w:t>GREET</w:t>
      </w:r>
      <w:r w:rsidR="004321DC">
        <w:rPr>
          <w:sz w:val="18"/>
        </w:rPr>
        <w:fldChar w:fldCharType="begin"/>
      </w:r>
      <w:r w:rsidR="00F33969">
        <w:rPr>
          <w:sz w:val="18"/>
        </w:rPr>
        <w:instrText xml:space="preserve"> ADDIN ZOTERO_ITEM CSL_CITATION {"citationID":"uliZCgzR","properties":{"formattedCitation":"\\super 20\\nosupersub{}","plainCitation":"20","noteIndex":0},"citationItems":[{"id":284,"uris":["http://zotero.org/users/12468222/items/7AQLLKT9"],"itemData":{"id":284,"type":"report","abstract":"The GREET® (Greenhouse gases, Regulated Emissions, and Energy use in Technologies) model has been developed by Argonne National Laboratory (Argonne) with the support of the U.S. Department of Energy (DOE). GREET is a life-cycle analysis (LCA) tool, structured to systematically examine the energy and environmental effects of a wide variety of transportation fuels and vehicle technologies in major transportation sectors (i.e., road, air, marine, and rail) and other end-use sectors, and energy systems. Within the transportation sector, GREET covers road, air, water, and rail transportation sub-sectors. Recently, GREET was expanded to cover the building sector. Historically, GREET includes LCA of various materials such as steel, aluminum, cement, and different plastic types. Argonne has expanded and updated the model in various sectors in GREET 2021, and this report provides a summary of the release.","language":"English","note":"DOI: 10.2172/1824336","number":"ANL/ESD-21/16","publisher":"Argonne National Lab. (ANL), Argonne, IL (United States)","source":"www.osti.gov","title":"Summary of Expansions and Updates in GREET® 2021","URL":"https://www.osti.gov/biblio/1824336","author":[{"family":"Wang","given":"Michael"},{"family":"Elgowainy","given":"Amgad"},{"family":"Lee","given":"Uisung"},{"family":"Bafana","given":"Adarsh"},{"family":"Banerjee","given":"Sudhanya"},{"family":"Benavides","given":"Pahola Thathiana"},{"family":"Bobba","given":"Pallavi"},{"family":"Burnham","given":"Andrew"},{"family":"Cai","given":"Hao"},{"family":"Gracida-Alvarez","given":"Ulises R."},{"family":"Hawkins","given":"Troy R."},{"family":"Iyer","given":"Rakesh Krishnamoorthy"},{"family":"Kelly","given":"Jarod C."},{"family":"Kim","given":"Taemin"},{"family":"Kingsbury","given":"Kathryn"},{"family":"Kwon","given":"Hoyoung"},{"family":"Li","given":"Yuan"},{"family":"Liu","given":"Xinyu"},{"family":"Lu","given":"Zifeng"},{"family":"Ou","given":"Longwen"},{"family":"Siddique","given":"Nazib"},{"family":"Sun","given":"Pingping"},{"family":"Vyawahare","given":"Pradeep"},{"family":"Winjobi","given":"Olumide"},{"family":"Wu","given":"May"},{"family":"Xu","given":"Hui"},{"family":"Yoo","given":"Eunji"},{"family":"Zaimes","given":"George G."},{"family":"Zang","given":"Guiyan"}],"accessed":{"date-parts":[["2023",9,26]]},"issued":{"date-parts":[["2021",10,1]]}}}],"schema":"https://github.com/citation-style-language/schema/raw/master/csl-citation.json"} </w:instrText>
      </w:r>
      <w:r w:rsidR="004321DC">
        <w:rPr>
          <w:sz w:val="18"/>
        </w:rPr>
        <w:fldChar w:fldCharType="separate"/>
      </w:r>
      <w:r w:rsidR="00F33969" w:rsidRPr="00F33969">
        <w:rPr>
          <w:rFonts w:cs="Times New Roman"/>
          <w:sz w:val="18"/>
          <w:szCs w:val="24"/>
          <w:vertAlign w:val="superscript"/>
        </w:rPr>
        <w:t>20</w:t>
      </w:r>
      <w:r w:rsidR="004321DC">
        <w:rPr>
          <w:sz w:val="18"/>
        </w:rPr>
        <w:fldChar w:fldCharType="end"/>
      </w:r>
      <w:r w:rsidRPr="00022BA7">
        <w:rPr>
          <w:sz w:val="18"/>
        </w:rPr>
        <w:t xml:space="preserve"> and Cambium</w:t>
      </w:r>
      <w:r w:rsidR="00DB5440">
        <w:rPr>
          <w:sz w:val="18"/>
        </w:rPr>
        <w:fldChar w:fldCharType="begin"/>
      </w:r>
      <w:r w:rsidR="00F33969">
        <w:rPr>
          <w:sz w:val="18"/>
        </w:rPr>
        <w:instrText xml:space="preserve"> ADDIN ZOTERO_ITEM CSL_CITATION {"citationID":"EDSZRbnG","properties":{"formattedCitation":"\\super 22\\nosupersub{}","plainCitation":"22","noteIndex":0},"citationItems":[{"id":200,"uris":["http://zotero.org/users/12468222/items/UHPJPMWV"],"itemData":{"id":200,"type":"article-journal","container-title":"Renewable Energy","language":"en","source":"Zotero","title":"Cambium Documentation: Version 2021","author":[{"family":"Gagnon","given":"Pieter"},{"family":"Frazier","given":"Will"},{"family":"Cole","given":"Wesley"},{"family":"Hale","given":"Elaine"}],"issued":{"date-parts":[["2021"]]}}}],"schema":"https://github.com/citation-style-language/schema/raw/master/csl-citation.json"} </w:instrText>
      </w:r>
      <w:r w:rsidR="00DB5440">
        <w:rPr>
          <w:sz w:val="18"/>
        </w:rPr>
        <w:fldChar w:fldCharType="separate"/>
      </w:r>
      <w:r w:rsidR="00F33969" w:rsidRPr="00F33969">
        <w:rPr>
          <w:rFonts w:cs="Times New Roman"/>
          <w:sz w:val="18"/>
          <w:szCs w:val="24"/>
          <w:vertAlign w:val="superscript"/>
        </w:rPr>
        <w:t>22</w:t>
      </w:r>
      <w:r w:rsidR="00DB5440">
        <w:rPr>
          <w:sz w:val="18"/>
        </w:rPr>
        <w:fldChar w:fldCharType="end"/>
      </w:r>
      <w:r>
        <w:rPr>
          <w:sz w:val="18"/>
        </w:rPr>
        <w:t xml:space="preserve"> </w:t>
      </w:r>
      <w:r w:rsidRPr="00022BA7">
        <w:rPr>
          <w:sz w:val="18"/>
        </w:rPr>
        <w:t>model</w:t>
      </w:r>
      <w:r>
        <w:rPr>
          <w:sz w:val="18"/>
        </w:rPr>
        <w:t>s.</w:t>
      </w:r>
    </w:p>
    <w:p w14:paraId="24E16BE0" w14:textId="0989FC9B" w:rsidR="00DB6F74" w:rsidRDefault="00DB6F74" w:rsidP="00DB6F74">
      <w:pPr>
        <w:rPr>
          <w:sz w:val="18"/>
        </w:rPr>
      </w:pPr>
      <w:r>
        <w:rPr>
          <w:sz w:val="18"/>
        </w:rPr>
        <w:t>b</w:t>
      </w:r>
      <w:r w:rsidRPr="00022BA7">
        <w:rPr>
          <w:sz w:val="18"/>
        </w:rPr>
        <w:t xml:space="preserve"> </w:t>
      </w:r>
      <w:r>
        <w:rPr>
          <w:sz w:val="18"/>
        </w:rPr>
        <w:t xml:space="preserve">Using the </w:t>
      </w:r>
      <w:r w:rsidRPr="00022BA7">
        <w:rPr>
          <w:sz w:val="18"/>
        </w:rPr>
        <w:t>National Renewable Energy Laboratory</w:t>
      </w:r>
      <w:r>
        <w:rPr>
          <w:sz w:val="18"/>
        </w:rPr>
        <w:t>’</w:t>
      </w:r>
      <w:r w:rsidRPr="00022BA7">
        <w:rPr>
          <w:sz w:val="18"/>
        </w:rPr>
        <w:t>s Cambium model</w:t>
      </w:r>
      <w:r w:rsidR="000E1583">
        <w:rPr>
          <w:sz w:val="18"/>
        </w:rPr>
        <w:fldChar w:fldCharType="begin"/>
      </w:r>
      <w:r w:rsidR="00F33969">
        <w:rPr>
          <w:sz w:val="18"/>
        </w:rPr>
        <w:instrText xml:space="preserve"> ADDIN ZOTERO_ITEM CSL_CITATION {"citationID":"kZZTj6EI","properties":{"formattedCitation":"\\super 22\\nosupersub{}","plainCitation":"22","noteIndex":0},"citationItems":[{"id":200,"uris":["http://zotero.org/users/12468222/items/UHPJPMWV"],"itemData":{"id":200,"type":"article-journal","container-title":"Renewable Energy","language":"en","source":"Zotero","title":"Cambium Documentation: Version 2021","author":[{"family":"Gagnon","given":"Pieter"},{"family":"Frazier","given":"Will"},{"family":"Cole","given":"Wesley"},{"family":"Hale","given":"Elaine"}],"issued":{"date-parts":[["2021"]]}}}],"schema":"https://github.com/citation-style-language/schema/raw/master/csl-citation.json"} </w:instrText>
      </w:r>
      <w:r w:rsidR="000E1583">
        <w:rPr>
          <w:sz w:val="18"/>
        </w:rPr>
        <w:fldChar w:fldCharType="separate"/>
      </w:r>
      <w:r w:rsidR="00F33969" w:rsidRPr="00F33969">
        <w:rPr>
          <w:rFonts w:cs="Times New Roman"/>
          <w:sz w:val="18"/>
          <w:szCs w:val="24"/>
          <w:vertAlign w:val="superscript"/>
        </w:rPr>
        <w:t>22</w:t>
      </w:r>
      <w:r w:rsidR="000E1583">
        <w:rPr>
          <w:sz w:val="18"/>
        </w:rPr>
        <w:fldChar w:fldCharType="end"/>
      </w:r>
      <w:r w:rsidR="000E1583">
        <w:rPr>
          <w:sz w:val="18"/>
        </w:rPr>
        <w:t xml:space="preserve"> </w:t>
      </w:r>
      <w:r w:rsidRPr="00022BA7">
        <w:rPr>
          <w:sz w:val="18"/>
        </w:rPr>
        <w:t xml:space="preserve">for a </w:t>
      </w:r>
      <w:r>
        <w:rPr>
          <w:sz w:val="18"/>
        </w:rPr>
        <w:t>“</w:t>
      </w:r>
      <w:r w:rsidRPr="00022BA7">
        <w:rPr>
          <w:sz w:val="18"/>
        </w:rPr>
        <w:t>Business as Usual (BAU)</w:t>
      </w:r>
      <w:r>
        <w:rPr>
          <w:sz w:val="18"/>
        </w:rPr>
        <w:t>”</w:t>
      </w:r>
      <w:r w:rsidRPr="00022BA7">
        <w:rPr>
          <w:sz w:val="18"/>
        </w:rPr>
        <w:t xml:space="preserve"> scenario (defined by NREL as the </w:t>
      </w:r>
      <w:r>
        <w:rPr>
          <w:sz w:val="18"/>
        </w:rPr>
        <w:t>“</w:t>
      </w:r>
      <w:r w:rsidRPr="00022BA7">
        <w:rPr>
          <w:sz w:val="18"/>
        </w:rPr>
        <w:t>Mid-case</w:t>
      </w:r>
      <w:r>
        <w:rPr>
          <w:sz w:val="18"/>
        </w:rPr>
        <w:t>”</w:t>
      </w:r>
      <w:r w:rsidRPr="00022BA7">
        <w:rPr>
          <w:sz w:val="18"/>
        </w:rPr>
        <w:t xml:space="preserve">) and a </w:t>
      </w:r>
      <w:r>
        <w:rPr>
          <w:sz w:val="18"/>
        </w:rPr>
        <w:t>“</w:t>
      </w:r>
      <w:r w:rsidRPr="00022BA7">
        <w:rPr>
          <w:sz w:val="18"/>
        </w:rPr>
        <w:t xml:space="preserve">95% electricity decarbonization by 2050 </w:t>
      </w:r>
      <w:r w:rsidRPr="000A5842">
        <w:rPr>
          <w:sz w:val="18"/>
        </w:rPr>
        <w:t>(DEC)</w:t>
      </w:r>
      <w:r>
        <w:rPr>
          <w:sz w:val="18"/>
        </w:rPr>
        <w:t>”</w:t>
      </w:r>
      <w:r w:rsidRPr="00022BA7">
        <w:rPr>
          <w:sz w:val="18"/>
        </w:rPr>
        <w:t xml:space="preserve"> scenario (</w:t>
      </w:r>
      <w:r>
        <w:rPr>
          <w:sz w:val="18"/>
        </w:rPr>
        <w:t>“</w:t>
      </w:r>
      <w:r w:rsidR="004C3D69" w:rsidRPr="004C3D69">
        <w:rPr>
          <w:sz w:val="18"/>
        </w:rPr>
        <w:t>Mid-case with 95% decarbonization by 2050</w:t>
      </w:r>
      <w:r w:rsidR="004C3D69" w:rsidRPr="004C3D69" w:rsidDel="004C3D69">
        <w:rPr>
          <w:sz w:val="18"/>
        </w:rPr>
        <w:t xml:space="preserve"> </w:t>
      </w:r>
      <w:r>
        <w:rPr>
          <w:sz w:val="18"/>
        </w:rPr>
        <w:t>”</w:t>
      </w:r>
      <w:r w:rsidRPr="00022BA7">
        <w:rPr>
          <w:sz w:val="18"/>
        </w:rPr>
        <w:t>)</w:t>
      </w:r>
      <w:r>
        <w:rPr>
          <w:sz w:val="18"/>
        </w:rPr>
        <w:t>.</w:t>
      </w:r>
    </w:p>
    <w:p w14:paraId="1E54D061" w14:textId="76F43F45" w:rsidR="00B868BB" w:rsidRDefault="00DB6F74" w:rsidP="00DB6F74">
      <w:pPr>
        <w:rPr>
          <w:color w:val="1F497D" w:themeColor="text2"/>
        </w:rPr>
      </w:pPr>
      <w:r>
        <w:rPr>
          <w:sz w:val="18"/>
        </w:rPr>
        <w:br w:type="page"/>
      </w:r>
    </w:p>
    <w:p w14:paraId="0C3CD7AA" w14:textId="042E8BEA" w:rsidR="0097383D" w:rsidRPr="00022BA7" w:rsidRDefault="00995F0B" w:rsidP="0097383D">
      <w:pPr>
        <w:pStyle w:val="Caption"/>
        <w:keepNext/>
        <w:spacing w:line="240" w:lineRule="auto"/>
      </w:pPr>
      <w:bookmarkStart w:id="131" w:name="_Ref144853784"/>
      <w:bookmarkStart w:id="132" w:name="_Toc146723142"/>
      <w:r>
        <w:t xml:space="preserve">Supplementary </w:t>
      </w:r>
      <w:r w:rsidR="0097383D" w:rsidRPr="00022BA7">
        <w:t xml:space="preserve">Table </w:t>
      </w:r>
      <w:r w:rsidR="00590C69">
        <w:fldChar w:fldCharType="begin"/>
      </w:r>
      <w:r w:rsidR="00590C69">
        <w:instrText xml:space="preserve"> SEQ Table \* ARABIC </w:instrText>
      </w:r>
      <w:r w:rsidR="00590C69">
        <w:fldChar w:fldCharType="separate"/>
      </w:r>
      <w:r w:rsidR="00C661AC">
        <w:rPr>
          <w:noProof/>
        </w:rPr>
        <w:t>17</w:t>
      </w:r>
      <w:r w:rsidR="00590C69">
        <w:rPr>
          <w:noProof/>
        </w:rPr>
        <w:fldChar w:fldCharType="end"/>
      </w:r>
      <w:bookmarkEnd w:id="131"/>
      <w:r w:rsidR="0097383D" w:rsidRPr="00022BA7">
        <w:rPr>
          <w:noProof/>
        </w:rPr>
        <w:t>.</w:t>
      </w:r>
      <w:r w:rsidR="0097383D" w:rsidRPr="00022BA7">
        <w:t xml:space="preserve"> Parameters Used in Economic Feasibility Assessment</w:t>
      </w:r>
      <w:bookmarkEnd w:id="132"/>
    </w:p>
    <w:tbl>
      <w:tblPr>
        <w:tblW w:w="9625" w:type="dxa"/>
        <w:tblLayout w:type="fixed"/>
        <w:tblCellMar>
          <w:top w:w="14" w:type="dxa"/>
          <w:left w:w="72" w:type="dxa"/>
          <w:bottom w:w="14" w:type="dxa"/>
          <w:right w:w="14" w:type="dxa"/>
        </w:tblCellMar>
        <w:tblLook w:val="0620" w:firstRow="1" w:lastRow="0" w:firstColumn="0" w:lastColumn="0" w:noHBand="1" w:noVBand="1"/>
      </w:tblPr>
      <w:tblGrid>
        <w:gridCol w:w="1525"/>
        <w:gridCol w:w="740"/>
        <w:gridCol w:w="790"/>
        <w:gridCol w:w="900"/>
        <w:gridCol w:w="1080"/>
        <w:gridCol w:w="990"/>
        <w:gridCol w:w="3600"/>
      </w:tblGrid>
      <w:tr w:rsidR="0097383D" w:rsidRPr="00022BA7" w14:paraId="73E0428E" w14:textId="77777777" w:rsidTr="0067573D">
        <w:trPr>
          <w:cantSplit/>
          <w:trHeight w:val="20"/>
          <w:tblHeader/>
        </w:trPr>
        <w:tc>
          <w:tcPr>
            <w:tcW w:w="1525" w:type="dxa"/>
            <w:vMerge w:val="restart"/>
            <w:tcBorders>
              <w:top w:val="single" w:sz="18" w:space="0" w:color="auto"/>
              <w:left w:val="single" w:sz="4" w:space="0" w:color="auto"/>
              <w:right w:val="single" w:sz="4" w:space="0" w:color="auto"/>
            </w:tcBorders>
            <w:shd w:val="clear" w:color="auto" w:fill="F2F2F2" w:themeFill="background1" w:themeFillShade="F2"/>
            <w:tcMar>
              <w:top w:w="72" w:type="dxa"/>
              <w:left w:w="144" w:type="dxa"/>
              <w:bottom w:w="72" w:type="dxa"/>
              <w:right w:w="144" w:type="dxa"/>
            </w:tcMar>
            <w:vAlign w:val="center"/>
          </w:tcPr>
          <w:p w14:paraId="152A3EDF" w14:textId="77777777" w:rsidR="0097383D" w:rsidRPr="00022BA7" w:rsidRDefault="0097383D" w:rsidP="0067573D">
            <w:pPr>
              <w:jc w:val="center"/>
              <w:rPr>
                <w:b/>
                <w:sz w:val="16"/>
              </w:rPr>
            </w:pPr>
            <w:r w:rsidRPr="00022BA7">
              <w:rPr>
                <w:b/>
                <w:sz w:val="16"/>
              </w:rPr>
              <w:t>Parameters</w:t>
            </w:r>
            <w:r w:rsidRPr="00022BA7">
              <w:rPr>
                <w:b/>
                <w:bCs/>
                <w:sz w:val="16"/>
                <w:szCs w:val="16"/>
              </w:rPr>
              <w:t xml:space="preserve"> (Unit)</w:t>
            </w:r>
          </w:p>
        </w:tc>
        <w:tc>
          <w:tcPr>
            <w:tcW w:w="740" w:type="dxa"/>
            <w:vMerge w:val="restart"/>
            <w:tcBorders>
              <w:top w:val="single" w:sz="18" w:space="0" w:color="auto"/>
              <w:left w:val="single" w:sz="4" w:space="0" w:color="auto"/>
              <w:right w:val="single" w:sz="4" w:space="0" w:color="auto"/>
            </w:tcBorders>
            <w:shd w:val="clear" w:color="auto" w:fill="F2F2F2" w:themeFill="background1" w:themeFillShade="F2"/>
            <w:vAlign w:val="center"/>
          </w:tcPr>
          <w:p w14:paraId="10BAA7A3" w14:textId="77777777" w:rsidR="0097383D" w:rsidRPr="00022BA7" w:rsidRDefault="0097383D" w:rsidP="0067573D">
            <w:pPr>
              <w:jc w:val="center"/>
              <w:rPr>
                <w:b/>
                <w:sz w:val="16"/>
              </w:rPr>
            </w:pPr>
            <w:r w:rsidRPr="00022BA7">
              <w:rPr>
                <w:b/>
                <w:sz w:val="16"/>
              </w:rPr>
              <w:t>Symbol</w:t>
            </w:r>
          </w:p>
        </w:tc>
        <w:tc>
          <w:tcPr>
            <w:tcW w:w="3760" w:type="dxa"/>
            <w:gridSpan w:val="4"/>
            <w:tcBorders>
              <w:top w:val="single" w:sz="18" w:space="0" w:color="auto"/>
              <w:left w:val="single" w:sz="4" w:space="0" w:color="auto"/>
              <w:right w:val="single" w:sz="4" w:space="0" w:color="auto"/>
            </w:tcBorders>
            <w:shd w:val="clear" w:color="auto" w:fill="F2F2F2" w:themeFill="background1" w:themeFillShade="F2"/>
            <w:tcMar>
              <w:top w:w="72" w:type="dxa"/>
              <w:left w:w="144" w:type="dxa"/>
              <w:bottom w:w="72" w:type="dxa"/>
              <w:right w:w="144" w:type="dxa"/>
            </w:tcMar>
            <w:vAlign w:val="bottom"/>
          </w:tcPr>
          <w:p w14:paraId="63BDDBA6" w14:textId="77777777" w:rsidR="0097383D" w:rsidRPr="00022BA7" w:rsidRDefault="0097383D" w:rsidP="0067573D">
            <w:pPr>
              <w:jc w:val="center"/>
              <w:rPr>
                <w:b/>
                <w:sz w:val="16"/>
              </w:rPr>
            </w:pPr>
            <w:r w:rsidRPr="00022BA7">
              <w:rPr>
                <w:b/>
                <w:bCs/>
                <w:sz w:val="16"/>
                <w:szCs w:val="16"/>
              </w:rPr>
              <w:t>Scenario (</w:t>
            </w:r>
            <m:oMath>
              <m:r>
                <m:rPr>
                  <m:sty m:val="bi"/>
                </m:rPr>
                <w:rPr>
                  <w:rFonts w:ascii="Cambria Math" w:hAnsi="Cambria Math"/>
                  <w:sz w:val="16"/>
                  <w:szCs w:val="16"/>
                </w:rPr>
                <m:t>sc</m:t>
              </m:r>
            </m:oMath>
            <w:r w:rsidRPr="00022BA7">
              <w:rPr>
                <w:b/>
                <w:bCs/>
                <w:sz w:val="16"/>
                <w:szCs w:val="16"/>
              </w:rPr>
              <w:t>)</w:t>
            </w:r>
          </w:p>
        </w:tc>
        <w:tc>
          <w:tcPr>
            <w:tcW w:w="3600" w:type="dxa"/>
            <w:vMerge w:val="restart"/>
            <w:tcBorders>
              <w:top w:val="single" w:sz="18" w:space="0" w:color="auto"/>
              <w:left w:val="single" w:sz="4" w:space="0" w:color="auto"/>
              <w:bottom w:val="single" w:sz="4" w:space="0" w:color="auto"/>
              <w:right w:val="single" w:sz="4" w:space="0" w:color="auto"/>
            </w:tcBorders>
            <w:shd w:val="clear" w:color="auto" w:fill="F2F2F2" w:themeFill="background1" w:themeFillShade="F2"/>
            <w:tcMar>
              <w:top w:w="72" w:type="dxa"/>
              <w:left w:w="144" w:type="dxa"/>
              <w:bottom w:w="72" w:type="dxa"/>
              <w:right w:w="144" w:type="dxa"/>
            </w:tcMar>
            <w:vAlign w:val="center"/>
          </w:tcPr>
          <w:p w14:paraId="05A05B6E" w14:textId="77777777" w:rsidR="0097383D" w:rsidRPr="00022BA7" w:rsidRDefault="0097383D" w:rsidP="0067573D">
            <w:pPr>
              <w:jc w:val="center"/>
              <w:rPr>
                <w:b/>
                <w:sz w:val="16"/>
              </w:rPr>
            </w:pPr>
            <w:r w:rsidRPr="00022BA7">
              <w:rPr>
                <w:b/>
                <w:bCs/>
                <w:sz w:val="16"/>
                <w:szCs w:val="16"/>
              </w:rPr>
              <w:t>Notes</w:t>
            </w:r>
          </w:p>
        </w:tc>
      </w:tr>
      <w:tr w:rsidR="0097383D" w:rsidRPr="00022BA7" w14:paraId="4720EACE" w14:textId="77777777" w:rsidTr="0067573D">
        <w:trPr>
          <w:cantSplit/>
          <w:trHeight w:val="20"/>
          <w:tblHeader/>
        </w:trPr>
        <w:tc>
          <w:tcPr>
            <w:tcW w:w="1525" w:type="dxa"/>
            <w:vMerge/>
            <w:tcBorders>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hideMark/>
          </w:tcPr>
          <w:p w14:paraId="7D66393E" w14:textId="77777777" w:rsidR="0097383D" w:rsidRPr="00022BA7" w:rsidRDefault="0097383D" w:rsidP="0067573D">
            <w:pPr>
              <w:jc w:val="center"/>
              <w:rPr>
                <w:sz w:val="16"/>
                <w:szCs w:val="16"/>
              </w:rPr>
            </w:pPr>
          </w:p>
        </w:tc>
        <w:tc>
          <w:tcPr>
            <w:tcW w:w="740" w:type="dxa"/>
            <w:vMerge/>
            <w:tcBorders>
              <w:left w:val="single" w:sz="4" w:space="0" w:color="auto"/>
              <w:bottom w:val="single" w:sz="18" w:space="0" w:color="auto"/>
              <w:right w:val="single" w:sz="4" w:space="0" w:color="auto"/>
            </w:tcBorders>
            <w:shd w:val="clear" w:color="auto" w:fill="F2F2F2" w:themeFill="background1" w:themeFillShade="F2"/>
          </w:tcPr>
          <w:p w14:paraId="55AF02DF" w14:textId="77777777" w:rsidR="0097383D" w:rsidRPr="00022BA7" w:rsidRDefault="0097383D" w:rsidP="0067573D">
            <w:pPr>
              <w:jc w:val="center"/>
              <w:rPr>
                <w:b/>
                <w:bCs/>
                <w:sz w:val="16"/>
                <w:szCs w:val="16"/>
              </w:rPr>
            </w:pPr>
          </w:p>
        </w:tc>
        <w:tc>
          <w:tcPr>
            <w:tcW w:w="790" w:type="dxa"/>
            <w:tcBorders>
              <w:top w:val="single" w:sz="4" w:space="0" w:color="auto"/>
              <w:left w:val="single" w:sz="4" w:space="0" w:color="auto"/>
              <w:bottom w:val="single" w:sz="18" w:space="0" w:color="auto"/>
              <w:right w:val="single" w:sz="4" w:space="0" w:color="auto"/>
            </w:tcBorders>
            <w:shd w:val="clear" w:color="auto" w:fill="F2F2F2" w:themeFill="background1" w:themeFillShade="F2"/>
            <w:tcMar>
              <w:top w:w="72" w:type="dxa"/>
              <w:left w:w="144" w:type="dxa"/>
              <w:bottom w:w="72" w:type="dxa"/>
              <w:right w:w="144" w:type="dxa"/>
            </w:tcMar>
            <w:vAlign w:val="bottom"/>
            <w:hideMark/>
          </w:tcPr>
          <w:p w14:paraId="360E0EE3" w14:textId="77777777" w:rsidR="0097383D" w:rsidRPr="00022BA7" w:rsidRDefault="0097383D" w:rsidP="0067573D">
            <w:pPr>
              <w:jc w:val="center"/>
              <w:rPr>
                <w:sz w:val="16"/>
                <w:szCs w:val="16"/>
              </w:rPr>
            </w:pPr>
            <w:r w:rsidRPr="00022BA7">
              <w:rPr>
                <w:b/>
                <w:bCs/>
                <w:sz w:val="16"/>
                <w:szCs w:val="16"/>
              </w:rPr>
              <w:t>Year*</w:t>
            </w:r>
          </w:p>
        </w:tc>
        <w:tc>
          <w:tcPr>
            <w:tcW w:w="900" w:type="dxa"/>
            <w:tcBorders>
              <w:top w:val="single" w:sz="4" w:space="0" w:color="auto"/>
              <w:left w:val="single" w:sz="4" w:space="0" w:color="auto"/>
              <w:bottom w:val="single" w:sz="18" w:space="0" w:color="auto"/>
              <w:right w:val="single" w:sz="4" w:space="0" w:color="auto"/>
            </w:tcBorders>
            <w:shd w:val="clear" w:color="auto" w:fill="F2F2F2" w:themeFill="background1" w:themeFillShade="F2"/>
          </w:tcPr>
          <w:p w14:paraId="545DE731" w14:textId="77777777" w:rsidR="0097383D" w:rsidRPr="00022BA7" w:rsidRDefault="0097383D" w:rsidP="0067573D">
            <w:pPr>
              <w:jc w:val="center"/>
              <w:rPr>
                <w:b/>
                <w:sz w:val="16"/>
                <w:szCs w:val="16"/>
              </w:rPr>
            </w:pPr>
            <w:r w:rsidRPr="00022BA7">
              <w:rPr>
                <w:b/>
                <w:bCs/>
                <w:sz w:val="16"/>
                <w:szCs w:val="16"/>
              </w:rPr>
              <w:t>Optimistic</w:t>
            </w:r>
            <w:r>
              <w:rPr>
                <w:b/>
                <w:bCs/>
                <w:sz w:val="16"/>
                <w:szCs w:val="16"/>
              </w:rPr>
              <w:t xml:space="preserve"> (OPT)</w:t>
            </w:r>
          </w:p>
        </w:tc>
        <w:tc>
          <w:tcPr>
            <w:tcW w:w="1080" w:type="dxa"/>
            <w:tcBorders>
              <w:top w:val="single" w:sz="4" w:space="0" w:color="auto"/>
              <w:left w:val="single" w:sz="4" w:space="0" w:color="auto"/>
              <w:bottom w:val="single" w:sz="18" w:space="0" w:color="auto"/>
              <w:right w:val="single" w:sz="4" w:space="0" w:color="auto"/>
            </w:tcBorders>
            <w:shd w:val="clear" w:color="auto" w:fill="F2F2F2" w:themeFill="background1" w:themeFillShade="F2"/>
          </w:tcPr>
          <w:p w14:paraId="317B1CA4" w14:textId="77777777" w:rsidR="0097383D" w:rsidRPr="00022BA7" w:rsidRDefault="0097383D" w:rsidP="0067573D">
            <w:pPr>
              <w:jc w:val="center"/>
              <w:rPr>
                <w:b/>
                <w:sz w:val="16"/>
                <w:szCs w:val="16"/>
              </w:rPr>
            </w:pPr>
            <w:r w:rsidRPr="00022BA7">
              <w:rPr>
                <w:b/>
                <w:bCs/>
                <w:sz w:val="16"/>
                <w:szCs w:val="16"/>
              </w:rPr>
              <w:t>Intermediate</w:t>
            </w:r>
            <w:r>
              <w:rPr>
                <w:b/>
                <w:bCs/>
                <w:sz w:val="16"/>
                <w:szCs w:val="16"/>
              </w:rPr>
              <w:t xml:space="preserve"> (INT)</w:t>
            </w:r>
          </w:p>
        </w:tc>
        <w:tc>
          <w:tcPr>
            <w:tcW w:w="990" w:type="dxa"/>
            <w:tcBorders>
              <w:top w:val="single" w:sz="4" w:space="0" w:color="auto"/>
              <w:left w:val="single" w:sz="4" w:space="0" w:color="auto"/>
              <w:bottom w:val="single" w:sz="18" w:space="0" w:color="auto"/>
              <w:right w:val="single" w:sz="4" w:space="0" w:color="auto"/>
            </w:tcBorders>
            <w:shd w:val="clear" w:color="auto" w:fill="F2F2F2" w:themeFill="background1" w:themeFillShade="F2"/>
          </w:tcPr>
          <w:p w14:paraId="5B069140" w14:textId="77777777" w:rsidR="0097383D" w:rsidRPr="00022BA7" w:rsidRDefault="0097383D" w:rsidP="0067573D">
            <w:pPr>
              <w:jc w:val="center"/>
              <w:rPr>
                <w:b/>
                <w:bCs/>
                <w:sz w:val="16"/>
                <w:szCs w:val="16"/>
              </w:rPr>
            </w:pPr>
            <w:r w:rsidRPr="00022BA7">
              <w:rPr>
                <w:b/>
                <w:bCs/>
                <w:sz w:val="16"/>
                <w:szCs w:val="16"/>
              </w:rPr>
              <w:t>Challenging</w:t>
            </w:r>
            <w:r>
              <w:rPr>
                <w:b/>
                <w:bCs/>
                <w:sz w:val="16"/>
                <w:szCs w:val="16"/>
              </w:rPr>
              <w:t xml:space="preserve"> (CHA)</w:t>
            </w:r>
          </w:p>
        </w:tc>
        <w:tc>
          <w:tcPr>
            <w:tcW w:w="3600" w:type="dxa"/>
            <w:vMerge/>
            <w:tcBorders>
              <w:top w:val="single" w:sz="18" w:space="0" w:color="auto"/>
              <w:left w:val="single" w:sz="4" w:space="0" w:color="auto"/>
              <w:bottom w:val="single" w:sz="4" w:space="0" w:color="auto"/>
              <w:right w:val="single" w:sz="4" w:space="0" w:color="auto"/>
            </w:tcBorders>
            <w:shd w:val="clear" w:color="auto" w:fill="F2F2F2" w:themeFill="background1" w:themeFillShade="F2"/>
            <w:tcMar>
              <w:top w:w="72" w:type="dxa"/>
              <w:left w:w="144" w:type="dxa"/>
              <w:bottom w:w="72" w:type="dxa"/>
              <w:right w:w="144" w:type="dxa"/>
            </w:tcMar>
            <w:hideMark/>
          </w:tcPr>
          <w:p w14:paraId="25FF1DA4" w14:textId="77777777" w:rsidR="0097383D" w:rsidRPr="00022BA7" w:rsidRDefault="0097383D" w:rsidP="0067573D">
            <w:pPr>
              <w:jc w:val="center"/>
              <w:rPr>
                <w:sz w:val="16"/>
                <w:szCs w:val="16"/>
              </w:rPr>
            </w:pPr>
          </w:p>
        </w:tc>
      </w:tr>
      <w:tr w:rsidR="0097383D" w:rsidRPr="00022BA7" w14:paraId="2A48B0D5" w14:textId="77777777" w:rsidTr="0067573D">
        <w:trPr>
          <w:trHeight w:val="20"/>
        </w:trPr>
        <w:tc>
          <w:tcPr>
            <w:tcW w:w="1525" w:type="dxa"/>
            <w:vMerge w:val="restart"/>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4DCAC96" w14:textId="77777777" w:rsidR="0097383D" w:rsidRPr="00022BA7" w:rsidRDefault="0097383D" w:rsidP="0067573D">
            <w:pPr>
              <w:spacing w:line="240" w:lineRule="auto"/>
              <w:rPr>
                <w:color w:val="000000"/>
                <w:sz w:val="16"/>
              </w:rPr>
            </w:pPr>
            <w:r w:rsidRPr="00022BA7">
              <w:rPr>
                <w:rFonts w:eastAsia="Times New Roman"/>
                <w:color w:val="000000"/>
                <w:sz w:val="16"/>
                <w:szCs w:val="16"/>
              </w:rPr>
              <w:t>Fuel cost ($/kWh)</w:t>
            </w:r>
          </w:p>
        </w:tc>
        <w:tc>
          <w:tcPr>
            <w:tcW w:w="740" w:type="dxa"/>
            <w:vMerge w:val="restart"/>
            <w:tcBorders>
              <w:top w:val="single" w:sz="18" w:space="0" w:color="auto"/>
              <w:left w:val="single" w:sz="4" w:space="0" w:color="auto"/>
              <w:bottom w:val="single" w:sz="4" w:space="0" w:color="auto"/>
              <w:right w:val="single" w:sz="4" w:space="0" w:color="auto"/>
            </w:tcBorders>
            <w:vAlign w:val="center"/>
          </w:tcPr>
          <w:p w14:paraId="30D5E8D6" w14:textId="77777777" w:rsidR="0097383D" w:rsidRPr="00022BA7" w:rsidRDefault="00590C69" w:rsidP="0067573D">
            <w:pPr>
              <w:spacing w:line="240" w:lineRule="auto"/>
              <w:jc w:val="center"/>
              <w:rPr>
                <w:sz w:val="16"/>
              </w:rPr>
            </w:pPr>
            <m:oMathPara>
              <m:oMath>
                <m:sSubSup>
                  <m:sSubSupPr>
                    <m:ctrlPr>
                      <w:rPr>
                        <w:rFonts w:ascii="Cambria Math" w:hAnsi="Cambria Math"/>
                        <w:i/>
                        <w:sz w:val="16"/>
                        <w:szCs w:val="16"/>
                      </w:rPr>
                    </m:ctrlPr>
                  </m:sSubSupPr>
                  <m:e>
                    <m:r>
                      <w:rPr>
                        <w:rFonts w:ascii="Cambria Math" w:hAnsi="Cambria Math"/>
                        <w:sz w:val="16"/>
                        <w:szCs w:val="16"/>
                      </w:rPr>
                      <m:t>λ</m:t>
                    </m:r>
                  </m:e>
                  <m:sub>
                    <m:r>
                      <w:rPr>
                        <w:rFonts w:ascii="Cambria Math" w:hAnsi="Cambria Math"/>
                        <w:sz w:val="16"/>
                        <w:szCs w:val="16"/>
                      </w:rPr>
                      <m:t>sc</m:t>
                    </m:r>
                  </m:sub>
                  <m:sup>
                    <m:r>
                      <w:rPr>
                        <w:rFonts w:ascii="Cambria Math" w:hAnsi="Cambria Math"/>
                        <w:sz w:val="16"/>
                        <w:szCs w:val="16"/>
                      </w:rPr>
                      <m:t>ULSD</m:t>
                    </m:r>
                  </m:sup>
                </m:sSubSup>
              </m:oMath>
            </m:oMathPara>
          </w:p>
        </w:tc>
        <w:tc>
          <w:tcPr>
            <w:tcW w:w="790" w:type="dxa"/>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9521444" w14:textId="77777777" w:rsidR="0097383D" w:rsidRPr="00022BA7" w:rsidRDefault="0097383D" w:rsidP="0067573D">
            <w:pPr>
              <w:spacing w:line="240" w:lineRule="auto"/>
              <w:jc w:val="right"/>
              <w:rPr>
                <w:color w:val="000000"/>
                <w:sz w:val="16"/>
              </w:rPr>
            </w:pPr>
            <w:r w:rsidRPr="00022BA7">
              <w:rPr>
                <w:rFonts w:eastAsia="Times New Roman"/>
                <w:color w:val="000000"/>
                <w:sz w:val="16"/>
                <w:szCs w:val="16"/>
              </w:rPr>
              <w:t>2022</w:t>
            </w:r>
          </w:p>
        </w:tc>
        <w:tc>
          <w:tcPr>
            <w:tcW w:w="2970" w:type="dxa"/>
            <w:gridSpan w:val="3"/>
            <w:tcBorders>
              <w:top w:val="single" w:sz="18" w:space="0" w:color="auto"/>
              <w:left w:val="single" w:sz="4" w:space="0" w:color="auto"/>
              <w:bottom w:val="single" w:sz="4" w:space="0" w:color="auto"/>
              <w:right w:val="single" w:sz="4" w:space="0" w:color="auto"/>
            </w:tcBorders>
            <w:vAlign w:val="bottom"/>
          </w:tcPr>
          <w:p w14:paraId="7CE022DB"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0.081</w:t>
            </w:r>
          </w:p>
        </w:tc>
        <w:tc>
          <w:tcPr>
            <w:tcW w:w="3600" w:type="dxa"/>
            <w:vMerge w:val="restart"/>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DA62791" w14:textId="03B9426C" w:rsidR="0097383D" w:rsidRPr="00022BA7" w:rsidRDefault="0097383D" w:rsidP="0067573D">
            <w:pPr>
              <w:spacing w:line="240" w:lineRule="auto"/>
              <w:rPr>
                <w:color w:val="000000"/>
                <w:sz w:val="16"/>
              </w:rPr>
            </w:pPr>
            <w:r w:rsidRPr="00022BA7">
              <w:rPr>
                <w:rFonts w:eastAsia="Times New Roman"/>
                <w:color w:val="000000"/>
                <w:sz w:val="16"/>
                <w:szCs w:val="16"/>
              </w:rPr>
              <w:t>Diesel fuel cost for transportation in Reference case in Annual Energy Outlook 2023</w:t>
            </w:r>
            <w:r w:rsidR="0050489D">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{"citationID":"CYJjFwG9","properties":{"formattedCitation":"\\super 28\\nosupersub{}","plainCitation":"28","noteIndex":0},"citationItems":[{"id":61,"uris":["http://zotero.org/users/12468222/items/ZZTTRNHM"],"itemData":{"id":61,"type":"dataset","language":"en","source":"Zotero","title":"Annual Energy Outlook 2022","URL":"https://www.eia.gov/outlooks/archive/aeo22/","author":[{"family":"U.S. Energy Information Administration","given":""}]}}],"schema":"https://github.com/citation-style-language/schema/raw/master/csl-citation.json"} </w:instrText>
            </w:r>
            <w:r w:rsidR="0050489D">
              <w:rPr>
                <w:rFonts w:eastAsia="Times New Roman"/>
                <w:color w:val="000000"/>
                <w:sz w:val="16"/>
                <w:szCs w:val="16"/>
              </w:rPr>
              <w:fldChar w:fldCharType="separate"/>
            </w:r>
            <w:r w:rsidR="00F33969" w:rsidRPr="00F33969">
              <w:rPr>
                <w:rFonts w:cs="Times New Roman"/>
                <w:sz w:val="16"/>
                <w:szCs w:val="24"/>
                <w:vertAlign w:val="superscript"/>
              </w:rPr>
              <w:t>28</w:t>
            </w:r>
            <w:r w:rsidR="0050489D">
              <w:rPr>
                <w:rFonts w:eastAsia="Times New Roman"/>
                <w:color w:val="000000"/>
                <w:sz w:val="16"/>
                <w:szCs w:val="16"/>
              </w:rPr>
              <w:fldChar w:fldCharType="end"/>
            </w:r>
          </w:p>
        </w:tc>
      </w:tr>
      <w:tr w:rsidR="0097383D" w:rsidRPr="00022BA7" w14:paraId="5C39F4DD"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1B495F9"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47EA4CF2" w14:textId="77777777" w:rsidR="0097383D" w:rsidRPr="00022BA7"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296B171"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2035</w:t>
            </w:r>
          </w:p>
        </w:tc>
        <w:tc>
          <w:tcPr>
            <w:tcW w:w="2970" w:type="dxa"/>
            <w:gridSpan w:val="3"/>
            <w:tcBorders>
              <w:top w:val="single" w:sz="4" w:space="0" w:color="auto"/>
              <w:left w:val="single" w:sz="4" w:space="0" w:color="auto"/>
              <w:bottom w:val="single" w:sz="4" w:space="0" w:color="auto"/>
              <w:right w:val="single" w:sz="4" w:space="0" w:color="auto"/>
            </w:tcBorders>
            <w:vAlign w:val="bottom"/>
          </w:tcPr>
          <w:p w14:paraId="6A21E123"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0.093</w:t>
            </w:r>
          </w:p>
        </w:tc>
        <w:tc>
          <w:tcPr>
            <w:tcW w:w="3600" w:type="dxa"/>
            <w:vMerge/>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0C6F88D" w14:textId="77777777" w:rsidR="0097383D" w:rsidRPr="00022BA7" w:rsidRDefault="0097383D" w:rsidP="0067573D">
            <w:pPr>
              <w:spacing w:line="240" w:lineRule="auto"/>
              <w:rPr>
                <w:rFonts w:eastAsia="Times New Roman"/>
                <w:color w:val="000000"/>
                <w:sz w:val="16"/>
                <w:szCs w:val="16"/>
              </w:rPr>
            </w:pPr>
          </w:p>
        </w:tc>
      </w:tr>
      <w:tr w:rsidR="0097383D" w:rsidRPr="00022BA7" w14:paraId="42A16690"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673B29B"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0F97A281" w14:textId="77777777" w:rsidR="0097383D" w:rsidRPr="00022BA7"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741D933"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2050</w:t>
            </w:r>
          </w:p>
        </w:tc>
        <w:tc>
          <w:tcPr>
            <w:tcW w:w="2970" w:type="dxa"/>
            <w:gridSpan w:val="3"/>
            <w:tcBorders>
              <w:top w:val="single" w:sz="4" w:space="0" w:color="auto"/>
              <w:left w:val="single" w:sz="4" w:space="0" w:color="auto"/>
              <w:bottom w:val="single" w:sz="4" w:space="0" w:color="auto"/>
              <w:right w:val="single" w:sz="4" w:space="0" w:color="auto"/>
            </w:tcBorders>
            <w:vAlign w:val="bottom"/>
          </w:tcPr>
          <w:p w14:paraId="4436450E"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0.097</w:t>
            </w:r>
          </w:p>
        </w:tc>
        <w:tc>
          <w:tcPr>
            <w:tcW w:w="3600" w:type="dxa"/>
            <w:vMerge/>
            <w:tcBorders>
              <w:top w:val="single" w:sz="18"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1040785" w14:textId="77777777" w:rsidR="0097383D" w:rsidRPr="00022BA7" w:rsidRDefault="0097383D" w:rsidP="0067573D">
            <w:pPr>
              <w:spacing w:line="240" w:lineRule="auto"/>
              <w:rPr>
                <w:rFonts w:eastAsia="Times New Roman"/>
                <w:color w:val="000000"/>
                <w:sz w:val="16"/>
                <w:szCs w:val="16"/>
              </w:rPr>
            </w:pPr>
          </w:p>
        </w:tc>
      </w:tr>
      <w:tr w:rsidR="0097383D" w:rsidRPr="00022BA7" w14:paraId="6BB794F7" w14:textId="77777777" w:rsidTr="0067573D">
        <w:trPr>
          <w:trHeight w:val="20"/>
        </w:trPr>
        <w:tc>
          <w:tcPr>
            <w:tcW w:w="1525"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4E875DC"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Charging cost ($/kWh)</w:t>
            </w:r>
          </w:p>
        </w:tc>
        <w:tc>
          <w:tcPr>
            <w:tcW w:w="740" w:type="dxa"/>
            <w:vMerge w:val="restart"/>
            <w:tcBorders>
              <w:top w:val="single" w:sz="4" w:space="0" w:color="auto"/>
              <w:left w:val="single" w:sz="4" w:space="0" w:color="auto"/>
              <w:bottom w:val="single" w:sz="4" w:space="0" w:color="auto"/>
              <w:right w:val="single" w:sz="4" w:space="0" w:color="auto"/>
            </w:tcBorders>
            <w:vAlign w:val="center"/>
          </w:tcPr>
          <w:p w14:paraId="24FE40B5" w14:textId="77777777" w:rsidR="0097383D" w:rsidRPr="00022BA7" w:rsidRDefault="00590C69" w:rsidP="0067573D">
            <w:pPr>
              <w:spacing w:line="240" w:lineRule="auto"/>
              <w:jc w:val="center"/>
              <w:rPr>
                <w:rFonts w:eastAsia="Times New Roman" w:cs="Times New Roman"/>
                <w:sz w:val="16"/>
                <w:szCs w:val="16"/>
              </w:rPr>
            </w:pPr>
            <m:oMathPara>
              <m:oMath>
                <m:sSubSup>
                  <m:sSubSupPr>
                    <m:ctrlPr>
                      <w:rPr>
                        <w:rFonts w:ascii="Cambria Math" w:hAnsi="Cambria Math"/>
                        <w:i/>
                        <w:sz w:val="16"/>
                        <w:szCs w:val="16"/>
                      </w:rPr>
                    </m:ctrlPr>
                  </m:sSubSupPr>
                  <m:e>
                    <m:r>
                      <w:rPr>
                        <w:rFonts w:ascii="Cambria Math" w:hAnsi="Cambria Math"/>
                        <w:sz w:val="16"/>
                        <w:szCs w:val="16"/>
                      </w:rPr>
                      <m:t>λ</m:t>
                    </m:r>
                  </m:e>
                  <m:sub>
                    <m:r>
                      <w:rPr>
                        <w:rFonts w:ascii="Cambria Math" w:hAnsi="Cambria Math"/>
                        <w:sz w:val="16"/>
                        <w:szCs w:val="16"/>
                      </w:rPr>
                      <m:t>sc</m:t>
                    </m:r>
                  </m:sub>
                  <m:sup>
                    <m:r>
                      <w:rPr>
                        <w:rFonts w:ascii="Cambria Math" w:hAnsi="Cambria Math"/>
                        <w:sz w:val="16"/>
                        <w:szCs w:val="16"/>
                      </w:rPr>
                      <m:t>Ch</m:t>
                    </m:r>
                  </m:sup>
                </m:sSub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90513AE"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2022</w:t>
            </w: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62D0CF54"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0.133</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FAEB08A" w14:textId="763CE5CB" w:rsidR="0097383D" w:rsidRPr="00022BA7" w:rsidRDefault="0097383D" w:rsidP="0067573D">
            <w:pPr>
              <w:spacing w:line="240" w:lineRule="auto"/>
              <w:ind w:right="148"/>
              <w:rPr>
                <w:rFonts w:eastAsia="Times New Roman"/>
                <w:color w:val="000000"/>
                <w:sz w:val="16"/>
                <w:szCs w:val="16"/>
              </w:rPr>
            </w:pPr>
            <w:r w:rsidRPr="00022BA7">
              <w:rPr>
                <w:rFonts w:eastAsia="Times New Roman"/>
                <w:color w:val="000000"/>
                <w:sz w:val="16"/>
                <w:szCs w:val="16"/>
              </w:rPr>
              <w:t xml:space="preserve">Costs under Optimistic, Intermediate, and Challenging scenarios are from electricity costs under Low Zero-Carbon Technology, Reference case, and High Zero-Carbon Technology scenarios for the transportation sector in </w:t>
            </w:r>
            <w:r w:rsidRPr="00B52301">
              <w:rPr>
                <w:rFonts w:eastAsia="Times New Roman"/>
                <w:color w:val="000000"/>
                <w:sz w:val="16"/>
                <w:szCs w:val="16"/>
              </w:rPr>
              <w:t>Annual Energy Outlook</w:t>
            </w:r>
            <w:r>
              <w:rPr>
                <w:rFonts w:eastAsia="Times New Roman"/>
                <w:color w:val="000000"/>
                <w:sz w:val="16"/>
                <w:szCs w:val="16"/>
              </w:rPr>
              <w:t xml:space="preserve"> </w:t>
            </w:r>
            <w:r w:rsidRPr="00022BA7">
              <w:rPr>
                <w:rFonts w:eastAsia="Times New Roman"/>
                <w:color w:val="000000"/>
                <w:sz w:val="16"/>
                <w:szCs w:val="16"/>
              </w:rPr>
              <w:t>2023, respectively</w:t>
            </w:r>
            <w:r w:rsidR="0050489D">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{"citationID":"Kt6THcSd","properties":{"formattedCitation":"\\super 28\\nosupersub{}","plainCitation":"28","noteIndex":0},"citationItems":[{"id":61,"uris":["http://zotero.org/users/12468222/items/ZZTTRNHM"],"itemData":{"id":61,"type":"dataset","language":"en","source":"Zotero","title":"Annual Energy Outlook 2022","URL":"https://www.eia.gov/outlooks/archive/aeo22/","author":[{"family":"U.S. Energy Information Administration","given":""}]}}],"schema":"https://github.com/citation-style-language/schema/raw/master/csl-citation.json"} </w:instrText>
            </w:r>
            <w:r w:rsidR="0050489D">
              <w:rPr>
                <w:rFonts w:eastAsia="Times New Roman"/>
                <w:color w:val="000000"/>
                <w:sz w:val="16"/>
                <w:szCs w:val="16"/>
              </w:rPr>
              <w:fldChar w:fldCharType="separate"/>
            </w:r>
            <w:r w:rsidR="00F33969" w:rsidRPr="00F33969">
              <w:rPr>
                <w:rFonts w:cs="Times New Roman"/>
                <w:sz w:val="16"/>
                <w:szCs w:val="24"/>
                <w:vertAlign w:val="superscript"/>
              </w:rPr>
              <w:t>28</w:t>
            </w:r>
            <w:r w:rsidR="0050489D">
              <w:rPr>
                <w:rFonts w:eastAsia="Times New Roman"/>
                <w:color w:val="000000"/>
                <w:sz w:val="16"/>
                <w:szCs w:val="16"/>
              </w:rPr>
              <w:fldChar w:fldCharType="end"/>
            </w:r>
          </w:p>
        </w:tc>
      </w:tr>
      <w:tr w:rsidR="0097383D" w:rsidRPr="00022BA7" w14:paraId="0AE2E810"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CDACB3A" w14:textId="77777777" w:rsidR="0097383D" w:rsidRPr="00022BA7" w:rsidRDefault="0097383D" w:rsidP="0067573D">
            <w:pPr>
              <w:spacing w:line="240" w:lineRule="auto"/>
              <w:rPr>
                <w:color w:val="000000"/>
                <w:sz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70B367E1" w14:textId="77777777" w:rsidR="0097383D" w:rsidRPr="00022BA7" w:rsidRDefault="0097383D" w:rsidP="0067573D">
            <w:pPr>
              <w:spacing w:line="240" w:lineRule="auto"/>
              <w:jc w:val="center"/>
              <w:rPr>
                <w:sz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DA50DAA"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2035</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14:paraId="3009EE07"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0.138</w:t>
            </w:r>
          </w:p>
        </w:tc>
        <w:tc>
          <w:tcPr>
            <w:tcW w:w="1080" w:type="dxa"/>
            <w:tcBorders>
              <w:top w:val="single" w:sz="4" w:space="0" w:color="auto"/>
              <w:left w:val="single" w:sz="4" w:space="0" w:color="auto"/>
              <w:bottom w:val="single" w:sz="4" w:space="0" w:color="auto"/>
              <w:right w:val="single" w:sz="4" w:space="0" w:color="auto"/>
            </w:tcBorders>
            <w:vAlign w:val="bottom"/>
          </w:tcPr>
          <w:p w14:paraId="07FD5006"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14:paraId="1BF3A29D"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0.142</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CB22FDB" w14:textId="77777777" w:rsidR="0097383D" w:rsidRPr="00022BA7" w:rsidRDefault="0097383D" w:rsidP="0067573D">
            <w:pPr>
              <w:spacing w:line="240" w:lineRule="auto"/>
              <w:rPr>
                <w:rFonts w:eastAsia="Times New Roman"/>
                <w:color w:val="000000"/>
                <w:sz w:val="16"/>
                <w:szCs w:val="16"/>
              </w:rPr>
            </w:pPr>
          </w:p>
        </w:tc>
      </w:tr>
      <w:tr w:rsidR="0097383D" w:rsidRPr="00022BA7" w14:paraId="57935716" w14:textId="77777777" w:rsidTr="0067573D">
        <w:trPr>
          <w:trHeight w:val="494"/>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DED58E6"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5578340A" w14:textId="77777777" w:rsidR="0097383D" w:rsidRPr="00022BA7"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F713E38"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2050</w:t>
            </w:r>
          </w:p>
        </w:tc>
        <w:tc>
          <w:tcPr>
            <w:tcW w:w="900" w:type="dxa"/>
            <w:tcBorders>
              <w:top w:val="single" w:sz="4" w:space="0" w:color="auto"/>
              <w:left w:val="single" w:sz="4" w:space="0" w:color="auto"/>
              <w:bottom w:val="single" w:sz="4" w:space="0" w:color="auto"/>
              <w:right w:val="single" w:sz="4" w:space="0" w:color="auto"/>
            </w:tcBorders>
            <w:vAlign w:val="center"/>
          </w:tcPr>
          <w:p w14:paraId="366CDB56"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0.136</w:t>
            </w:r>
          </w:p>
        </w:tc>
        <w:tc>
          <w:tcPr>
            <w:tcW w:w="1080" w:type="dxa"/>
            <w:tcBorders>
              <w:top w:val="single" w:sz="4" w:space="0" w:color="auto"/>
              <w:left w:val="single" w:sz="4" w:space="0" w:color="auto"/>
              <w:bottom w:val="single" w:sz="4" w:space="0" w:color="auto"/>
              <w:right w:val="single" w:sz="4" w:space="0" w:color="auto"/>
            </w:tcBorders>
            <w:vAlign w:val="center"/>
          </w:tcPr>
          <w:p w14:paraId="092748CA"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0.142</w:t>
            </w:r>
          </w:p>
        </w:tc>
        <w:tc>
          <w:tcPr>
            <w:tcW w:w="990" w:type="dxa"/>
            <w:tcBorders>
              <w:top w:val="single" w:sz="4" w:space="0" w:color="auto"/>
              <w:left w:val="single" w:sz="4" w:space="0" w:color="auto"/>
              <w:bottom w:val="single" w:sz="4" w:space="0" w:color="auto"/>
              <w:right w:val="single" w:sz="4" w:space="0" w:color="auto"/>
            </w:tcBorders>
            <w:vAlign w:val="center"/>
          </w:tcPr>
          <w:p w14:paraId="432018FE"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0.144</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16B972C" w14:textId="77777777" w:rsidR="0097383D" w:rsidRPr="00022BA7" w:rsidRDefault="0097383D" w:rsidP="0067573D">
            <w:pPr>
              <w:spacing w:line="240" w:lineRule="auto"/>
              <w:rPr>
                <w:rFonts w:eastAsia="Times New Roman"/>
                <w:color w:val="000000"/>
                <w:sz w:val="16"/>
                <w:szCs w:val="16"/>
              </w:rPr>
            </w:pPr>
          </w:p>
        </w:tc>
      </w:tr>
      <w:tr w:rsidR="0097383D" w:rsidRPr="00022BA7" w14:paraId="535ACE03" w14:textId="77777777" w:rsidTr="0067573D">
        <w:trPr>
          <w:trHeight w:val="737"/>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A80DA9B"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Charging infra cost ($/kWh)</w:t>
            </w:r>
          </w:p>
        </w:tc>
        <w:tc>
          <w:tcPr>
            <w:tcW w:w="740" w:type="dxa"/>
            <w:tcBorders>
              <w:top w:val="single" w:sz="4" w:space="0" w:color="auto"/>
              <w:left w:val="single" w:sz="4" w:space="0" w:color="auto"/>
              <w:bottom w:val="single" w:sz="4" w:space="0" w:color="auto"/>
              <w:right w:val="single" w:sz="4" w:space="0" w:color="auto"/>
            </w:tcBorders>
            <w:vAlign w:val="center"/>
          </w:tcPr>
          <w:p w14:paraId="4C4F5090" w14:textId="77777777" w:rsidR="0097383D" w:rsidRPr="00022BA7" w:rsidRDefault="00590C69" w:rsidP="0067573D">
            <w:pPr>
              <w:spacing w:line="240" w:lineRule="auto"/>
              <w:jc w:val="center"/>
              <w:rPr>
                <w:rFonts w:eastAsia="Times New Roman" w:cs="Times New Roman"/>
                <w:sz w:val="16"/>
                <w:szCs w:val="16"/>
              </w:rPr>
            </w:pPr>
            <m:oMathPara>
              <m:oMath>
                <m:sSubSup>
                  <m:sSubSupPr>
                    <m:ctrlPr>
                      <w:rPr>
                        <w:rFonts w:ascii="Cambria Math" w:hAnsi="Cambria Math"/>
                        <w:sz w:val="16"/>
                        <w:szCs w:val="16"/>
                      </w:rPr>
                    </m:ctrlPr>
                  </m:sSubSupPr>
                  <m:e>
                    <m:r>
                      <w:rPr>
                        <w:rFonts w:ascii="Cambria Math" w:hAnsi="Cambria Math"/>
                        <w:sz w:val="16"/>
                        <w:szCs w:val="16"/>
                      </w:rPr>
                      <m:t>λ</m:t>
                    </m:r>
                  </m:e>
                  <m:sub>
                    <m:r>
                      <w:rPr>
                        <w:rFonts w:ascii="Cambria Math" w:hAnsi="Cambria Math"/>
                        <w:sz w:val="16"/>
                        <w:szCs w:val="16"/>
                      </w:rPr>
                      <m:t>sc</m:t>
                    </m:r>
                  </m:sub>
                  <m:sup>
                    <m:r>
                      <w:rPr>
                        <w:rFonts w:ascii="Cambria Math" w:hAnsi="Cambria Math"/>
                        <w:sz w:val="16"/>
                        <w:szCs w:val="16"/>
                      </w:rPr>
                      <m:t>CI</m:t>
                    </m:r>
                  </m:sup>
                </m:sSubSup>
              </m:oMath>
            </m:oMathPara>
          </w:p>
        </w:tc>
        <w:tc>
          <w:tcPr>
            <w:tcW w:w="790" w:type="dxa"/>
            <w:tcBorders>
              <w:top w:val="single" w:sz="4" w:space="0" w:color="auto"/>
              <w:left w:val="single" w:sz="4" w:space="0" w:color="auto"/>
              <w:right w:val="single" w:sz="4" w:space="0" w:color="auto"/>
            </w:tcBorders>
            <w:shd w:val="clear" w:color="auto" w:fill="auto"/>
            <w:tcMar>
              <w:top w:w="72" w:type="dxa"/>
              <w:left w:w="144" w:type="dxa"/>
              <w:bottom w:w="72" w:type="dxa"/>
              <w:right w:w="144" w:type="dxa"/>
            </w:tcMar>
            <w:vAlign w:val="center"/>
          </w:tcPr>
          <w:p w14:paraId="19D27F81" w14:textId="77777777" w:rsidR="0097383D" w:rsidRPr="00022BA7" w:rsidRDefault="0097383D" w:rsidP="0067573D">
            <w:pPr>
              <w:spacing w:line="240" w:lineRule="auto"/>
              <w:jc w:val="right"/>
              <w:rPr>
                <w:rFonts w:eastAsia="Times New Roman"/>
                <w:color w:val="000000"/>
                <w:sz w:val="16"/>
                <w:szCs w:val="16"/>
              </w:rPr>
            </w:pPr>
          </w:p>
        </w:tc>
        <w:tc>
          <w:tcPr>
            <w:tcW w:w="2970" w:type="dxa"/>
            <w:gridSpan w:val="3"/>
            <w:tcBorders>
              <w:top w:val="single" w:sz="4" w:space="0" w:color="auto"/>
              <w:left w:val="single" w:sz="4" w:space="0" w:color="auto"/>
              <w:right w:val="single" w:sz="4" w:space="0" w:color="auto"/>
            </w:tcBorders>
            <w:vAlign w:val="center"/>
          </w:tcPr>
          <w:p w14:paraId="3B722D83"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0.042</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648D687" w14:textId="52EB86F3" w:rsidR="0097383D" w:rsidRPr="00022BA7" w:rsidRDefault="0097383D" w:rsidP="0067573D">
            <w:pPr>
              <w:rPr>
                <w:rFonts w:eastAsia="Times New Roman"/>
                <w:sz w:val="16"/>
                <w:szCs w:val="16"/>
              </w:rPr>
            </w:pPr>
            <w:r w:rsidRPr="00022BA7">
              <w:rPr>
                <w:rFonts w:eastAsia="Times New Roman"/>
                <w:sz w:val="16"/>
                <w:szCs w:val="16"/>
              </w:rPr>
              <w:t>Sum of costs of electric vehicle supply equipment, grid connection, and operations and maintenance costs for Tens-MW scale charging facility</w:t>
            </w:r>
            <w:r w:rsidR="0050489D">
              <w:rPr>
                <w:rFonts w:eastAsia="Times New Roman"/>
                <w:sz w:val="16"/>
                <w:szCs w:val="16"/>
              </w:rPr>
              <w:fldChar w:fldCharType="begin"/>
            </w:r>
            <w:r w:rsidR="000F2CEE">
              <w:rPr>
                <w:rFonts w:eastAsia="Times New Roman"/>
                <w:sz w:val="16"/>
                <w:szCs w:val="16"/>
              </w:rPr>
              <w:instrText xml:space="preserve"> ADDIN ZOTERO_ITEM CSL_CITATION {"citationID":"jTWAOJBG","properties":{"formattedCitation":"\\super 37\\nosupersub{}","plainCitation":"37","noteIndex":0},"citationItems":[{"id":250,"uris":["http://zotero.org/users/12468222/items/V38E8VHT"],"itemData":{"id":250,"type":"article-journal","abstract":"Nearly all US locomotives are propelled by diesel-electric drives, which emit 35 million tonnes of CO2 and produce air pollution causing about 1,000 premature deaths annually, accounting for approximately US$6.5 billion in annual health damage costs. Improved battery technology plus access to cheap renewable electricity open the possibility of battery-electric rail. Here we show that a 241-km range can be achieved using a single standard boxcar equipped with a 14-MWh battery and inverter, while consuming half the energy consumed by diesel trains. At near-future battery prices, battery-electric trains can achieve parity with diesel-electric trains if environmental costs are included or if rail companies can access wholesale electricity prices and achieve 40% use of fast-charging infrastructure. Accounting for reduced criteria air pollutants and CO2 emissions, switching to battery-electric propulsion would save the US freight rail sector US$94 billion over 20 years.","container-title":"Nature Energy","DOI":"10.1038/s41560-021-00915-5","ISSN":"2058-7546","issue":"11","journalAbbreviation":"Nat Energy","language":"en","license":"2021 The Author(s)","note":"number: 11\npublisher: Nature Publishing Group","page":"1017-1025","source":"www.nature.com","title":"Economic, environmental and grid-resilience benefits of converting diesel trains to battery-electric","volume":"6","author":[{"family":"Popovich","given":"Natalie D."},{"family":"Rajagopal","given":"Deepak"},{"family":"Tasar","given":"Elif"},{"family":"Phadke","given":"Amol"}],"issued":{"date-parts":[["2021",11]]}}}],"schema":"https://github.com/citation-style-language/schema/raw/master/csl-citation.json"} </w:instrText>
            </w:r>
            <w:r w:rsidR="0050489D">
              <w:rPr>
                <w:rFonts w:eastAsia="Times New Roman"/>
                <w:sz w:val="16"/>
                <w:szCs w:val="16"/>
              </w:rPr>
              <w:fldChar w:fldCharType="separate"/>
            </w:r>
            <w:r w:rsidR="000F2CEE" w:rsidRPr="000F2CEE">
              <w:rPr>
                <w:rFonts w:cs="Times New Roman"/>
                <w:sz w:val="16"/>
                <w:szCs w:val="24"/>
                <w:vertAlign w:val="superscript"/>
              </w:rPr>
              <w:t>37</w:t>
            </w:r>
            <w:r w:rsidR="0050489D">
              <w:rPr>
                <w:rFonts w:eastAsia="Times New Roman"/>
                <w:sz w:val="16"/>
                <w:szCs w:val="16"/>
              </w:rPr>
              <w:fldChar w:fldCharType="end"/>
            </w:r>
          </w:p>
        </w:tc>
      </w:tr>
      <w:tr w:rsidR="0097383D" w:rsidRPr="00022BA7" w14:paraId="01AC5C1C" w14:textId="77777777" w:rsidTr="0067573D">
        <w:trPr>
          <w:trHeight w:val="20"/>
        </w:trPr>
        <w:tc>
          <w:tcPr>
            <w:tcW w:w="1525"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D9E222E" w14:textId="77777777" w:rsidR="0097383D" w:rsidRPr="00022BA7" w:rsidRDefault="0097383D" w:rsidP="0067573D">
            <w:pPr>
              <w:spacing w:line="240" w:lineRule="auto"/>
              <w:rPr>
                <w:color w:val="000000"/>
                <w:sz w:val="16"/>
              </w:rPr>
            </w:pPr>
            <w:r w:rsidRPr="00022BA7">
              <w:rPr>
                <w:rFonts w:eastAsia="Times New Roman"/>
                <w:color w:val="000000"/>
                <w:sz w:val="16"/>
                <w:szCs w:val="16"/>
              </w:rPr>
              <w:t>Battery system cost ($/kWh)</w:t>
            </w:r>
            <w:r w:rsidRPr="00022BA7" w:rsidDel="001E36B3">
              <w:rPr>
                <w:rFonts w:eastAsia="Times New Roman"/>
                <w:color w:val="000000"/>
                <w:sz w:val="16"/>
                <w:szCs w:val="16"/>
              </w:rPr>
              <w:t xml:space="preserve"> </w:t>
            </w:r>
          </w:p>
        </w:tc>
        <w:tc>
          <w:tcPr>
            <w:tcW w:w="740" w:type="dxa"/>
            <w:vMerge w:val="restart"/>
            <w:tcBorders>
              <w:top w:val="single" w:sz="4" w:space="0" w:color="auto"/>
              <w:left w:val="single" w:sz="4" w:space="0" w:color="auto"/>
              <w:bottom w:val="single" w:sz="4" w:space="0" w:color="auto"/>
              <w:right w:val="single" w:sz="4" w:space="0" w:color="auto"/>
            </w:tcBorders>
            <w:vAlign w:val="center"/>
          </w:tcPr>
          <w:p w14:paraId="1692176E" w14:textId="77777777" w:rsidR="0097383D" w:rsidRPr="00022BA7" w:rsidRDefault="00590C69" w:rsidP="0067573D">
            <w:pPr>
              <w:spacing w:line="240" w:lineRule="auto"/>
              <w:jc w:val="center"/>
              <w:rPr>
                <w:color w:val="000000"/>
                <w:sz w:val="16"/>
              </w:rPr>
            </w:pPr>
            <m:oMathPara>
              <m:oMath>
                <m:sSubSup>
                  <m:sSubSupPr>
                    <m:ctrlPr>
                      <w:rPr>
                        <w:rFonts w:ascii="Cambria Math" w:hAnsi="Cambria Math"/>
                        <w:i/>
                        <w:sz w:val="16"/>
                        <w:szCs w:val="16"/>
                      </w:rPr>
                    </m:ctrlPr>
                  </m:sSubSupPr>
                  <m:e>
                    <m:r>
                      <w:rPr>
                        <w:rFonts w:ascii="Cambria Math" w:hAnsi="Cambria Math"/>
                        <w:sz w:val="16"/>
                        <w:szCs w:val="16"/>
                      </w:rPr>
                      <m:t>λ</m:t>
                    </m:r>
                  </m:e>
                  <m:sub>
                    <m:r>
                      <w:rPr>
                        <w:rFonts w:ascii="Cambria Math" w:hAnsi="Cambria Math"/>
                        <w:sz w:val="16"/>
                        <w:szCs w:val="16"/>
                      </w:rPr>
                      <m:t>sc</m:t>
                    </m:r>
                  </m:sub>
                  <m:sup>
                    <m:r>
                      <w:rPr>
                        <w:rFonts w:ascii="Cambria Math" w:hAnsi="Cambria Math"/>
                        <w:sz w:val="16"/>
                        <w:szCs w:val="16"/>
                      </w:rPr>
                      <m:t>B</m:t>
                    </m:r>
                  </m:sup>
                </m:sSub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D998CD5" w14:textId="77777777" w:rsidR="0097383D" w:rsidRPr="00022BA7" w:rsidRDefault="0097383D" w:rsidP="0067573D">
            <w:pPr>
              <w:spacing w:line="240" w:lineRule="auto"/>
              <w:jc w:val="right"/>
              <w:rPr>
                <w:color w:val="000000"/>
                <w:sz w:val="16"/>
              </w:rPr>
            </w:pPr>
            <w:r w:rsidRPr="00022BA7">
              <w:rPr>
                <w:rFonts w:eastAsia="Times New Roman"/>
                <w:color w:val="000000"/>
                <w:sz w:val="16"/>
                <w:szCs w:val="16"/>
              </w:rPr>
              <w:t>2022</w:t>
            </w: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06BCB83A" w14:textId="77777777" w:rsidR="0097383D" w:rsidRPr="00022BA7" w:rsidRDefault="0097383D" w:rsidP="0067573D">
            <w:pPr>
              <w:spacing w:line="240" w:lineRule="auto"/>
              <w:jc w:val="center"/>
              <w:rPr>
                <w:color w:val="000000"/>
                <w:sz w:val="16"/>
              </w:rPr>
            </w:pPr>
            <w:r w:rsidRPr="00022BA7">
              <w:rPr>
                <w:rFonts w:eastAsia="Times New Roman"/>
                <w:color w:val="000000"/>
                <w:sz w:val="16"/>
                <w:szCs w:val="16"/>
              </w:rPr>
              <w:t>377.5</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0F42B77" w14:textId="2731AC8B" w:rsidR="0097383D" w:rsidRPr="00191862" w:rsidRDefault="0097383D" w:rsidP="0067573D">
            <w:pPr>
              <w:pStyle w:val="ListParagraph"/>
              <w:numPr>
                <w:ilvl w:val="0"/>
                <w:numId w:val="49"/>
              </w:numPr>
              <w:spacing w:line="240" w:lineRule="auto"/>
              <w:ind w:left="125" w:hanging="125"/>
              <w:rPr>
                <w:rFonts w:eastAsia="Times New Roman"/>
                <w:color w:val="000000"/>
                <w:sz w:val="16"/>
                <w:szCs w:val="16"/>
              </w:rPr>
            </w:pPr>
            <w:r w:rsidRPr="00191862">
              <w:rPr>
                <w:rFonts w:eastAsia="Times New Roman"/>
                <w:color w:val="000000"/>
                <w:sz w:val="16"/>
                <w:szCs w:val="16"/>
              </w:rPr>
              <w:t>$151/kWh battery pack cost</w:t>
            </w:r>
            <w:r w:rsidR="00EF1973">
              <w:rPr>
                <w:rFonts w:eastAsia="Times New Roman"/>
                <w:color w:val="000000"/>
                <w:sz w:val="16"/>
                <w:szCs w:val="16"/>
              </w:rPr>
              <w:fldChar w:fldCharType="begin"/>
            </w:r>
            <w:r w:rsidR="000F2CEE">
              <w:rPr>
                <w:rFonts w:eastAsia="Times New Roman"/>
                <w:color w:val="000000"/>
                <w:sz w:val="16"/>
                <w:szCs w:val="16"/>
              </w:rPr>
              <w:instrText xml:space="preserve"> ADDIN ZOTERO_ITEM CSL_CITATION {"citationID":"2tAsH9gE","properties":{"formattedCitation":"\\super 38\\nosupersub{}","plainCitation":"38","noteIndex":0},"citationItems":[{"id":168,"uris":["http://zotero.org/users/12468222/items/ENJC3YS6"],"itemData":{"id":168,"type":"post-weblog","abstract":"BloombergNEF’s annual battery price survey finds prices increased by 7% from 2021 to 2022   New York, December 6, 2022 – Rising raw material and","container-title":"BloombergNEF","language":"en-US","note":"section: Press Release","title":"Lithium-ion Battery Pack Prices Rise for First Time to an Average of $151/kWh","URL":"https://about.bnef.com/blog/lithium-ion-battery-pack-prices-rise-for-first-time-to-an-average-of-151-kwh/","author":[{"family":"Gordon","given":"Oliver"}],"accessed":{"date-parts":[["2023",9,26]]},"issued":{"date-parts":[["2022",12,6]]}}}],"schema":"https://github.com/citation-style-language/schema/raw/master/csl-citation.json"} </w:instrText>
            </w:r>
            <w:r w:rsidR="00EF1973">
              <w:rPr>
                <w:rFonts w:eastAsia="Times New Roman"/>
                <w:color w:val="000000"/>
                <w:sz w:val="16"/>
                <w:szCs w:val="16"/>
              </w:rPr>
              <w:fldChar w:fldCharType="separate"/>
            </w:r>
            <w:r w:rsidR="000F2CEE" w:rsidRPr="000F2CEE">
              <w:rPr>
                <w:rFonts w:cs="Times New Roman"/>
                <w:sz w:val="16"/>
                <w:szCs w:val="24"/>
                <w:vertAlign w:val="superscript"/>
              </w:rPr>
              <w:t>38</w:t>
            </w:r>
            <w:r w:rsidR="00EF1973">
              <w:rPr>
                <w:rFonts w:eastAsia="Times New Roman"/>
                <w:color w:val="000000"/>
                <w:sz w:val="16"/>
                <w:szCs w:val="16"/>
              </w:rPr>
              <w:fldChar w:fldCharType="end"/>
            </w:r>
          </w:p>
          <w:p w14:paraId="02343606" w14:textId="58E320C0" w:rsidR="0097383D" w:rsidRPr="00191862" w:rsidRDefault="0097383D" w:rsidP="0067573D">
            <w:pPr>
              <w:pStyle w:val="ListParagraph"/>
              <w:numPr>
                <w:ilvl w:val="0"/>
                <w:numId w:val="49"/>
              </w:numPr>
              <w:spacing w:line="240" w:lineRule="auto"/>
              <w:ind w:left="125" w:hanging="125"/>
              <w:rPr>
                <w:rFonts w:eastAsia="Times New Roman"/>
                <w:color w:val="000000"/>
                <w:sz w:val="16"/>
                <w:szCs w:val="16"/>
              </w:rPr>
            </w:pPr>
            <w:r w:rsidRPr="00191862">
              <w:rPr>
                <w:rFonts w:eastAsia="Times New Roman"/>
                <w:color w:val="000000"/>
                <w:sz w:val="16"/>
                <w:szCs w:val="16"/>
              </w:rPr>
              <w:t>40% of battery pack share in battery system cost</w:t>
            </w:r>
            <w:r w:rsidR="00EF1973">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{"citationID":"C2sXhlFh","properties":{"formattedCitation":"\\super 33\\nosupersub{}","plainCitation":"33","noteIndex":0},"citationItems":[{"id":294,"uris":["http://zotero.org/users/12468222/items/JUI6TRSI"],"itemData":{"id":294,"type":"report","title":"Batteries on Board Ocean-Going Vessels","URL":"https://www.man-es.com/docs/default-source/marine/tools/batteries-on-board-ocean-going-vessels.pdf","author":[{"family":"MAN Energy Solutions","given":""}],"issued":{"date-parts":[["2020"]]}}}],"schema":"https://github.com/citation-style-language/schema/raw/master/csl-citation.json"} </w:instrText>
            </w:r>
            <w:r w:rsidR="00EF1973">
              <w:rPr>
                <w:rFonts w:eastAsia="Times New Roman"/>
                <w:color w:val="000000"/>
                <w:sz w:val="16"/>
                <w:szCs w:val="16"/>
              </w:rPr>
              <w:fldChar w:fldCharType="separate"/>
            </w:r>
            <w:r w:rsidR="00F33969" w:rsidRPr="00F33969">
              <w:rPr>
                <w:rFonts w:cs="Times New Roman"/>
                <w:sz w:val="16"/>
                <w:szCs w:val="24"/>
                <w:vertAlign w:val="superscript"/>
              </w:rPr>
              <w:t>33</w:t>
            </w:r>
            <w:r w:rsidR="00EF1973">
              <w:rPr>
                <w:rFonts w:eastAsia="Times New Roman"/>
                <w:color w:val="000000"/>
                <w:sz w:val="16"/>
                <w:szCs w:val="16"/>
              </w:rPr>
              <w:fldChar w:fldCharType="end"/>
            </w:r>
          </w:p>
          <w:p w14:paraId="280923BA" w14:textId="15DF6546" w:rsidR="0097383D" w:rsidRPr="00191862" w:rsidRDefault="0097383D" w:rsidP="0067573D">
            <w:pPr>
              <w:pStyle w:val="ListParagraph"/>
              <w:numPr>
                <w:ilvl w:val="0"/>
                <w:numId w:val="49"/>
              </w:numPr>
              <w:spacing w:line="240" w:lineRule="auto"/>
              <w:ind w:left="125" w:hanging="125"/>
              <w:rPr>
                <w:color w:val="000000"/>
                <w:sz w:val="16"/>
              </w:rPr>
            </w:pPr>
            <w:r w:rsidRPr="00191862">
              <w:rPr>
                <w:rFonts w:eastAsia="Times New Roman"/>
                <w:color w:val="000000"/>
                <w:sz w:val="16"/>
                <w:szCs w:val="16"/>
              </w:rPr>
              <w:t>Cost projection of 1-hour commercial battery storage from Annual Technology Baseline, NREL</w:t>
            </w:r>
            <w:r w:rsidR="002A7405">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{"citationID":"8CiiJsFc","properties":{"formattedCitation":"\\super 31\\nosupersub{}","plainCitation":"31","noteIndex":0},"citationItems":[{"id":48,"uris":["http://zotero.org/users/12468222/items/BR5FLRFR"],"itemData":{"id":48,"type":"dataset","title":"2022 Annual Technology Baseline","URL":"https://atb.nrel.gov/electricity/2022/about","author":[{"family":"National Renewable Energy Laboratory","given":""}],"accessed":{"date-parts":[["2023",8,4]]}}}],"schema":"https://github.com/citation-style-language/schema/raw/master/csl-citation.json"} </w:instrText>
            </w:r>
            <w:r w:rsidR="002A7405">
              <w:rPr>
                <w:rFonts w:eastAsia="Times New Roman"/>
                <w:color w:val="000000"/>
                <w:sz w:val="16"/>
                <w:szCs w:val="16"/>
              </w:rPr>
              <w:fldChar w:fldCharType="separate"/>
            </w:r>
            <w:r w:rsidR="00F33969" w:rsidRPr="00F33969">
              <w:rPr>
                <w:rFonts w:cs="Times New Roman"/>
                <w:sz w:val="16"/>
                <w:szCs w:val="24"/>
                <w:vertAlign w:val="superscript"/>
              </w:rPr>
              <w:t>31</w:t>
            </w:r>
            <w:r w:rsidR="002A7405">
              <w:rPr>
                <w:rFonts w:eastAsia="Times New Roman"/>
                <w:color w:val="000000"/>
                <w:sz w:val="16"/>
                <w:szCs w:val="16"/>
              </w:rPr>
              <w:fldChar w:fldCharType="end"/>
            </w:r>
          </w:p>
        </w:tc>
      </w:tr>
      <w:tr w:rsidR="0097383D" w:rsidRPr="00022BA7" w14:paraId="4034D0CF"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C5657DE" w14:textId="77777777" w:rsidR="0097383D" w:rsidRPr="00022BA7" w:rsidRDefault="0097383D" w:rsidP="0067573D">
            <w:pPr>
              <w:spacing w:line="240" w:lineRule="auto"/>
              <w:rPr>
                <w:color w:val="000000"/>
                <w:sz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2775B43F" w14:textId="77777777" w:rsidR="0097383D" w:rsidRPr="00022BA7" w:rsidRDefault="0097383D" w:rsidP="0067573D">
            <w:pPr>
              <w:spacing w:line="240" w:lineRule="auto"/>
              <w:jc w:val="center"/>
              <w:rPr>
                <w:sz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990A223" w14:textId="77777777" w:rsidR="0097383D" w:rsidRPr="00022BA7" w:rsidRDefault="0097383D" w:rsidP="0067573D">
            <w:pPr>
              <w:spacing w:line="240" w:lineRule="auto"/>
              <w:jc w:val="right"/>
              <w:rPr>
                <w:color w:val="000000"/>
                <w:sz w:val="16"/>
              </w:rPr>
            </w:pPr>
            <w:r w:rsidRPr="00022BA7">
              <w:rPr>
                <w:rFonts w:eastAsia="Times New Roman"/>
                <w:color w:val="000000"/>
                <w:sz w:val="16"/>
                <w:szCs w:val="16"/>
              </w:rPr>
              <w:t>2035</w:t>
            </w:r>
          </w:p>
        </w:tc>
        <w:tc>
          <w:tcPr>
            <w:tcW w:w="900" w:type="dxa"/>
            <w:tcBorders>
              <w:top w:val="single" w:sz="4" w:space="0" w:color="auto"/>
              <w:left w:val="single" w:sz="4" w:space="0" w:color="auto"/>
              <w:bottom w:val="single" w:sz="4" w:space="0" w:color="auto"/>
              <w:right w:val="single" w:sz="4" w:space="0" w:color="auto"/>
            </w:tcBorders>
            <w:vAlign w:val="bottom"/>
          </w:tcPr>
          <w:p w14:paraId="6CA8FCF7" w14:textId="77777777" w:rsidR="0097383D" w:rsidRPr="00022BA7" w:rsidRDefault="0097383D" w:rsidP="0067573D">
            <w:pPr>
              <w:spacing w:line="240" w:lineRule="auto"/>
              <w:jc w:val="center"/>
              <w:rPr>
                <w:color w:val="000000"/>
                <w:sz w:val="16"/>
              </w:rPr>
            </w:pPr>
            <w:r w:rsidRPr="00022BA7">
              <w:rPr>
                <w:rFonts w:eastAsia="Times New Roman"/>
                <w:color w:val="000000"/>
                <w:sz w:val="16"/>
                <w:szCs w:val="16"/>
              </w:rPr>
              <w:t>173.7</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29FD9148" w14:textId="77777777" w:rsidR="0097383D" w:rsidRPr="00022BA7" w:rsidRDefault="0097383D" w:rsidP="0067573D">
            <w:pPr>
              <w:spacing w:line="240" w:lineRule="auto"/>
              <w:jc w:val="center"/>
              <w:rPr>
                <w:color w:val="000000"/>
                <w:sz w:val="16"/>
              </w:rPr>
            </w:pPr>
            <w:r w:rsidRPr="00022BA7">
              <w:rPr>
                <w:rFonts w:eastAsia="Times New Roman"/>
                <w:color w:val="000000"/>
                <w:sz w:val="16"/>
                <w:szCs w:val="16"/>
              </w:rPr>
              <w:t>253.5</w:t>
            </w:r>
          </w:p>
        </w:tc>
        <w:tc>
          <w:tcPr>
            <w:tcW w:w="990" w:type="dxa"/>
            <w:tcBorders>
              <w:top w:val="single" w:sz="4" w:space="0" w:color="auto"/>
              <w:left w:val="single" w:sz="4" w:space="0" w:color="auto"/>
              <w:bottom w:val="single" w:sz="4" w:space="0" w:color="auto"/>
              <w:right w:val="single" w:sz="4" w:space="0" w:color="auto"/>
            </w:tcBorders>
            <w:vAlign w:val="bottom"/>
          </w:tcPr>
          <w:p w14:paraId="7FBB533D"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319.8</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075546E" w14:textId="77777777" w:rsidR="0097383D" w:rsidRPr="00022BA7" w:rsidDel="001E36B3" w:rsidRDefault="0097383D" w:rsidP="0067573D">
            <w:pPr>
              <w:spacing w:line="240" w:lineRule="auto"/>
              <w:rPr>
                <w:rFonts w:eastAsia="Times New Roman"/>
                <w:color w:val="000000"/>
                <w:sz w:val="16"/>
                <w:szCs w:val="16"/>
              </w:rPr>
            </w:pPr>
          </w:p>
        </w:tc>
      </w:tr>
      <w:tr w:rsidR="0097383D" w:rsidRPr="00022BA7" w14:paraId="0A124ED1"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53B6EAA"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141144F4" w14:textId="77777777" w:rsidR="0097383D" w:rsidRPr="00022BA7" w:rsidDel="001E36B3"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58F0C45" w14:textId="77777777" w:rsidR="0097383D" w:rsidRPr="00022BA7" w:rsidDel="001E36B3"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2050</w:t>
            </w:r>
          </w:p>
        </w:tc>
        <w:tc>
          <w:tcPr>
            <w:tcW w:w="900" w:type="dxa"/>
            <w:tcBorders>
              <w:top w:val="single" w:sz="4" w:space="0" w:color="auto"/>
              <w:left w:val="single" w:sz="4" w:space="0" w:color="auto"/>
              <w:bottom w:val="single" w:sz="4" w:space="0" w:color="auto"/>
              <w:right w:val="single" w:sz="4" w:space="0" w:color="auto"/>
            </w:tcBorders>
            <w:vAlign w:val="center"/>
          </w:tcPr>
          <w:p w14:paraId="0BD6A5C9"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139.0</w:t>
            </w:r>
          </w:p>
        </w:tc>
        <w:tc>
          <w:tcPr>
            <w:tcW w:w="1080" w:type="dxa"/>
            <w:tcBorders>
              <w:top w:val="single" w:sz="4" w:space="0" w:color="auto"/>
              <w:left w:val="single" w:sz="4" w:space="0" w:color="auto"/>
              <w:bottom w:val="single" w:sz="4" w:space="0" w:color="auto"/>
              <w:right w:val="single" w:sz="4" w:space="0" w:color="auto"/>
            </w:tcBorders>
            <w:vAlign w:val="center"/>
          </w:tcPr>
          <w:p w14:paraId="44A2C718"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202.8</w:t>
            </w:r>
          </w:p>
        </w:tc>
        <w:tc>
          <w:tcPr>
            <w:tcW w:w="990" w:type="dxa"/>
            <w:tcBorders>
              <w:top w:val="single" w:sz="4" w:space="0" w:color="auto"/>
              <w:left w:val="single" w:sz="4" w:space="0" w:color="auto"/>
              <w:bottom w:val="single" w:sz="4" w:space="0" w:color="auto"/>
              <w:right w:val="single" w:sz="4" w:space="0" w:color="auto"/>
            </w:tcBorders>
            <w:vAlign w:val="center"/>
          </w:tcPr>
          <w:p w14:paraId="33BCAA9A" w14:textId="77777777" w:rsidR="0097383D" w:rsidRPr="00022BA7" w:rsidDel="00082E54"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319.8</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7E9A957" w14:textId="77777777" w:rsidR="0097383D" w:rsidRPr="00022BA7" w:rsidDel="001E36B3" w:rsidRDefault="0097383D" w:rsidP="0067573D">
            <w:pPr>
              <w:spacing w:line="240" w:lineRule="auto"/>
              <w:rPr>
                <w:rFonts w:eastAsia="Times New Roman"/>
                <w:color w:val="000000"/>
                <w:sz w:val="16"/>
                <w:szCs w:val="16"/>
              </w:rPr>
            </w:pPr>
          </w:p>
        </w:tc>
      </w:tr>
      <w:tr w:rsidR="0097383D" w:rsidRPr="00022BA7" w14:paraId="6234E8A7" w14:textId="77777777" w:rsidTr="0067573D">
        <w:trPr>
          <w:trHeight w:val="196"/>
        </w:trPr>
        <w:tc>
          <w:tcPr>
            <w:tcW w:w="1525"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B666417"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CO</w:t>
            </w:r>
            <w:r w:rsidRPr="00022BA7">
              <w:rPr>
                <w:rFonts w:eastAsia="Times New Roman"/>
                <w:color w:val="000000"/>
                <w:sz w:val="16"/>
                <w:szCs w:val="16"/>
                <w:vertAlign w:val="subscript"/>
              </w:rPr>
              <w:t>2</w:t>
            </w:r>
            <w:r w:rsidRPr="00022BA7">
              <w:rPr>
                <w:rFonts w:eastAsia="Times New Roman"/>
                <w:color w:val="000000"/>
                <w:sz w:val="16"/>
                <w:szCs w:val="16"/>
              </w:rPr>
              <w:t>e social cost ($/CO</w:t>
            </w:r>
            <w:r w:rsidRPr="00022BA7">
              <w:rPr>
                <w:rFonts w:eastAsia="Times New Roman"/>
                <w:color w:val="000000"/>
                <w:sz w:val="16"/>
                <w:szCs w:val="16"/>
                <w:vertAlign w:val="subscript"/>
              </w:rPr>
              <w:t>2</w:t>
            </w:r>
            <w:r w:rsidRPr="00022BA7">
              <w:rPr>
                <w:rFonts w:eastAsia="Times New Roman"/>
                <w:color w:val="000000"/>
                <w:sz w:val="16"/>
                <w:szCs w:val="16"/>
              </w:rPr>
              <w:t xml:space="preserve">e </w:t>
            </w:r>
            <w:proofErr w:type="spellStart"/>
            <w:r w:rsidRPr="00022BA7">
              <w:rPr>
                <w:rFonts w:eastAsia="Times New Roman"/>
                <w:color w:val="000000"/>
                <w:sz w:val="16"/>
                <w:szCs w:val="16"/>
              </w:rPr>
              <w:t>tonnes</w:t>
            </w:r>
            <w:proofErr w:type="spellEnd"/>
            <w:r w:rsidRPr="00022BA7">
              <w:rPr>
                <w:rFonts w:eastAsia="Times New Roman"/>
                <w:color w:val="000000"/>
                <w:sz w:val="16"/>
                <w:szCs w:val="16"/>
              </w:rPr>
              <w:t>)</w:t>
            </w:r>
          </w:p>
        </w:tc>
        <w:tc>
          <w:tcPr>
            <w:tcW w:w="740" w:type="dxa"/>
            <w:vMerge w:val="restart"/>
            <w:tcBorders>
              <w:top w:val="single" w:sz="4" w:space="0" w:color="auto"/>
              <w:left w:val="single" w:sz="4" w:space="0" w:color="auto"/>
              <w:bottom w:val="single" w:sz="4" w:space="0" w:color="auto"/>
              <w:right w:val="single" w:sz="4" w:space="0" w:color="auto"/>
            </w:tcBorders>
            <w:vAlign w:val="center"/>
          </w:tcPr>
          <w:p w14:paraId="221AC117" w14:textId="77777777" w:rsidR="0097383D" w:rsidRPr="00022BA7" w:rsidRDefault="00590C69" w:rsidP="0067573D">
            <w:pPr>
              <w:spacing w:line="240" w:lineRule="auto"/>
              <w:jc w:val="center"/>
              <w:rPr>
                <w:rFonts w:eastAsia="Times New Roman" w:cs="Times New Roman"/>
                <w:sz w:val="16"/>
                <w:szCs w:val="16"/>
              </w:rPr>
            </w:pPr>
            <m:oMathPara>
              <m:oMath>
                <m:sSub>
                  <m:sSubPr>
                    <m:ctrlPr>
                      <w:rPr>
                        <w:rFonts w:ascii="Cambria Math" w:hAnsi="Cambria Math"/>
                        <w:i/>
                        <w:sz w:val="16"/>
                        <w:szCs w:val="16"/>
                      </w:rPr>
                    </m:ctrlPr>
                  </m:sSubPr>
                  <m:e>
                    <m:r>
                      <w:rPr>
                        <w:rFonts w:ascii="Cambria Math" w:hAnsi="Cambria Math"/>
                        <w:sz w:val="16"/>
                        <w:szCs w:val="16"/>
                      </w:rPr>
                      <m:t>λ</m:t>
                    </m:r>
                  </m:e>
                  <m:sub>
                    <m:r>
                      <w:rPr>
                        <w:rFonts w:ascii="Cambria Math" w:hAnsi="Cambria Math"/>
                        <w:sz w:val="16"/>
                        <w:szCs w:val="16"/>
                      </w:rPr>
                      <m:t>C</m:t>
                    </m:r>
                    <m:sSub>
                      <m:sSubPr>
                        <m:ctrlPr>
                          <w:rPr>
                            <w:rFonts w:ascii="Cambria Math" w:hAnsi="Cambria Math"/>
                            <w:i/>
                            <w:sz w:val="16"/>
                            <w:szCs w:val="16"/>
                          </w:rPr>
                        </m:ctrlPr>
                      </m:sSubPr>
                      <m:e>
                        <m:r>
                          <w:rPr>
                            <w:rFonts w:ascii="Cambria Math" w:hAnsi="Cambria Math"/>
                            <w:sz w:val="16"/>
                            <w:szCs w:val="16"/>
                          </w:rPr>
                          <m:t>O</m:t>
                        </m:r>
                      </m:e>
                      <m:sub>
                        <m:r>
                          <w:rPr>
                            <w:rFonts w:ascii="Cambria Math" w:hAnsi="Cambria Math"/>
                            <w:sz w:val="16"/>
                            <w:szCs w:val="16"/>
                          </w:rPr>
                          <m:t>2</m:t>
                        </m:r>
                      </m:sub>
                    </m:sSub>
                    <m:r>
                      <w:rPr>
                        <w:rFonts w:ascii="Cambria Math" w:hAnsi="Cambria Math"/>
                        <w:sz w:val="16"/>
                        <w:szCs w:val="16"/>
                      </w:rPr>
                      <m:t>e,sc</m:t>
                    </m:r>
                  </m:sub>
                </m:sSub>
                <m:r>
                  <w:rPr>
                    <w:rFonts w:ascii="Cambria Math" w:hAnsi="Cambria Math"/>
                    <w:sz w:val="16"/>
                    <w:szCs w:val="16"/>
                  </w:rPr>
                  <m:t xml:space="preserve"> </m:t>
                </m:r>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76E5735"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2022</w:t>
            </w: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5F1493DF"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190</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379C986" w14:textId="43BEF390"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Social cost of CO</w:t>
            </w:r>
            <w:r w:rsidRPr="00022BA7">
              <w:rPr>
                <w:rFonts w:eastAsia="Times New Roman"/>
                <w:color w:val="000000"/>
                <w:sz w:val="16"/>
                <w:szCs w:val="16"/>
                <w:vertAlign w:val="subscript"/>
              </w:rPr>
              <w:t>2</w:t>
            </w:r>
            <w:r w:rsidRPr="00022BA7">
              <w:rPr>
                <w:rFonts w:eastAsia="Times New Roman"/>
                <w:color w:val="000000"/>
                <w:sz w:val="16"/>
                <w:szCs w:val="16"/>
              </w:rPr>
              <w:t xml:space="preserve"> under </w:t>
            </w:r>
            <w:r>
              <w:rPr>
                <w:rFonts w:eastAsia="Times New Roman"/>
                <w:color w:val="000000"/>
                <w:sz w:val="16"/>
                <w:szCs w:val="16"/>
              </w:rPr>
              <w:t xml:space="preserve">a </w:t>
            </w:r>
            <w:r w:rsidRPr="00022BA7">
              <w:rPr>
                <w:rFonts w:eastAsia="Times New Roman"/>
                <w:color w:val="000000"/>
                <w:sz w:val="16"/>
                <w:szCs w:val="16"/>
              </w:rPr>
              <w:t>2% interest rate</w:t>
            </w:r>
            <w:r w:rsidR="00C76DF3">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{"citationID":"il3OVYTt","properties":{"formattedCitation":"\\super 25\\nosupersub{}","plainCitation":"25","noteIndex":0},"citationItems":[{"id":279,"uris":["http://zotero.org/users/12468222/items/RZT44IB4"],"itemData":{"id":279,"type":"webpage","abstract":"EPA is committed to making evidence-based decisions pertaining to the methodologies used in EPA analyses, guided by the best available science and input from the public and peer reviewers. Thus, as noted in previous EPA regulatory impact analyses, EPA is continuously reviewing developments in the scientific literature on the social cost of greenhouse gases (SC-GHG), including more robust methodologies for estimating damages from emissions, and looking for opportunities to further improve SC-GHG estimation going forward. In the regulatory impact analysis of EPA’s November 2022 supplemental proposal for oil and gas standards, the Agency included a sensitivity analysis of the climate benefits of the proposed rule using a new set of SC-GHG estimates that incorporates recent research addressing recommendations of the National Academies of Science, Engineering, and Medicine (2017), in addition to using the current Interagency Working Group on the SC-GHG recommended interim estimates. This draft technical report, “Report on the Social Cost of Greenhouse Gases: Estimates Incorporating Recent Scientific Advances,” explains the methodology underlying the new set of estimates. Estimates of the social cost of carbon (SC-CO2), social cost of methane (SC-CH4), and social cost of nitrous oxide (SC-N2O), collectively called the Social Cost of Greenhouse Gases (SC-GHG), are used to monetize the climate benefits of policies that reduce greenhouse gas emissions, or conversely, the climate damages of increasing such emissions.","container-title":"U.S. Environmental Protection Agency","language":"en","title":"Report on the Social Cost of  Greenhouse Gases: Estimates Incorporating Recent Scientific Advances","title-short":"Report on the Social Cost of Greenhouse Gases","URL":"https://cfpub.epa.gov/si/si_public_record_report.cfm?Lab=NCEE&amp;dirEntryId=356357","author":[{"literal":"U.S. Environmental Protection Agency"}],"accessed":{"date-parts":[["2023",9,26]]},"issued":{"date-parts":[["2022"]]}}}],"schema":"https://github.com/citation-style-language/schema/raw/master/csl-citation.json"} </w:instrText>
            </w:r>
            <w:r w:rsidR="00C76DF3">
              <w:rPr>
                <w:rFonts w:eastAsia="Times New Roman"/>
                <w:color w:val="000000"/>
                <w:sz w:val="16"/>
                <w:szCs w:val="16"/>
              </w:rPr>
              <w:fldChar w:fldCharType="separate"/>
            </w:r>
            <w:r w:rsidR="00F33969" w:rsidRPr="00F33969">
              <w:rPr>
                <w:rFonts w:cs="Times New Roman"/>
                <w:sz w:val="16"/>
                <w:szCs w:val="24"/>
                <w:vertAlign w:val="superscript"/>
              </w:rPr>
              <w:t>25</w:t>
            </w:r>
            <w:r w:rsidR="00C76DF3">
              <w:rPr>
                <w:rFonts w:eastAsia="Times New Roman"/>
                <w:color w:val="000000"/>
                <w:sz w:val="16"/>
                <w:szCs w:val="16"/>
              </w:rPr>
              <w:fldChar w:fldCharType="end"/>
            </w:r>
          </w:p>
        </w:tc>
      </w:tr>
      <w:tr w:rsidR="0097383D" w:rsidRPr="00022BA7" w14:paraId="123309D7" w14:textId="77777777" w:rsidTr="0067573D">
        <w:trPr>
          <w:trHeight w:val="196"/>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22CE39BE"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5C89F727" w14:textId="77777777" w:rsidR="0097383D" w:rsidRPr="00022BA7"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3DB77CC"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2035</w:t>
            </w: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058FA4C8"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250</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2B12DB2" w14:textId="77777777" w:rsidR="0097383D" w:rsidRPr="00022BA7" w:rsidRDefault="0097383D" w:rsidP="0067573D">
            <w:pPr>
              <w:spacing w:line="240" w:lineRule="auto"/>
              <w:rPr>
                <w:rFonts w:eastAsia="Times New Roman"/>
                <w:color w:val="000000"/>
                <w:sz w:val="16"/>
                <w:szCs w:val="16"/>
              </w:rPr>
            </w:pPr>
          </w:p>
        </w:tc>
      </w:tr>
      <w:tr w:rsidR="0097383D" w:rsidRPr="00022BA7" w14:paraId="5734C31C" w14:textId="77777777" w:rsidTr="0067573D">
        <w:trPr>
          <w:trHeight w:val="20"/>
        </w:trPr>
        <w:tc>
          <w:tcPr>
            <w:tcW w:w="152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4B0D4077" w14:textId="77777777" w:rsidR="0097383D" w:rsidRPr="00022BA7" w:rsidRDefault="0097383D" w:rsidP="0067573D">
            <w:pPr>
              <w:spacing w:line="240" w:lineRule="auto"/>
              <w:rPr>
                <w:rFonts w:eastAsia="Times New Roman"/>
                <w:color w:val="000000"/>
                <w:sz w:val="16"/>
                <w:szCs w:val="16"/>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566EFA62" w14:textId="77777777" w:rsidR="0097383D" w:rsidRPr="00022BA7" w:rsidRDefault="0097383D" w:rsidP="0067573D">
            <w:pPr>
              <w:spacing w:line="240" w:lineRule="auto"/>
              <w:jc w:val="center"/>
              <w:rPr>
                <w:rFonts w:eastAsia="Times New Roman" w:cs="Times New Roman"/>
                <w:sz w:val="16"/>
                <w:szCs w:val="16"/>
              </w:rPr>
            </w:pPr>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A8863AE" w14:textId="77777777" w:rsidR="0097383D" w:rsidRPr="00022BA7" w:rsidRDefault="0097383D" w:rsidP="0067573D">
            <w:pPr>
              <w:spacing w:line="240" w:lineRule="auto"/>
              <w:jc w:val="right"/>
              <w:rPr>
                <w:rFonts w:eastAsia="Times New Roman"/>
                <w:color w:val="000000"/>
                <w:sz w:val="16"/>
                <w:szCs w:val="16"/>
              </w:rPr>
            </w:pPr>
            <w:r w:rsidRPr="00022BA7">
              <w:rPr>
                <w:rFonts w:eastAsia="Times New Roman"/>
                <w:color w:val="000000"/>
                <w:sz w:val="16"/>
                <w:szCs w:val="16"/>
              </w:rPr>
              <w:t>2050</w:t>
            </w: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5D65017F"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310</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6F74593" w14:textId="77777777" w:rsidR="0097383D" w:rsidRPr="00022BA7" w:rsidRDefault="0097383D" w:rsidP="0067573D">
            <w:pPr>
              <w:spacing w:line="240" w:lineRule="auto"/>
              <w:rPr>
                <w:rFonts w:eastAsia="Times New Roman"/>
                <w:color w:val="000000"/>
                <w:sz w:val="16"/>
                <w:szCs w:val="16"/>
              </w:rPr>
            </w:pPr>
          </w:p>
        </w:tc>
      </w:tr>
      <w:tr w:rsidR="0097383D" w:rsidRPr="00022BA7" w14:paraId="77854DDB" w14:textId="77777777" w:rsidTr="0067573D">
        <w:trPr>
          <w:trHeight w:val="20"/>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E2DF78B" w14:textId="77777777" w:rsidR="0097383D" w:rsidRPr="00022BA7" w:rsidRDefault="0097383D" w:rsidP="0067573D">
            <w:pPr>
              <w:spacing w:line="240" w:lineRule="auto"/>
              <w:rPr>
                <w:rFonts w:eastAsia="Times New Roman"/>
                <w:color w:val="000000"/>
                <w:sz w:val="16"/>
                <w:szCs w:val="16"/>
                <w:lang w:val="fr-FR"/>
              </w:rPr>
            </w:pPr>
            <w:r w:rsidRPr="00022BA7">
              <w:rPr>
                <w:rFonts w:eastAsia="Times New Roman"/>
                <w:color w:val="000000"/>
                <w:sz w:val="16"/>
                <w:szCs w:val="16"/>
                <w:lang w:val="fr-FR"/>
              </w:rPr>
              <w:t>NO</w:t>
            </w:r>
            <w:r w:rsidRPr="00022BA7">
              <w:rPr>
                <w:rFonts w:eastAsia="Times New Roman"/>
                <w:color w:val="000000"/>
                <w:sz w:val="16"/>
                <w:szCs w:val="16"/>
                <w:vertAlign w:val="subscript"/>
                <w:lang w:val="fr-FR"/>
              </w:rPr>
              <w:t>x</w:t>
            </w:r>
            <w:r w:rsidRPr="00022BA7">
              <w:rPr>
                <w:rFonts w:eastAsia="Times New Roman"/>
                <w:color w:val="000000"/>
                <w:sz w:val="16"/>
                <w:szCs w:val="16"/>
                <w:lang w:val="fr-FR"/>
              </w:rPr>
              <w:t xml:space="preserve"> </w:t>
            </w:r>
            <w:r w:rsidRPr="00022BA7">
              <w:rPr>
                <w:rFonts w:eastAsia="Times New Roman"/>
                <w:color w:val="000000"/>
                <w:sz w:val="16"/>
                <w:szCs w:val="16"/>
              </w:rPr>
              <w:t>emission cost</w:t>
            </w:r>
          </w:p>
          <w:p w14:paraId="647E5853" w14:textId="77777777" w:rsidR="0097383D" w:rsidRPr="00022BA7" w:rsidRDefault="0097383D" w:rsidP="0067573D">
            <w:pPr>
              <w:spacing w:line="240" w:lineRule="auto"/>
              <w:rPr>
                <w:rFonts w:eastAsia="Times New Roman"/>
                <w:color w:val="000000"/>
                <w:sz w:val="16"/>
                <w:szCs w:val="16"/>
                <w:lang w:val="fr-FR"/>
              </w:rPr>
            </w:pPr>
            <w:r w:rsidRPr="00022BA7">
              <w:rPr>
                <w:rFonts w:eastAsia="Times New Roman"/>
                <w:color w:val="000000"/>
                <w:sz w:val="16"/>
                <w:szCs w:val="16"/>
                <w:lang w:val="fr-FR"/>
              </w:rPr>
              <w:t>($/NO</w:t>
            </w:r>
            <w:r w:rsidRPr="00022BA7">
              <w:rPr>
                <w:rFonts w:eastAsia="Times New Roman"/>
                <w:color w:val="000000"/>
                <w:sz w:val="16"/>
                <w:szCs w:val="16"/>
                <w:vertAlign w:val="subscript"/>
                <w:lang w:val="fr-FR"/>
              </w:rPr>
              <w:t>x</w:t>
            </w:r>
            <w:r w:rsidRPr="00022BA7">
              <w:rPr>
                <w:rFonts w:eastAsia="Times New Roman"/>
                <w:color w:val="000000"/>
                <w:sz w:val="16"/>
                <w:szCs w:val="16"/>
                <w:lang w:val="fr-FR"/>
              </w:rPr>
              <w:t xml:space="preserve"> </w:t>
            </w:r>
            <w:r w:rsidRPr="00022BA7">
              <w:rPr>
                <w:noProof/>
                <w:sz w:val="16"/>
                <w:szCs w:val="16"/>
              </w:rPr>
              <w:t>tonnes</w:t>
            </w:r>
            <w:r w:rsidRPr="00022BA7">
              <w:rPr>
                <w:rFonts w:eastAsia="Times New Roman"/>
                <w:color w:val="000000"/>
                <w:sz w:val="16"/>
                <w:szCs w:val="16"/>
                <w:lang w:val="fr-FR"/>
              </w:rPr>
              <w:t>)</w:t>
            </w:r>
          </w:p>
        </w:tc>
        <w:tc>
          <w:tcPr>
            <w:tcW w:w="740" w:type="dxa"/>
            <w:tcBorders>
              <w:top w:val="single" w:sz="4" w:space="0" w:color="auto"/>
              <w:left w:val="single" w:sz="4" w:space="0" w:color="auto"/>
              <w:bottom w:val="single" w:sz="4" w:space="0" w:color="auto"/>
              <w:right w:val="single" w:sz="4" w:space="0" w:color="auto"/>
            </w:tcBorders>
            <w:vAlign w:val="center"/>
          </w:tcPr>
          <w:p w14:paraId="5E0F5745" w14:textId="77777777" w:rsidR="0097383D" w:rsidRPr="00022BA7" w:rsidRDefault="00590C69" w:rsidP="0067573D">
            <w:pPr>
              <w:spacing w:line="240" w:lineRule="auto"/>
              <w:jc w:val="center"/>
              <w:rPr>
                <w:rFonts w:eastAsia="Times New Roman" w:cs="Times New Roman"/>
                <w:sz w:val="16"/>
                <w:szCs w:val="16"/>
              </w:rPr>
            </w:pPr>
            <m:oMathPara>
              <m:oMath>
                <m:sSub>
                  <m:sSubPr>
                    <m:ctrlPr>
                      <w:rPr>
                        <w:rFonts w:ascii="Cambria Math" w:hAnsi="Cambria Math"/>
                        <w:i/>
                        <w:sz w:val="16"/>
                        <w:szCs w:val="16"/>
                      </w:rPr>
                    </m:ctrlPr>
                  </m:sSubPr>
                  <m:e>
                    <m:r>
                      <w:rPr>
                        <w:rFonts w:ascii="Cambria Math" w:hAnsi="Cambria Math"/>
                        <w:sz w:val="16"/>
                        <w:szCs w:val="16"/>
                      </w:rPr>
                      <m:t>λ</m:t>
                    </m:r>
                  </m:e>
                  <m:sub>
                    <m:r>
                      <w:rPr>
                        <w:rFonts w:ascii="Cambria Math" w:hAnsi="Cambria Math"/>
                        <w:sz w:val="16"/>
                        <w:szCs w:val="16"/>
                      </w:rPr>
                      <m:t>N</m:t>
                    </m:r>
                    <m:sSub>
                      <m:sSubPr>
                        <m:ctrlPr>
                          <w:rPr>
                            <w:rFonts w:ascii="Cambria Math" w:hAnsi="Cambria Math"/>
                            <w:i/>
                            <w:sz w:val="16"/>
                            <w:szCs w:val="16"/>
                          </w:rPr>
                        </m:ctrlPr>
                      </m:sSubPr>
                      <m:e>
                        <m:r>
                          <w:rPr>
                            <w:rFonts w:ascii="Cambria Math" w:hAnsi="Cambria Math"/>
                            <w:sz w:val="16"/>
                            <w:szCs w:val="16"/>
                          </w:rPr>
                          <m:t>O</m:t>
                        </m:r>
                      </m:e>
                      <m:sub>
                        <m:r>
                          <w:rPr>
                            <w:rFonts w:ascii="Cambria Math" w:hAnsi="Cambria Math"/>
                            <w:sz w:val="16"/>
                            <w:szCs w:val="16"/>
                          </w:rPr>
                          <m:t>x</m:t>
                        </m:r>
                      </m:sub>
                    </m:sSub>
                  </m:sub>
                </m:sSub>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D93DA38" w14:textId="77777777" w:rsidR="0097383D" w:rsidRPr="00022BA7" w:rsidRDefault="0097383D" w:rsidP="0067573D">
            <w:pPr>
              <w:spacing w:line="240" w:lineRule="auto"/>
              <w:jc w:val="right"/>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7C275C40"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13,000</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D0AEF26" w14:textId="3F7DEB02"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 xml:space="preserve">Average marginal damages per </w:t>
            </w:r>
            <w:proofErr w:type="spellStart"/>
            <w:r w:rsidRPr="00022BA7">
              <w:rPr>
                <w:rFonts w:eastAsia="Times New Roman"/>
                <w:color w:val="000000"/>
                <w:sz w:val="16"/>
                <w:szCs w:val="16"/>
              </w:rPr>
              <w:t>tonnes</w:t>
            </w:r>
            <w:proofErr w:type="spellEnd"/>
            <w:r w:rsidRPr="00022BA7">
              <w:rPr>
                <w:rFonts w:eastAsia="Times New Roman"/>
                <w:color w:val="000000"/>
                <w:sz w:val="16"/>
                <w:szCs w:val="16"/>
              </w:rPr>
              <w:t xml:space="preserve"> of emissions</w:t>
            </w:r>
            <w:r w:rsidR="00FE7382">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{"citationID":"MDOHkFFQ","properties":{"formattedCitation":"\\super 26\\nosupersub{}","plainCitation":"26","noteIndex":0},"citationItems":[{"id":207,"uris":["http://zotero.org/users/12468222/items/D4LEXWSZ"],"itemData":{"id":207,"type":"article-journal","abstract":"Fine particulate matter (PM2.5) air pollution has been recognized as a major source of mortality in the United States for at least 25 years, yet much remains unknown about which sources are the most harmful, let alone how best to target policies to mitigate them. Such efforts can be improved by employing high-resolution geographically explicit methods for quantifying human health impacts of emissions of PM2.5 and its precursors. Here, we provide a detailed examination of the health and economic impacts of PM2.5 pollution in the United States by linking emission sources with resulting pollution concentrations. We estimate that anthropogenic PM2.5 was responsible for 107,000 premature deaths in 2011, at a cost to society of $886 billion. Of these deaths, 57% were associated with pollution caused by energy consumption [e.g., transportation (28%) and electricity generation (14%)]; another 15% with pollution caused by agricultural activities. A small fraction of emissions, concentrated in or near densely populated areas, plays an outsized role in damaging human health with the most damaging 10% of total emissions accounting for 40% of total damages. We find that 33% of damages occur within 8 km of emission sources, but 25% occur more than 256 km away, emphasizing the importance of tracking both local and long-range impacts. Our paper highlights the importance of a fine-scale approach as marginal damages can vary by over an order of magnitude within a single county. Information presented here can assist mitigation efforts by identifying those sources with the greatest health effects.","container-title":"Proceedings of the National Academy of Sciences","DOI":"10.1073/pnas.1816102116","issue":"18","note":"publisher: Proceedings of the National Academy of Sciences","page":"8775-8780","source":"pnas.org (Atypon)","title":"Fine-scale damage estimates of particulate matter air pollution reveal opportunities for location-specific mitigation of emissions","volume":"116","author":[{"family":"Goodkind","given":"Andrew L."},{"family":"Tessum","given":"Christopher W."},{"family":"Coggins","given":"Jay S."},{"family":"Hill","given":"Jason D."},{"family":"Marshall","given":"Julian D."}],"issued":{"date-parts":[["2019",4,30]]}}}],"schema":"https://github.com/citation-style-language/schema/raw/master/csl-citation.json"} </w:instrText>
            </w:r>
            <w:r w:rsidR="00FE7382">
              <w:rPr>
                <w:rFonts w:eastAsia="Times New Roman"/>
                <w:color w:val="000000"/>
                <w:sz w:val="16"/>
                <w:szCs w:val="16"/>
              </w:rPr>
              <w:fldChar w:fldCharType="separate"/>
            </w:r>
            <w:r w:rsidR="00F33969" w:rsidRPr="00F33969">
              <w:rPr>
                <w:rFonts w:cs="Times New Roman"/>
                <w:sz w:val="16"/>
                <w:szCs w:val="24"/>
                <w:vertAlign w:val="superscript"/>
              </w:rPr>
              <w:t>26</w:t>
            </w:r>
            <w:r w:rsidR="00FE7382">
              <w:rPr>
                <w:rFonts w:eastAsia="Times New Roman"/>
                <w:color w:val="000000"/>
                <w:sz w:val="16"/>
                <w:szCs w:val="16"/>
              </w:rPr>
              <w:fldChar w:fldCharType="end"/>
            </w:r>
          </w:p>
        </w:tc>
      </w:tr>
      <w:tr w:rsidR="0097383D" w:rsidRPr="00022BA7" w14:paraId="7943B362" w14:textId="77777777" w:rsidTr="0067573D">
        <w:trPr>
          <w:trHeight w:val="20"/>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008CE95" w14:textId="77777777" w:rsidR="0097383D" w:rsidRPr="00022BA7" w:rsidRDefault="0097383D" w:rsidP="0067573D">
            <w:pPr>
              <w:spacing w:line="240" w:lineRule="auto"/>
              <w:rPr>
                <w:rFonts w:eastAsia="Times New Roman"/>
                <w:color w:val="000000"/>
                <w:sz w:val="16"/>
                <w:szCs w:val="16"/>
                <w:lang w:val="fr-FR"/>
              </w:rPr>
            </w:pPr>
            <w:proofErr w:type="spellStart"/>
            <w:r w:rsidRPr="00022BA7">
              <w:rPr>
                <w:rFonts w:eastAsia="Times New Roman"/>
                <w:color w:val="000000"/>
                <w:sz w:val="16"/>
                <w:szCs w:val="16"/>
                <w:lang w:val="fr-FR"/>
              </w:rPr>
              <w:t>SO</w:t>
            </w:r>
            <w:r w:rsidRPr="00022BA7">
              <w:rPr>
                <w:rFonts w:eastAsia="Times New Roman"/>
                <w:color w:val="000000"/>
                <w:sz w:val="16"/>
                <w:szCs w:val="16"/>
                <w:vertAlign w:val="subscript"/>
                <w:lang w:val="fr-FR"/>
              </w:rPr>
              <w:t>x</w:t>
            </w:r>
            <w:proofErr w:type="spellEnd"/>
            <w:r w:rsidRPr="00022BA7">
              <w:rPr>
                <w:rFonts w:eastAsia="Times New Roman"/>
                <w:color w:val="000000"/>
                <w:sz w:val="16"/>
                <w:szCs w:val="16"/>
                <w:lang w:val="fr-FR"/>
              </w:rPr>
              <w:t xml:space="preserve"> </w:t>
            </w:r>
            <w:proofErr w:type="spellStart"/>
            <w:r w:rsidRPr="00022BA7">
              <w:rPr>
                <w:rFonts w:eastAsia="Times New Roman"/>
                <w:color w:val="000000"/>
                <w:sz w:val="16"/>
                <w:szCs w:val="16"/>
                <w:lang w:val="fr-FR"/>
              </w:rPr>
              <w:t>emission</w:t>
            </w:r>
            <w:proofErr w:type="spellEnd"/>
            <w:r w:rsidRPr="00022BA7">
              <w:rPr>
                <w:rFonts w:eastAsia="Times New Roman"/>
                <w:color w:val="000000"/>
                <w:sz w:val="16"/>
                <w:szCs w:val="16"/>
                <w:lang w:val="fr-FR"/>
              </w:rPr>
              <w:t xml:space="preserve"> </w:t>
            </w:r>
            <w:proofErr w:type="spellStart"/>
            <w:r w:rsidRPr="00022BA7">
              <w:rPr>
                <w:rFonts w:eastAsia="Times New Roman"/>
                <w:color w:val="000000"/>
                <w:sz w:val="16"/>
                <w:szCs w:val="16"/>
                <w:lang w:val="fr-FR"/>
              </w:rPr>
              <w:t>cost</w:t>
            </w:r>
            <w:proofErr w:type="spellEnd"/>
          </w:p>
          <w:p w14:paraId="7CEA0610" w14:textId="77777777" w:rsidR="0097383D" w:rsidRPr="00022BA7" w:rsidRDefault="0097383D" w:rsidP="0067573D">
            <w:pPr>
              <w:spacing w:line="240" w:lineRule="auto"/>
              <w:rPr>
                <w:rFonts w:eastAsia="Times New Roman"/>
                <w:color w:val="000000"/>
                <w:sz w:val="16"/>
                <w:szCs w:val="16"/>
                <w:lang w:val="fr-FR"/>
              </w:rPr>
            </w:pPr>
            <w:r w:rsidRPr="00022BA7">
              <w:rPr>
                <w:rFonts w:eastAsia="Times New Roman"/>
                <w:color w:val="000000"/>
                <w:sz w:val="16"/>
                <w:szCs w:val="16"/>
                <w:lang w:val="fr-FR"/>
              </w:rPr>
              <w:t>($/</w:t>
            </w:r>
            <w:proofErr w:type="spellStart"/>
            <w:r w:rsidRPr="00022BA7">
              <w:rPr>
                <w:rFonts w:eastAsia="Times New Roman"/>
                <w:color w:val="000000"/>
                <w:sz w:val="16"/>
                <w:szCs w:val="16"/>
                <w:lang w:val="fr-FR"/>
              </w:rPr>
              <w:t>SO</w:t>
            </w:r>
            <w:r w:rsidRPr="00022BA7">
              <w:rPr>
                <w:rFonts w:eastAsia="Times New Roman"/>
                <w:color w:val="000000"/>
                <w:sz w:val="16"/>
                <w:szCs w:val="16"/>
                <w:vertAlign w:val="subscript"/>
                <w:lang w:val="fr-FR"/>
              </w:rPr>
              <w:t>x</w:t>
            </w:r>
            <w:proofErr w:type="spellEnd"/>
            <w:r w:rsidRPr="00022BA7">
              <w:rPr>
                <w:rFonts w:eastAsia="Times New Roman"/>
                <w:color w:val="000000"/>
                <w:sz w:val="16"/>
                <w:szCs w:val="16"/>
                <w:lang w:val="fr-FR"/>
              </w:rPr>
              <w:t xml:space="preserve"> </w:t>
            </w:r>
            <w:r w:rsidRPr="00022BA7">
              <w:rPr>
                <w:noProof/>
                <w:sz w:val="16"/>
                <w:szCs w:val="16"/>
              </w:rPr>
              <w:t>tonnes</w:t>
            </w:r>
            <w:r w:rsidRPr="00022BA7">
              <w:rPr>
                <w:rFonts w:eastAsia="Times New Roman"/>
                <w:color w:val="000000"/>
                <w:sz w:val="16"/>
                <w:szCs w:val="16"/>
                <w:lang w:val="fr-FR"/>
              </w:rPr>
              <w:t>)</w:t>
            </w:r>
          </w:p>
        </w:tc>
        <w:tc>
          <w:tcPr>
            <w:tcW w:w="740" w:type="dxa"/>
            <w:tcBorders>
              <w:top w:val="single" w:sz="4" w:space="0" w:color="auto"/>
              <w:left w:val="single" w:sz="4" w:space="0" w:color="auto"/>
              <w:bottom w:val="single" w:sz="4" w:space="0" w:color="auto"/>
              <w:right w:val="single" w:sz="4" w:space="0" w:color="auto"/>
            </w:tcBorders>
            <w:vAlign w:val="center"/>
          </w:tcPr>
          <w:p w14:paraId="38F78F25" w14:textId="77777777" w:rsidR="0097383D" w:rsidRPr="00022BA7" w:rsidRDefault="00590C69" w:rsidP="0067573D">
            <w:pPr>
              <w:spacing w:line="240" w:lineRule="auto"/>
              <w:jc w:val="center"/>
              <w:rPr>
                <w:rFonts w:eastAsia="Times New Roman" w:cs="Times New Roman"/>
                <w:sz w:val="16"/>
                <w:szCs w:val="16"/>
              </w:rPr>
            </w:pPr>
            <m:oMathPara>
              <m:oMath>
                <m:sSub>
                  <m:sSubPr>
                    <m:ctrlPr>
                      <w:rPr>
                        <w:rFonts w:ascii="Cambria Math" w:hAnsi="Cambria Math"/>
                        <w:i/>
                        <w:sz w:val="16"/>
                        <w:szCs w:val="16"/>
                      </w:rPr>
                    </m:ctrlPr>
                  </m:sSubPr>
                  <m:e>
                    <m:r>
                      <w:rPr>
                        <w:rFonts w:ascii="Cambria Math" w:hAnsi="Cambria Math"/>
                        <w:sz w:val="16"/>
                        <w:szCs w:val="16"/>
                      </w:rPr>
                      <m:t>λ</m:t>
                    </m:r>
                  </m:e>
                  <m:sub>
                    <m:r>
                      <w:rPr>
                        <w:rFonts w:ascii="Cambria Math" w:hAnsi="Cambria Math"/>
                        <w:sz w:val="16"/>
                        <w:szCs w:val="16"/>
                      </w:rPr>
                      <m:t>S</m:t>
                    </m:r>
                    <m:sSub>
                      <m:sSubPr>
                        <m:ctrlPr>
                          <w:rPr>
                            <w:rFonts w:ascii="Cambria Math" w:hAnsi="Cambria Math"/>
                            <w:i/>
                            <w:sz w:val="16"/>
                            <w:szCs w:val="16"/>
                          </w:rPr>
                        </m:ctrlPr>
                      </m:sSubPr>
                      <m:e>
                        <m:r>
                          <w:rPr>
                            <w:rFonts w:ascii="Cambria Math" w:hAnsi="Cambria Math"/>
                            <w:sz w:val="16"/>
                            <w:szCs w:val="16"/>
                          </w:rPr>
                          <m:t>O</m:t>
                        </m:r>
                      </m:e>
                      <m:sub>
                        <m:r>
                          <w:rPr>
                            <w:rFonts w:ascii="Cambria Math" w:hAnsi="Cambria Math"/>
                            <w:sz w:val="16"/>
                            <w:szCs w:val="16"/>
                          </w:rPr>
                          <m:t>x</m:t>
                        </m:r>
                      </m:sub>
                    </m:sSub>
                  </m:sub>
                </m:sSub>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0C3B57AF" w14:textId="77777777" w:rsidR="0097383D" w:rsidRPr="00022BA7" w:rsidRDefault="0097383D" w:rsidP="0067573D">
            <w:pPr>
              <w:spacing w:line="240" w:lineRule="auto"/>
              <w:jc w:val="right"/>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5B9F94DD"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24,000</w:t>
            </w: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41EB648" w14:textId="77777777" w:rsidR="0097383D" w:rsidRPr="00022BA7" w:rsidRDefault="0097383D" w:rsidP="0067573D">
            <w:pPr>
              <w:spacing w:line="240" w:lineRule="auto"/>
              <w:rPr>
                <w:rFonts w:eastAsia="Times New Roman"/>
                <w:color w:val="000000"/>
                <w:sz w:val="16"/>
                <w:szCs w:val="16"/>
              </w:rPr>
            </w:pPr>
          </w:p>
        </w:tc>
      </w:tr>
      <w:tr w:rsidR="0097383D" w:rsidRPr="00022BA7" w14:paraId="54608358" w14:textId="77777777" w:rsidTr="0067573D">
        <w:trPr>
          <w:trHeight w:val="22"/>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5459E87" w14:textId="77777777" w:rsidR="0097383D" w:rsidRPr="00022BA7" w:rsidRDefault="0097383D" w:rsidP="0067573D">
            <w:pPr>
              <w:spacing w:line="240" w:lineRule="auto"/>
              <w:rPr>
                <w:color w:val="000000"/>
                <w:sz w:val="16"/>
              </w:rPr>
            </w:pPr>
            <w:r w:rsidRPr="00022BA7">
              <w:rPr>
                <w:color w:val="000000"/>
                <w:sz w:val="16"/>
                <w:lang w:eastAsia="ko-KR"/>
              </w:rPr>
              <w:t xml:space="preserve">Discount </w:t>
            </w:r>
            <w:r w:rsidRPr="00022BA7">
              <w:rPr>
                <w:color w:val="000000"/>
                <w:sz w:val="16"/>
              </w:rPr>
              <w:t>rate</w:t>
            </w:r>
          </w:p>
        </w:tc>
        <w:tc>
          <w:tcPr>
            <w:tcW w:w="740" w:type="dxa"/>
            <w:tcBorders>
              <w:top w:val="single" w:sz="4" w:space="0" w:color="auto"/>
              <w:left w:val="single" w:sz="4" w:space="0" w:color="auto"/>
              <w:bottom w:val="single" w:sz="4" w:space="0" w:color="auto"/>
              <w:right w:val="single" w:sz="4" w:space="0" w:color="auto"/>
            </w:tcBorders>
            <w:vAlign w:val="center"/>
          </w:tcPr>
          <w:p w14:paraId="4ADF787C" w14:textId="77777777" w:rsidR="0097383D" w:rsidRPr="00022BA7" w:rsidRDefault="00590C69" w:rsidP="0067573D">
            <w:pPr>
              <w:spacing w:line="240" w:lineRule="auto"/>
              <w:jc w:val="center"/>
              <w:rPr>
                <w:rFonts w:eastAsia="Malgun Gothic" w:cs="Times New Roman"/>
                <w:sz w:val="16"/>
                <w:szCs w:val="16"/>
              </w:rPr>
            </w:pPr>
            <m:oMathPara>
              <m:oMath>
                <m:sSup>
                  <m:sSupPr>
                    <m:ctrlPr>
                      <w:rPr>
                        <w:rFonts w:ascii="Cambria Math" w:eastAsia="Malgun Gothic" w:hAnsi="Cambria Math" w:cs="Times New Roman"/>
                        <w:sz w:val="16"/>
                        <w:szCs w:val="16"/>
                      </w:rPr>
                    </m:ctrlPr>
                  </m:sSupPr>
                  <m:e>
                    <m:r>
                      <w:rPr>
                        <w:rFonts w:ascii="Cambria Math" w:hAnsi="Cambria Math"/>
                        <w:sz w:val="16"/>
                        <w:szCs w:val="16"/>
                      </w:rPr>
                      <m:t>r</m:t>
                    </m:r>
                    <m:ctrlPr>
                      <w:rPr>
                        <w:rFonts w:ascii="Cambria Math" w:hAnsi="Cambria Math"/>
                        <w:i/>
                        <w:sz w:val="16"/>
                        <w:szCs w:val="16"/>
                      </w:rPr>
                    </m:ctrlPr>
                  </m:e>
                  <m:sup>
                    <m:r>
                      <w:rPr>
                        <w:rFonts w:ascii="Cambria Math" w:hAnsi="Cambria Math"/>
                        <w:sz w:val="16"/>
                        <w:szCs w:val="16"/>
                      </w:rPr>
                      <m:t>D</m:t>
                    </m:r>
                  </m:sup>
                </m:s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7A1E05E9" w14:textId="77777777" w:rsidR="0097383D" w:rsidRPr="00022BA7" w:rsidRDefault="0097383D" w:rsidP="0067573D">
            <w:pPr>
              <w:spacing w:line="240" w:lineRule="auto"/>
              <w:jc w:val="right"/>
              <w:rPr>
                <w:color w:val="000000"/>
                <w:sz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6CD5A5D1"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2.0</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5B472B99" w14:textId="77777777" w:rsidR="0097383D" w:rsidRPr="00022BA7" w:rsidRDefault="0097383D" w:rsidP="0067573D">
            <w:pPr>
              <w:spacing w:line="240" w:lineRule="auto"/>
              <w:rPr>
                <w:color w:val="000000"/>
                <w:sz w:val="16"/>
              </w:rPr>
            </w:pPr>
            <w:r w:rsidRPr="00022BA7">
              <w:rPr>
                <w:color w:val="000000"/>
                <w:sz w:val="16"/>
              </w:rPr>
              <w:t>Authors</w:t>
            </w:r>
            <w:r>
              <w:rPr>
                <w:color w:val="000000"/>
                <w:sz w:val="16"/>
              </w:rPr>
              <w:t>’</w:t>
            </w:r>
            <w:r w:rsidRPr="00022BA7">
              <w:rPr>
                <w:color w:val="000000"/>
                <w:sz w:val="16"/>
              </w:rPr>
              <w:t xml:space="preserve"> assumption</w:t>
            </w:r>
          </w:p>
        </w:tc>
      </w:tr>
      <w:tr w:rsidR="0097383D" w:rsidRPr="00022BA7" w14:paraId="17DA846A" w14:textId="77777777" w:rsidTr="0067573D">
        <w:trPr>
          <w:trHeight w:val="22"/>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59B9CFD"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ICE O&amp;M cost factor</w:t>
            </w:r>
          </w:p>
        </w:tc>
        <w:tc>
          <w:tcPr>
            <w:tcW w:w="740" w:type="dxa"/>
            <w:tcBorders>
              <w:top w:val="single" w:sz="4" w:space="0" w:color="auto"/>
              <w:left w:val="single" w:sz="4" w:space="0" w:color="auto"/>
              <w:bottom w:val="single" w:sz="4" w:space="0" w:color="auto"/>
              <w:right w:val="single" w:sz="4" w:space="0" w:color="auto"/>
            </w:tcBorders>
            <w:vAlign w:val="center"/>
          </w:tcPr>
          <w:p w14:paraId="0DE25D78" w14:textId="77777777" w:rsidR="0097383D" w:rsidRPr="00022BA7" w:rsidRDefault="00590C69" w:rsidP="0067573D">
            <w:pPr>
              <w:spacing w:line="240" w:lineRule="auto"/>
              <w:rPr>
                <w:rFonts w:eastAsia="Times New Roman" w:cs="Times New Roman"/>
                <w:sz w:val="16"/>
                <w:szCs w:val="16"/>
              </w:rPr>
            </w:pPr>
            <m:oMathPara>
              <m:oMath>
                <m:sSubSup>
                  <m:sSubSupPr>
                    <m:ctrlPr>
                      <w:rPr>
                        <w:rFonts w:ascii="Cambria Math" w:hAnsi="Cambria Math"/>
                        <w:i/>
                        <w:sz w:val="16"/>
                        <w:szCs w:val="16"/>
                      </w:rPr>
                    </m:ctrlPr>
                  </m:sSubSupPr>
                  <m:e>
                    <m:r>
                      <w:rPr>
                        <w:rFonts w:ascii="Cambria Math" w:hAnsi="Cambria Math"/>
                        <w:sz w:val="16"/>
                        <w:szCs w:val="16"/>
                      </w:rPr>
                      <m:t>F</m:t>
                    </m:r>
                  </m:e>
                  <m:sub>
                    <m:r>
                      <w:rPr>
                        <w:rFonts w:ascii="Cambria Math" w:hAnsi="Cambria Math"/>
                        <w:sz w:val="16"/>
                        <w:szCs w:val="16"/>
                      </w:rPr>
                      <m:t>ICE</m:t>
                    </m:r>
                  </m:sub>
                  <m:sup>
                    <m:r>
                      <w:rPr>
                        <w:rFonts w:ascii="Cambria Math" w:hAnsi="Cambria Math"/>
                        <w:sz w:val="16"/>
                        <w:szCs w:val="16"/>
                      </w:rPr>
                      <m:t>OM</m:t>
                    </m:r>
                  </m:sup>
                </m:sSub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402889FA" w14:textId="77777777" w:rsidR="0097383D" w:rsidRPr="00022BA7" w:rsidDel="00615E7B" w:rsidRDefault="0097383D" w:rsidP="0067573D">
            <w:pPr>
              <w:spacing w:line="240" w:lineRule="auto"/>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6E421D4D"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10%</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796AF8DF" w14:textId="6C313CEE" w:rsidR="0097383D" w:rsidRPr="00022BA7" w:rsidRDefault="0097383D" w:rsidP="0067573D">
            <w:pPr>
              <w:spacing w:line="240" w:lineRule="auto"/>
              <w:rPr>
                <w:color w:val="000000"/>
                <w:sz w:val="16"/>
                <w:szCs w:val="16"/>
              </w:rPr>
            </w:pPr>
            <w:r w:rsidRPr="00022BA7">
              <w:rPr>
                <w:color w:val="000000"/>
                <w:sz w:val="16"/>
                <w:szCs w:val="16"/>
              </w:rPr>
              <w:t>O&amp;M cost ratio to ICE fuel cost. The ratio is from that of small feeder ships</w:t>
            </w:r>
            <w:r w:rsidR="00FE7382">
              <w:rPr>
                <w:color w:val="000000"/>
                <w:sz w:val="16"/>
                <w:szCs w:val="16"/>
              </w:rPr>
              <w:fldChar w:fldCharType="begin"/>
            </w:r>
            <w:r w:rsidR="00F33969">
              <w:rPr>
                <w:color w:val="000000"/>
                <w:sz w:val="16"/>
                <w:szCs w:val="16"/>
              </w:rPr>
              <w:instrText xml:space="preserve"> ADDIN ZOTERO_ITEM CSL_CITATION {"citationID":"8SL2OsVK","properties":{"formattedCitation":"\\super 27\\nosupersub{}","plainCitation":"27","noteIndex":0},"citationItems":[{"id":235,"uris":["http://zotero.org/users/12468222/items/L52VEIIP"],"itemData":{"id":235,"type":"article-journal","abstract":"International maritime shipping—powered by heavy fuel oil—is a major contributor to global CO2, SO2, and NOx emissions. The direct electrification of maritime vessels has been underexplored as a low-emission option despite its considerable efficiency advantage over electrofuels. Past studies on ship electrification have relied on outdated assumptions on battery cost, energy density values and available on-board space. We show that at battery prices of US$100 kWh−1 the electrification of intraregional trade routes of less than 1,500 km is economical, with minimal impact to ship carrying capacity. Including the environmental costs increases the economical range to 5,000 km. If batteries achieve a US$50 kWh−1 price point, the economical range nearly doubles. We describe a pathway for the battery electrification of containerships within this decade that electrifies over 40% of global containership traffic, reduces CO2 emissions by 14% for US-based vessels, and mitigates the health impacts of air pollution on coastal communities.","container-title":"Nature Energy","DOI":"10.1038/s41560-022-01065-y","ISSN":"2058-7546","issue":"7","journalAbbreviation":"Nat Energy","language":"en","license":"2022 The Author(s)","note":"number: 7\npublisher: Nature Publishing Group","page":"664-674","source":"www.nature.com","title":"Rapid battery cost declines accelerate the prospects of all-electric interregional container shipping","volume":"7","author":[{"family":"Kersey","given":"Jessica"},{"family":"Popovich","given":"Natalie D."},{"family":"Phadke","given":"Amol A."}],"issued":{"date-parts":[["2022",7]]}}}],"schema":"https://github.com/citation-style-language/schema/raw/master/csl-citation.json"} </w:instrText>
            </w:r>
            <w:r w:rsidR="00FE7382">
              <w:rPr>
                <w:color w:val="000000"/>
                <w:sz w:val="16"/>
                <w:szCs w:val="16"/>
              </w:rPr>
              <w:fldChar w:fldCharType="separate"/>
            </w:r>
            <w:r w:rsidR="00F33969" w:rsidRPr="00F33969">
              <w:rPr>
                <w:rFonts w:cs="Times New Roman"/>
                <w:sz w:val="16"/>
                <w:szCs w:val="24"/>
                <w:vertAlign w:val="superscript"/>
              </w:rPr>
              <w:t>27</w:t>
            </w:r>
            <w:r w:rsidR="00FE7382">
              <w:rPr>
                <w:color w:val="000000"/>
                <w:sz w:val="16"/>
                <w:szCs w:val="16"/>
              </w:rPr>
              <w:fldChar w:fldCharType="end"/>
            </w:r>
          </w:p>
        </w:tc>
      </w:tr>
      <w:tr w:rsidR="0097383D" w:rsidRPr="00022BA7" w14:paraId="040BCE00" w14:textId="77777777" w:rsidTr="0067573D">
        <w:trPr>
          <w:trHeight w:val="22"/>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516A4A9"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O&amp;M for Electric Ship as Percent of ICE</w:t>
            </w:r>
          </w:p>
        </w:tc>
        <w:tc>
          <w:tcPr>
            <w:tcW w:w="740" w:type="dxa"/>
            <w:tcBorders>
              <w:top w:val="single" w:sz="4" w:space="0" w:color="auto"/>
              <w:left w:val="single" w:sz="4" w:space="0" w:color="auto"/>
              <w:bottom w:val="single" w:sz="4" w:space="0" w:color="auto"/>
              <w:right w:val="single" w:sz="4" w:space="0" w:color="auto"/>
            </w:tcBorders>
            <w:vAlign w:val="center"/>
          </w:tcPr>
          <w:p w14:paraId="40B7AC2E" w14:textId="77777777" w:rsidR="0097383D" w:rsidRPr="00022BA7" w:rsidRDefault="00590C69" w:rsidP="0067573D">
            <w:pPr>
              <w:spacing w:line="240" w:lineRule="auto"/>
              <w:rPr>
                <w:rFonts w:eastAsia="Times New Roman" w:cs="Times New Roman"/>
                <w:sz w:val="16"/>
                <w:szCs w:val="16"/>
              </w:rPr>
            </w:pPr>
            <m:oMathPara>
              <m:oMath>
                <m:sSubSup>
                  <m:sSubSupPr>
                    <m:ctrlPr>
                      <w:rPr>
                        <w:rFonts w:ascii="Cambria Math" w:hAnsi="Cambria Math"/>
                        <w:i/>
                        <w:sz w:val="16"/>
                        <w:szCs w:val="16"/>
                      </w:rPr>
                    </m:ctrlPr>
                  </m:sSubSupPr>
                  <m:e>
                    <m:r>
                      <w:rPr>
                        <w:rFonts w:ascii="Cambria Math" w:hAnsi="Cambria Math"/>
                        <w:sz w:val="16"/>
                        <w:szCs w:val="16"/>
                      </w:rPr>
                      <m:t>F</m:t>
                    </m:r>
                  </m:e>
                  <m:sub>
                    <m:r>
                      <w:rPr>
                        <w:rFonts w:ascii="Cambria Math" w:hAnsi="Cambria Math"/>
                        <w:sz w:val="16"/>
                        <w:szCs w:val="16"/>
                      </w:rPr>
                      <m:t>BES</m:t>
                    </m:r>
                  </m:sub>
                  <m:sup>
                    <m:r>
                      <w:rPr>
                        <w:rFonts w:ascii="Cambria Math" w:hAnsi="Cambria Math"/>
                        <w:sz w:val="16"/>
                        <w:szCs w:val="16"/>
                      </w:rPr>
                      <m:t>OM</m:t>
                    </m:r>
                  </m:sup>
                </m:sSub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15530CF" w14:textId="77777777" w:rsidR="0097383D" w:rsidRPr="00022BA7" w:rsidDel="00615E7B" w:rsidRDefault="0097383D" w:rsidP="0067573D">
            <w:pPr>
              <w:spacing w:line="240" w:lineRule="auto"/>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1C3E55B6"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50%</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1E6AD8CC" w14:textId="77777777" w:rsidR="0097383D" w:rsidRPr="00022BA7" w:rsidRDefault="0097383D" w:rsidP="0067573D">
            <w:pPr>
              <w:spacing w:line="240" w:lineRule="auto"/>
              <w:rPr>
                <w:color w:val="000000"/>
                <w:sz w:val="16"/>
                <w:szCs w:val="16"/>
              </w:rPr>
            </w:pPr>
            <w:r w:rsidRPr="00022BA7">
              <w:rPr>
                <w:color w:val="000000"/>
                <w:sz w:val="16"/>
                <w:szCs w:val="16"/>
              </w:rPr>
              <w:t>Authors</w:t>
            </w:r>
            <w:r>
              <w:rPr>
                <w:color w:val="000000"/>
                <w:sz w:val="16"/>
                <w:szCs w:val="16"/>
              </w:rPr>
              <w:t>’</w:t>
            </w:r>
            <w:r w:rsidRPr="00022BA7">
              <w:rPr>
                <w:color w:val="000000"/>
                <w:sz w:val="16"/>
                <w:szCs w:val="16"/>
              </w:rPr>
              <w:t xml:space="preserve"> assumption</w:t>
            </w:r>
          </w:p>
        </w:tc>
      </w:tr>
      <w:tr w:rsidR="0097383D" w:rsidRPr="00022BA7" w14:paraId="6CB0CDB8" w14:textId="77777777" w:rsidTr="0067573D">
        <w:trPr>
          <w:trHeight w:val="22"/>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3EA78D7"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Battery system cost decrease rate</w:t>
            </w:r>
          </w:p>
        </w:tc>
        <w:tc>
          <w:tcPr>
            <w:tcW w:w="740" w:type="dxa"/>
            <w:tcBorders>
              <w:top w:val="single" w:sz="4" w:space="0" w:color="auto"/>
              <w:left w:val="single" w:sz="4" w:space="0" w:color="auto"/>
              <w:bottom w:val="single" w:sz="4" w:space="0" w:color="auto"/>
              <w:right w:val="single" w:sz="4" w:space="0" w:color="auto"/>
            </w:tcBorders>
            <w:vAlign w:val="center"/>
          </w:tcPr>
          <w:p w14:paraId="652ABBB3" w14:textId="77777777" w:rsidR="0097383D" w:rsidRPr="00022BA7" w:rsidRDefault="00590C69" w:rsidP="0067573D">
            <w:pPr>
              <w:spacing w:line="240" w:lineRule="auto"/>
              <w:rPr>
                <w:rFonts w:eastAsia="Times New Roman" w:cs="Times New Roman"/>
                <w:sz w:val="16"/>
                <w:szCs w:val="16"/>
              </w:rPr>
            </w:pPr>
            <m:oMathPara>
              <m:oMath>
                <m:sSup>
                  <m:sSupPr>
                    <m:ctrlPr>
                      <w:rPr>
                        <w:rFonts w:ascii="Cambria Math" w:hAnsi="Cambria Math"/>
                        <w:i/>
                        <w:sz w:val="16"/>
                        <w:szCs w:val="16"/>
                      </w:rPr>
                    </m:ctrlPr>
                  </m:sSupPr>
                  <m:e>
                    <m:r>
                      <w:rPr>
                        <w:rFonts w:ascii="Cambria Math" w:hAnsi="Cambria Math"/>
                        <w:sz w:val="16"/>
                        <w:szCs w:val="16"/>
                      </w:rPr>
                      <m:t>r</m:t>
                    </m:r>
                    <m:ctrlPr>
                      <w:rPr>
                        <w:rFonts w:ascii="Cambria Math" w:hAnsi="Cambria Math"/>
                        <w:sz w:val="16"/>
                        <w:szCs w:val="16"/>
                      </w:rPr>
                    </m:ctrlPr>
                  </m:e>
                  <m:sup>
                    <m:r>
                      <w:rPr>
                        <w:rFonts w:ascii="Cambria Math" w:hAnsi="Cambria Math"/>
                        <w:sz w:val="16"/>
                        <w:szCs w:val="16"/>
                      </w:rPr>
                      <m:t>B</m:t>
                    </m:r>
                  </m:sup>
                </m:s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336FBBF0" w14:textId="77777777" w:rsidR="0097383D" w:rsidRPr="00022BA7" w:rsidDel="00615E7B" w:rsidRDefault="0097383D" w:rsidP="0067573D">
            <w:pPr>
              <w:spacing w:line="240" w:lineRule="auto"/>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6089ADF8"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2.2 %</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CE3DD63" w14:textId="28137433" w:rsidR="0097383D" w:rsidRPr="00022BA7" w:rsidRDefault="0097383D" w:rsidP="0067573D">
            <w:pPr>
              <w:spacing w:line="240" w:lineRule="auto"/>
              <w:rPr>
                <w:color w:val="000000"/>
                <w:sz w:val="16"/>
                <w:szCs w:val="16"/>
              </w:rPr>
            </w:pPr>
            <w:r w:rsidRPr="00022BA7">
              <w:rPr>
                <w:color w:val="000000"/>
                <w:sz w:val="16"/>
                <w:szCs w:val="16"/>
              </w:rPr>
              <w:t xml:space="preserve">Average cost decrease rate of battery system is extracted from </w:t>
            </w:r>
            <w:r w:rsidRPr="00022BA7">
              <w:rPr>
                <w:rFonts w:eastAsia="Times New Roman"/>
                <w:color w:val="000000"/>
                <w:sz w:val="16"/>
                <w:szCs w:val="16"/>
              </w:rPr>
              <w:t>Annual Technology Baseline</w:t>
            </w:r>
            <w:r w:rsidRPr="00022BA7">
              <w:rPr>
                <w:color w:val="000000"/>
                <w:sz w:val="16"/>
                <w:szCs w:val="16"/>
              </w:rPr>
              <w:t>, NREL</w:t>
            </w:r>
            <w:r w:rsidR="009C1BFC">
              <w:rPr>
                <w:rFonts w:eastAsia="Times New Roman"/>
                <w:color w:val="000000"/>
                <w:sz w:val="16"/>
                <w:szCs w:val="16"/>
              </w:rPr>
              <w:fldChar w:fldCharType="begin"/>
            </w:r>
            <w:r w:rsidR="00F33969">
              <w:rPr>
                <w:rFonts w:eastAsia="Times New Roman"/>
                <w:color w:val="000000"/>
                <w:sz w:val="16"/>
                <w:szCs w:val="16"/>
              </w:rPr>
              <w:instrText xml:space="preserve"> ADDIN ZOTERO_ITEM CSL_CITATION {"citationID":"b3hxNCeS","properties":{"formattedCitation":"\\super 31\\nosupersub{}","plainCitation":"31","noteIndex":0},"citationItems":[{"id":48,"uris":["http://zotero.org/users/12468222/items/BR5FLRFR"],"itemData":{"id":48,"type":"dataset","title":"2022 Annual Technology Baseline","URL":"https://atb.nrel.gov/electricity/2022/about","author":[{"family":"National Renewable Energy Laboratory","given":""}],"accessed":{"date-parts":[["2023",8,4]]}}}],"schema":"https://github.com/citation-style-language/schema/raw/master/csl-citation.json"} </w:instrText>
            </w:r>
            <w:r w:rsidR="009C1BFC">
              <w:rPr>
                <w:rFonts w:eastAsia="Times New Roman"/>
                <w:color w:val="000000"/>
                <w:sz w:val="16"/>
                <w:szCs w:val="16"/>
              </w:rPr>
              <w:fldChar w:fldCharType="separate"/>
            </w:r>
            <w:r w:rsidR="00F33969" w:rsidRPr="00F33969">
              <w:rPr>
                <w:rFonts w:cs="Times New Roman"/>
                <w:sz w:val="16"/>
                <w:szCs w:val="24"/>
                <w:vertAlign w:val="superscript"/>
              </w:rPr>
              <w:t>31</w:t>
            </w:r>
            <w:r w:rsidR="009C1BFC">
              <w:rPr>
                <w:rFonts w:eastAsia="Times New Roman"/>
                <w:color w:val="000000"/>
                <w:sz w:val="16"/>
                <w:szCs w:val="16"/>
              </w:rPr>
              <w:fldChar w:fldCharType="end"/>
            </w:r>
            <w:r w:rsidRPr="00022BA7">
              <w:rPr>
                <w:color w:val="000000"/>
                <w:sz w:val="16"/>
                <w:szCs w:val="16"/>
              </w:rPr>
              <w:t xml:space="preserve"> </w:t>
            </w:r>
          </w:p>
        </w:tc>
      </w:tr>
      <w:tr w:rsidR="0097383D" w:rsidRPr="00022BA7" w14:paraId="114DF2EC" w14:textId="77777777" w:rsidTr="0067573D">
        <w:trPr>
          <w:trHeight w:val="22"/>
        </w:trPr>
        <w:tc>
          <w:tcPr>
            <w:tcW w:w="152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5D0F2DF"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Factor of delivered energy for SLB</w:t>
            </w:r>
          </w:p>
        </w:tc>
        <w:tc>
          <w:tcPr>
            <w:tcW w:w="740" w:type="dxa"/>
            <w:tcBorders>
              <w:top w:val="single" w:sz="4" w:space="0" w:color="auto"/>
              <w:left w:val="single" w:sz="4" w:space="0" w:color="auto"/>
              <w:bottom w:val="single" w:sz="4" w:space="0" w:color="auto"/>
              <w:right w:val="single" w:sz="4" w:space="0" w:color="auto"/>
            </w:tcBorders>
            <w:vAlign w:val="center"/>
          </w:tcPr>
          <w:p w14:paraId="4C02258F" w14:textId="77777777" w:rsidR="0097383D" w:rsidRPr="00022BA7" w:rsidRDefault="00590C69" w:rsidP="0067573D">
            <w:pPr>
              <w:spacing w:line="240" w:lineRule="auto"/>
              <w:rPr>
                <w:rFonts w:eastAsia="Times New Roman" w:cs="Times New Roman"/>
                <w:sz w:val="16"/>
                <w:szCs w:val="16"/>
              </w:rPr>
            </w:pPr>
            <m:oMathPara>
              <m:oMath>
                <m:sSup>
                  <m:sSupPr>
                    <m:ctrlPr>
                      <w:rPr>
                        <w:rFonts w:ascii="Cambria Math" w:hAnsi="Cambria Math"/>
                        <w:i/>
                        <w:sz w:val="16"/>
                        <w:szCs w:val="16"/>
                      </w:rPr>
                    </m:ctrlPr>
                  </m:sSupPr>
                  <m:e>
                    <m:r>
                      <w:rPr>
                        <w:rFonts w:ascii="Cambria Math" w:hAnsi="Cambria Math"/>
                        <w:sz w:val="16"/>
                        <w:szCs w:val="16"/>
                      </w:rPr>
                      <m:t>F</m:t>
                    </m:r>
                  </m:e>
                  <m:sup>
                    <m:r>
                      <w:rPr>
                        <w:rFonts w:ascii="Cambria Math" w:hAnsi="Cambria Math"/>
                        <w:sz w:val="16"/>
                        <w:szCs w:val="16"/>
                      </w:rPr>
                      <m:t>SLB</m:t>
                    </m:r>
                  </m:sup>
                </m:sSup>
              </m:oMath>
            </m:oMathPara>
          </w:p>
        </w:tc>
        <w:tc>
          <w:tcPr>
            <w:tcW w:w="79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0967C2E8" w14:textId="77777777" w:rsidR="0097383D" w:rsidRPr="00022BA7" w:rsidDel="00615E7B" w:rsidRDefault="0097383D" w:rsidP="0067573D">
            <w:pPr>
              <w:spacing w:line="240" w:lineRule="auto"/>
              <w:rPr>
                <w:rFonts w:eastAsia="Times New Roman"/>
                <w:color w:val="000000"/>
                <w:sz w:val="16"/>
                <w:szCs w:val="16"/>
              </w:rPr>
            </w:pPr>
          </w:p>
        </w:tc>
        <w:tc>
          <w:tcPr>
            <w:tcW w:w="2970" w:type="dxa"/>
            <w:gridSpan w:val="3"/>
            <w:tcBorders>
              <w:top w:val="single" w:sz="4" w:space="0" w:color="auto"/>
              <w:left w:val="single" w:sz="4" w:space="0" w:color="auto"/>
              <w:bottom w:val="single" w:sz="4" w:space="0" w:color="auto"/>
              <w:right w:val="single" w:sz="4" w:space="0" w:color="auto"/>
            </w:tcBorders>
            <w:vAlign w:val="center"/>
          </w:tcPr>
          <w:p w14:paraId="6CACFD98"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72%</w:t>
            </w:r>
          </w:p>
        </w:tc>
        <w:tc>
          <w:tcPr>
            <w:tcW w:w="36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43899CB7" w14:textId="2FC64516" w:rsidR="0097383D" w:rsidRPr="00022BA7" w:rsidRDefault="0097383D" w:rsidP="0067573D">
            <w:pPr>
              <w:spacing w:line="240" w:lineRule="auto"/>
              <w:rPr>
                <w:color w:val="000000"/>
                <w:sz w:val="16"/>
                <w:szCs w:val="16"/>
              </w:rPr>
            </w:pPr>
            <w:r w:rsidRPr="00022BA7">
              <w:rPr>
                <w:color w:val="000000"/>
                <w:sz w:val="16"/>
                <w:szCs w:val="16"/>
              </w:rPr>
              <w:t xml:space="preserve">Assuming </w:t>
            </w:r>
            <w:r>
              <w:rPr>
                <w:color w:val="000000"/>
                <w:sz w:val="16"/>
                <w:szCs w:val="16"/>
              </w:rPr>
              <w:t xml:space="preserve">the battery, </w:t>
            </w:r>
            <w:r w:rsidRPr="00022BA7">
              <w:rPr>
                <w:color w:val="000000"/>
                <w:sz w:val="16"/>
                <w:szCs w:val="16"/>
              </w:rPr>
              <w:t>a</w:t>
            </w:r>
            <w:r>
              <w:rPr>
                <w:color w:val="000000"/>
                <w:sz w:val="16"/>
                <w:szCs w:val="16"/>
              </w:rPr>
              <w:t>t</w:t>
            </w:r>
            <w:r w:rsidRPr="00022BA7">
              <w:rPr>
                <w:color w:val="000000"/>
                <w:sz w:val="16"/>
                <w:szCs w:val="16"/>
              </w:rPr>
              <w:t xml:space="preserve"> end of life, can be used for second-life usage </w:t>
            </w:r>
            <w:r>
              <w:rPr>
                <w:color w:val="000000"/>
                <w:sz w:val="16"/>
                <w:szCs w:val="16"/>
              </w:rPr>
              <w:t xml:space="preserve">from a </w:t>
            </w:r>
            <w:r w:rsidRPr="00022BA7">
              <w:rPr>
                <w:color w:val="000000"/>
                <w:sz w:val="16"/>
                <w:szCs w:val="16"/>
              </w:rPr>
              <w:t xml:space="preserve">state of health </w:t>
            </w:r>
            <w:r>
              <w:rPr>
                <w:color w:val="000000"/>
                <w:sz w:val="16"/>
                <w:szCs w:val="16"/>
              </w:rPr>
              <w:t>of</w:t>
            </w:r>
            <w:r w:rsidRPr="00022BA7">
              <w:rPr>
                <w:color w:val="000000"/>
                <w:sz w:val="16"/>
                <w:szCs w:val="16"/>
              </w:rPr>
              <w:t xml:space="preserve"> 80% to 40%</w:t>
            </w:r>
            <w:r w:rsidR="009C1BFC">
              <w:rPr>
                <w:color w:val="000000"/>
                <w:sz w:val="16"/>
                <w:szCs w:val="16"/>
              </w:rPr>
              <w:fldChar w:fldCharType="begin"/>
            </w:r>
            <w:r w:rsidR="00F33969">
              <w:rPr>
                <w:color w:val="000000"/>
                <w:sz w:val="16"/>
                <w:szCs w:val="16"/>
              </w:rPr>
              <w:instrText xml:space="preserve"> ADDIN ZOTERO_ITEM CSL_CITATION {"citationID":"EGZf4pY6","properties":{"formattedCitation":"\\super 24\\nosupersub{}","plainCitation":"24","noteIndex":0},"citationItems":[{"id":252,"uris":["http://zotero.org/users/12468222/items/2ANQ7NPN"],"itemData":{"id":252,"type":"article-journal","abstract":"As the use of plug-in electric vehicles (PEVs) further increases in the coming decades, a growing stream of batteries will reach the end of their service lives. Here we study the potential of those batteries to be used in second-life applications to enable the expansion of intermittent renewable electricity supply in California through the year 2050. We develop and apply a parametric life-cycle system model integrating battery supply, degradation, logistics, and second-life use. We calculate and compare several metrics of second-life system performance, including cumulative electricity delivered, energy balance, greenhouse gas (GHG) balance, and energy stored on invested. We find that second-life use of retired PEV batteries may play a modest, though not insignificant, role in California's future energy system. The electricity delivered by second-life batteries in 2050 under base-case modeling conditions is 15 TWh per year, about 5% of total current and projected electricity use in California. If used instead of natural gas-fired electricity generation, this electricity would reduce GHG emissions by about 7 million metric tons of CO2e per year in 2050.","container-title":"Journal of Power Sources","DOI":"10.1016/j.jpowsour.2015.04.097","ISSN":"0378-7753","journalAbbreviation":"Journal of Power Sources","page":"82-91","source":"ScienceDirect","title":"Energy and climate effects of second-life use of electric vehicle batteries in California through 2050","volume":"288","author":[{"family":"Sathre","given":"Roger"},{"family":"Scown","given":"Corinne D."},{"family":"Kavvada","given":"Olga"},{"family":"Hendrickson","given":"Thomas P."}],"issued":{"date-parts":[["2015",8,15]]}}}],"schema":"https://github.com/citation-style-language/schema/raw/master/csl-citation.json"} </w:instrText>
            </w:r>
            <w:r w:rsidR="009C1BFC">
              <w:rPr>
                <w:color w:val="000000"/>
                <w:sz w:val="16"/>
                <w:szCs w:val="16"/>
              </w:rPr>
              <w:fldChar w:fldCharType="separate"/>
            </w:r>
            <w:r w:rsidR="00F33969" w:rsidRPr="00F33969">
              <w:rPr>
                <w:rFonts w:cs="Times New Roman"/>
                <w:sz w:val="16"/>
                <w:szCs w:val="24"/>
                <w:vertAlign w:val="superscript"/>
              </w:rPr>
              <w:t>24</w:t>
            </w:r>
            <w:r w:rsidR="009C1BFC">
              <w:rPr>
                <w:color w:val="000000"/>
                <w:sz w:val="16"/>
                <w:szCs w:val="16"/>
              </w:rPr>
              <w:fldChar w:fldCharType="end"/>
            </w:r>
          </w:p>
        </w:tc>
      </w:tr>
      <w:tr w:rsidR="0097383D" w:rsidRPr="00022BA7" w14:paraId="49DEA3C4" w14:textId="77777777" w:rsidTr="0067573D">
        <w:trPr>
          <w:trHeight w:val="22"/>
        </w:trPr>
        <w:tc>
          <w:tcPr>
            <w:tcW w:w="1525" w:type="dxa"/>
            <w:tcBorders>
              <w:top w:val="single" w:sz="4" w:space="0" w:color="auto"/>
              <w:left w:val="single" w:sz="4" w:space="0" w:color="auto"/>
              <w:bottom w:val="single" w:sz="18" w:space="0" w:color="auto"/>
              <w:right w:val="single" w:sz="4" w:space="0" w:color="auto"/>
            </w:tcBorders>
            <w:shd w:val="clear" w:color="auto" w:fill="auto"/>
            <w:tcMar>
              <w:top w:w="72" w:type="dxa"/>
              <w:left w:w="144" w:type="dxa"/>
              <w:bottom w:w="72" w:type="dxa"/>
              <w:right w:w="144" w:type="dxa"/>
            </w:tcMar>
          </w:tcPr>
          <w:p w14:paraId="766D046C" w14:textId="77777777" w:rsidR="0097383D" w:rsidRPr="00022BA7" w:rsidRDefault="0097383D" w:rsidP="0067573D">
            <w:pPr>
              <w:spacing w:line="240" w:lineRule="auto"/>
              <w:rPr>
                <w:rFonts w:eastAsia="Times New Roman"/>
                <w:color w:val="000000"/>
                <w:sz w:val="16"/>
                <w:szCs w:val="16"/>
              </w:rPr>
            </w:pPr>
            <w:r w:rsidRPr="00022BA7">
              <w:rPr>
                <w:rFonts w:eastAsia="Times New Roman"/>
                <w:color w:val="000000"/>
                <w:sz w:val="16"/>
                <w:szCs w:val="16"/>
              </w:rPr>
              <w:t>Factor of re-purposing cost of SLB</w:t>
            </w:r>
          </w:p>
        </w:tc>
        <w:tc>
          <w:tcPr>
            <w:tcW w:w="740" w:type="dxa"/>
            <w:tcBorders>
              <w:top w:val="single" w:sz="4" w:space="0" w:color="auto"/>
              <w:left w:val="single" w:sz="4" w:space="0" w:color="auto"/>
              <w:bottom w:val="single" w:sz="18" w:space="0" w:color="auto"/>
              <w:right w:val="single" w:sz="4" w:space="0" w:color="auto"/>
            </w:tcBorders>
            <w:vAlign w:val="center"/>
          </w:tcPr>
          <w:p w14:paraId="4F4FA862" w14:textId="77777777" w:rsidR="0097383D" w:rsidRPr="00022BA7" w:rsidRDefault="00590C69" w:rsidP="0067573D">
            <w:pPr>
              <w:spacing w:line="240" w:lineRule="auto"/>
              <w:rPr>
                <w:rFonts w:eastAsia="Times New Roman" w:cs="Times New Roman"/>
                <w:sz w:val="16"/>
                <w:szCs w:val="16"/>
              </w:rPr>
            </w:pPr>
            <m:oMathPara>
              <m:oMath>
                <m:sSup>
                  <m:sSupPr>
                    <m:ctrlPr>
                      <w:rPr>
                        <w:rFonts w:ascii="Cambria Math" w:hAnsi="Cambria Math"/>
                        <w:i/>
                        <w:sz w:val="16"/>
                      </w:rPr>
                    </m:ctrlPr>
                  </m:sSupPr>
                  <m:e>
                    <m:r>
                      <w:rPr>
                        <w:rFonts w:ascii="Cambria Math" w:hAnsi="Cambria Math"/>
                        <w:sz w:val="16"/>
                      </w:rPr>
                      <m:t>F</m:t>
                    </m:r>
                  </m:e>
                  <m:sup>
                    <m:r>
                      <w:rPr>
                        <w:rFonts w:ascii="Cambria Math" w:hAnsi="Cambria Math"/>
                        <w:sz w:val="16"/>
                      </w:rPr>
                      <m:t>RP</m:t>
                    </m:r>
                  </m:sup>
                </m:sSup>
              </m:oMath>
            </m:oMathPara>
          </w:p>
        </w:tc>
        <w:tc>
          <w:tcPr>
            <w:tcW w:w="790" w:type="dxa"/>
            <w:tcBorders>
              <w:top w:val="single" w:sz="4" w:space="0" w:color="auto"/>
              <w:left w:val="single" w:sz="4" w:space="0" w:color="auto"/>
              <w:bottom w:val="single" w:sz="18" w:space="0" w:color="auto"/>
              <w:right w:val="single" w:sz="4" w:space="0" w:color="auto"/>
            </w:tcBorders>
            <w:shd w:val="clear" w:color="auto" w:fill="auto"/>
            <w:tcMar>
              <w:top w:w="72" w:type="dxa"/>
              <w:left w:w="144" w:type="dxa"/>
              <w:bottom w:w="72" w:type="dxa"/>
              <w:right w:w="144" w:type="dxa"/>
            </w:tcMar>
          </w:tcPr>
          <w:p w14:paraId="3DFB88E6" w14:textId="77777777" w:rsidR="0097383D" w:rsidRPr="00022BA7" w:rsidDel="00615E7B" w:rsidRDefault="0097383D" w:rsidP="0067573D">
            <w:pPr>
              <w:spacing w:line="240" w:lineRule="auto"/>
              <w:rPr>
                <w:rFonts w:eastAsia="Times New Roman"/>
                <w:color w:val="000000"/>
                <w:sz w:val="16"/>
                <w:szCs w:val="16"/>
              </w:rPr>
            </w:pPr>
          </w:p>
        </w:tc>
        <w:tc>
          <w:tcPr>
            <w:tcW w:w="2970" w:type="dxa"/>
            <w:gridSpan w:val="3"/>
            <w:tcBorders>
              <w:top w:val="single" w:sz="4" w:space="0" w:color="auto"/>
              <w:left w:val="single" w:sz="4" w:space="0" w:color="auto"/>
              <w:bottom w:val="single" w:sz="18" w:space="0" w:color="auto"/>
              <w:right w:val="single" w:sz="4" w:space="0" w:color="auto"/>
            </w:tcBorders>
            <w:vAlign w:val="center"/>
          </w:tcPr>
          <w:p w14:paraId="75BFBC76" w14:textId="77777777" w:rsidR="0097383D" w:rsidRPr="00022BA7" w:rsidRDefault="0097383D" w:rsidP="0067573D">
            <w:pPr>
              <w:spacing w:line="240" w:lineRule="auto"/>
              <w:jc w:val="center"/>
              <w:rPr>
                <w:rFonts w:eastAsia="Times New Roman"/>
                <w:color w:val="000000"/>
                <w:sz w:val="16"/>
                <w:szCs w:val="16"/>
              </w:rPr>
            </w:pPr>
            <w:r w:rsidRPr="00022BA7">
              <w:rPr>
                <w:rFonts w:eastAsia="Times New Roman"/>
                <w:color w:val="000000"/>
                <w:sz w:val="16"/>
                <w:szCs w:val="16"/>
              </w:rPr>
              <w:t>15%</w:t>
            </w:r>
          </w:p>
        </w:tc>
        <w:tc>
          <w:tcPr>
            <w:tcW w:w="3600" w:type="dxa"/>
            <w:tcBorders>
              <w:top w:val="single" w:sz="4" w:space="0" w:color="auto"/>
              <w:left w:val="single" w:sz="4" w:space="0" w:color="auto"/>
              <w:bottom w:val="single" w:sz="18" w:space="0" w:color="auto"/>
              <w:right w:val="single" w:sz="4" w:space="0" w:color="auto"/>
            </w:tcBorders>
            <w:shd w:val="clear" w:color="auto" w:fill="auto"/>
            <w:tcMar>
              <w:top w:w="72" w:type="dxa"/>
              <w:left w:w="144" w:type="dxa"/>
              <w:bottom w:w="72" w:type="dxa"/>
              <w:right w:w="144" w:type="dxa"/>
            </w:tcMar>
            <w:vAlign w:val="center"/>
          </w:tcPr>
          <w:p w14:paraId="57AE040F" w14:textId="7B1E66AC" w:rsidR="0097383D" w:rsidRPr="00022BA7" w:rsidRDefault="0097383D" w:rsidP="0067573D">
            <w:pPr>
              <w:spacing w:line="240" w:lineRule="auto"/>
              <w:rPr>
                <w:color w:val="000000"/>
                <w:sz w:val="16"/>
                <w:szCs w:val="16"/>
              </w:rPr>
            </w:pPr>
            <w:r w:rsidRPr="00022BA7">
              <w:rPr>
                <w:color w:val="000000"/>
                <w:sz w:val="16"/>
                <w:szCs w:val="16"/>
              </w:rPr>
              <w:t>Re-purposing cost of SLB</w:t>
            </w:r>
            <w:r w:rsidR="009C1BFC">
              <w:rPr>
                <w:color w:val="000000"/>
                <w:sz w:val="16"/>
                <w:szCs w:val="16"/>
              </w:rPr>
              <w:fldChar w:fldCharType="begin"/>
            </w:r>
            <w:r w:rsidR="00F33969">
              <w:rPr>
                <w:color w:val="000000"/>
                <w:sz w:val="16"/>
                <w:szCs w:val="16"/>
              </w:rPr>
              <w:instrText xml:space="preserve"> ADDIN ZOTERO_ITEM CSL_CITATION {"citationID":"Bu5uQamX","properties":{"formattedCitation":"\\super 29\\nosupersub{}","plainCitation":"29","noteIndex":0},"citationItems":[{"id":254,"uris":["http://zotero.org/users/12468222/items/UF4MCA2B"],"itemData":{"id":254,"type":"article-journal","abstract":"High energy density has made Li-ion battery become a reliable energy storage technology for transport-grid applications. Safely disposing batteries that below 80% of their nominal capacity is a matter of great concern to reduce overall carbon footprint. As battery typically accounts for 40% of the total cost of an electrical vehicle, it becomes necessary to combine reutilization and recycling for extending the lifetime of retired automotive batteries and make the overall battery supply chain profitable rather than dumping them directly. From an economic, technical, and environmental standpoint, this paper provides a comprehensive overview of the present state of second-life Li-ion batteries through exploring relevant literature. Specifically, the fundamental of Li-ion battery degradation and experimental approaches are first surveyed. After examining the obstacles and methods of reusing and recycling Li-ion battery, related applications, cost issues, and business models of second-life Li-ion batteries are discussed. By offering a systematical survey of current status of recycled Li-ion battery, this review could inform commercial technology selections and academic research agendas alike, thus boosting progress in Li-ion battery second-life applications.","container-title":"Energy","DOI":"10.1016/j.energy.2021.122881","ISSN":"0360-5442","journalAbbreviation":"Energy","page":"122881","source":"ScienceDirect","title":"A review on second-life of Li-ion batteries: prospects, challenges, and issues","title-short":"A review on second-life of Li-ion batteries","volume":"241","author":[{"family":"Shahjalal","given":"Mohammad"},{"family":"Roy","given":"Probir Kumar"},{"family":"Shams","given":"Tamanna"},{"family":"Fly","given":"Ashley"},{"family":"Chowdhury","given":"Jahedul Islam"},{"family":"Ahmed","given":"Md. Rishad"},{"family":"Liu","given":"Kailong"}],"issued":{"date-parts":[["2022",2,15]]}}}],"schema":"https://github.com/citation-style-language/schema/raw/master/csl-citation.json"} </w:instrText>
            </w:r>
            <w:r w:rsidR="009C1BFC">
              <w:rPr>
                <w:color w:val="000000"/>
                <w:sz w:val="16"/>
                <w:szCs w:val="16"/>
              </w:rPr>
              <w:fldChar w:fldCharType="separate"/>
            </w:r>
            <w:r w:rsidR="00F33969" w:rsidRPr="00F33969">
              <w:rPr>
                <w:rFonts w:cs="Times New Roman"/>
                <w:sz w:val="16"/>
                <w:szCs w:val="24"/>
                <w:vertAlign w:val="superscript"/>
              </w:rPr>
              <w:t>29</w:t>
            </w:r>
            <w:r w:rsidR="009C1BFC">
              <w:rPr>
                <w:color w:val="000000"/>
                <w:sz w:val="16"/>
                <w:szCs w:val="16"/>
              </w:rPr>
              <w:fldChar w:fldCharType="end"/>
            </w:r>
          </w:p>
        </w:tc>
      </w:tr>
    </w:tbl>
    <w:p w14:paraId="6FFF9E75" w14:textId="7D3D7AC1" w:rsidR="007301DF" w:rsidRDefault="0097383D" w:rsidP="009B1D80">
      <w:pPr>
        <w:rPr>
          <w:color w:val="1F497D" w:themeColor="text2"/>
        </w:rPr>
      </w:pPr>
      <w:r w:rsidRPr="00022BA7">
        <w:rPr>
          <w:sz w:val="18"/>
        </w:rPr>
        <w:t>* All costs by year are in 2022</w:t>
      </w:r>
    </w:p>
    <w:p w14:paraId="14E23783" w14:textId="77777777" w:rsidR="003A05C7" w:rsidRDefault="003A05C7">
      <w:pPr>
        <w:widowControl/>
        <w:spacing w:line="240" w:lineRule="auto"/>
        <w:rPr>
          <w:color w:val="1F497D" w:themeColor="text2"/>
        </w:rPr>
      </w:pPr>
      <w:r>
        <w:rPr>
          <w:color w:val="1F497D" w:themeColor="text2"/>
        </w:rPr>
        <w:br w:type="page"/>
      </w:r>
    </w:p>
    <w:p w14:paraId="5F18A77F" w14:textId="52F76588" w:rsidR="008E0453" w:rsidRPr="00643229" w:rsidRDefault="008E0453" w:rsidP="008E0453">
      <w:pPr>
        <w:pStyle w:val="Caption"/>
        <w:keepNext/>
        <w:spacing w:line="240" w:lineRule="auto"/>
      </w:pPr>
      <w:bookmarkStart w:id="133" w:name="_Toc145635466"/>
      <w:bookmarkStart w:id="134" w:name="_Toc146723143"/>
      <w:r>
        <w:t xml:space="preserve">Supplementary </w:t>
      </w:r>
      <w:r w:rsidRPr="00022BA7">
        <w:t xml:space="preserve">Table </w:t>
      </w:r>
      <w:r w:rsidR="00590C69">
        <w:fldChar w:fldCharType="begin"/>
      </w:r>
      <w:r w:rsidR="00590C69">
        <w:instrText xml:space="preserve"> SEQ Table \* ARABIC </w:instrText>
      </w:r>
      <w:r w:rsidR="00590C69">
        <w:fldChar w:fldCharType="separate"/>
      </w:r>
      <w:r w:rsidR="00C661AC">
        <w:rPr>
          <w:noProof/>
        </w:rPr>
        <w:t>18</w:t>
      </w:r>
      <w:r w:rsidR="00590C69">
        <w:rPr>
          <w:noProof/>
        </w:rPr>
        <w:fldChar w:fldCharType="end"/>
      </w:r>
      <w:r w:rsidRPr="00022BA7">
        <w:rPr>
          <w:noProof/>
        </w:rPr>
        <w:t>.</w:t>
      </w:r>
      <w:r w:rsidRPr="00022BA7">
        <w:t xml:space="preserve"> </w:t>
      </w:r>
      <w:r w:rsidRPr="00643229">
        <w:t>Median Battery Capacity of BESs by Ship Size, Ship Type and Capacity Tier</w:t>
      </w:r>
      <w:bookmarkEnd w:id="133"/>
      <w:bookmarkEnd w:id="134"/>
      <w:r w:rsidRPr="00643229">
        <w:t xml:space="preserve"> </w:t>
      </w:r>
    </w:p>
    <w:tbl>
      <w:tblPr>
        <w:tblW w:w="9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593"/>
        <w:gridCol w:w="972"/>
        <w:gridCol w:w="1323"/>
        <w:gridCol w:w="1343"/>
        <w:gridCol w:w="1261"/>
        <w:gridCol w:w="1151"/>
        <w:gridCol w:w="1151"/>
      </w:tblGrid>
      <w:tr w:rsidR="008E0453" w:rsidRPr="00022BA7" w14:paraId="14A49FF8" w14:textId="77777777" w:rsidTr="000761FB">
        <w:trPr>
          <w:trHeight w:val="183"/>
        </w:trPr>
        <w:tc>
          <w:tcPr>
            <w:tcW w:w="1525" w:type="dxa"/>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bottom"/>
            <w:hideMark/>
          </w:tcPr>
          <w:p w14:paraId="4FDE961E" w14:textId="77777777" w:rsidR="008E0453" w:rsidRPr="00022BA7" w:rsidRDefault="008E0453" w:rsidP="000761FB">
            <w:pPr>
              <w:widowControl/>
              <w:spacing w:line="240" w:lineRule="auto"/>
              <w:ind w:right="0"/>
              <w:jc w:val="center"/>
              <w:rPr>
                <w:rFonts w:eastAsia="Times New Roman" w:cs="Times New Roman"/>
                <w:color w:val="000000"/>
                <w:lang w:eastAsia="ko-KR"/>
              </w:rPr>
            </w:pPr>
          </w:p>
        </w:tc>
        <w:tc>
          <w:tcPr>
            <w:tcW w:w="1565" w:type="dxa"/>
            <w:gridSpan w:val="2"/>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hideMark/>
          </w:tcPr>
          <w:p w14:paraId="2931D4B7" w14:textId="77777777" w:rsidR="008E0453" w:rsidRPr="00022BA7" w:rsidRDefault="008E0453" w:rsidP="000761FB">
            <w:pPr>
              <w:widowControl/>
              <w:spacing w:line="240" w:lineRule="auto"/>
              <w:ind w:right="0"/>
              <w:jc w:val="center"/>
              <w:rPr>
                <w:rFonts w:eastAsia="Times New Roman" w:cs="Times New Roman"/>
                <w:color w:val="000000"/>
                <w:lang w:eastAsia="ko-KR"/>
              </w:rPr>
            </w:pPr>
            <w:r>
              <w:rPr>
                <w:rFonts w:eastAsia="Times New Roman" w:cs="Times New Roman"/>
                <w:color w:val="000000"/>
                <w:lang w:eastAsia="ko-KR"/>
              </w:rPr>
              <w:t>GT</w:t>
            </w:r>
          </w:p>
        </w:tc>
        <w:tc>
          <w:tcPr>
            <w:tcW w:w="1323" w:type="dxa"/>
            <w:vMerge w:val="restart"/>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center"/>
            <w:hideMark/>
          </w:tcPr>
          <w:p w14:paraId="77BA45D2"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Ship Count</w:t>
            </w:r>
          </w:p>
        </w:tc>
        <w:tc>
          <w:tcPr>
            <w:tcW w:w="4906" w:type="dxa"/>
            <w:gridSpan w:val="4"/>
            <w:tcBorders>
              <w:top w:val="single" w:sz="18" w:space="0" w:color="auto"/>
              <w:left w:val="single" w:sz="2" w:space="0" w:color="auto"/>
              <w:bottom w:val="single" w:sz="2" w:space="0" w:color="auto"/>
              <w:right w:val="single" w:sz="2" w:space="0" w:color="auto"/>
            </w:tcBorders>
            <w:shd w:val="clear" w:color="auto" w:fill="F2F2F2" w:themeFill="background1" w:themeFillShade="F2"/>
            <w:noWrap/>
            <w:vAlign w:val="bottom"/>
          </w:tcPr>
          <w:p w14:paraId="40158539"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Capacity Tier</w:t>
            </w:r>
          </w:p>
        </w:tc>
      </w:tr>
      <w:tr w:rsidR="008E0453" w:rsidRPr="00022BA7" w14:paraId="475D5AE1" w14:textId="77777777" w:rsidTr="000761FB">
        <w:trPr>
          <w:trHeight w:val="360"/>
        </w:trPr>
        <w:tc>
          <w:tcPr>
            <w:tcW w:w="1525"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noWrap/>
            <w:vAlign w:val="bottom"/>
          </w:tcPr>
          <w:p w14:paraId="0A99B2C8"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vMerge w:val="restart"/>
            <w:tcBorders>
              <w:top w:val="single" w:sz="2"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456C5349"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Min</w:t>
            </w:r>
          </w:p>
        </w:tc>
        <w:tc>
          <w:tcPr>
            <w:tcW w:w="972" w:type="dxa"/>
            <w:vMerge w:val="restart"/>
            <w:tcBorders>
              <w:top w:val="single" w:sz="2" w:space="0" w:color="auto"/>
              <w:left w:val="single" w:sz="2" w:space="0" w:color="auto"/>
              <w:bottom w:val="single" w:sz="2" w:space="0" w:color="auto"/>
              <w:right w:val="single" w:sz="2" w:space="0" w:color="auto"/>
            </w:tcBorders>
            <w:shd w:val="clear" w:color="auto" w:fill="F2F2F2" w:themeFill="background1" w:themeFillShade="F2"/>
            <w:vAlign w:val="center"/>
          </w:tcPr>
          <w:p w14:paraId="67C3ECF0"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Max</w:t>
            </w:r>
          </w:p>
        </w:tc>
        <w:tc>
          <w:tcPr>
            <w:tcW w:w="1323" w:type="dxa"/>
            <w:vMerge/>
            <w:tcBorders>
              <w:top w:val="single" w:sz="2"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62658FB9" w14:textId="77777777" w:rsidR="008E0453" w:rsidRPr="00022BA7" w:rsidRDefault="008E0453" w:rsidP="000761FB">
            <w:pPr>
              <w:widowControl/>
              <w:spacing w:line="240" w:lineRule="auto"/>
              <w:ind w:right="0"/>
              <w:jc w:val="center"/>
              <w:rPr>
                <w:rFonts w:eastAsia="Times New Roman" w:cs="Times New Roman"/>
                <w:color w:val="000000"/>
                <w:lang w:eastAsia="ko-KR"/>
              </w:rPr>
            </w:pPr>
          </w:p>
        </w:tc>
        <w:tc>
          <w:tcPr>
            <w:tcW w:w="1343" w:type="dxa"/>
            <w:tcBorders>
              <w:top w:val="single" w:sz="2" w:space="0" w:color="auto"/>
              <w:left w:val="single" w:sz="2" w:space="0" w:color="auto"/>
              <w:bottom w:val="single" w:sz="2" w:space="0" w:color="auto"/>
              <w:right w:val="single" w:sz="2" w:space="0" w:color="auto"/>
            </w:tcBorders>
            <w:shd w:val="clear" w:color="auto" w:fill="F2F2F2" w:themeFill="background1" w:themeFillShade="F2"/>
            <w:noWrap/>
            <w:vAlign w:val="center"/>
          </w:tcPr>
          <w:p w14:paraId="6D47928E"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BESp100</w:t>
            </w:r>
          </w:p>
        </w:tc>
        <w:tc>
          <w:tcPr>
            <w:tcW w:w="1261" w:type="dxa"/>
            <w:tcBorders>
              <w:top w:val="single" w:sz="2" w:space="0" w:color="auto"/>
              <w:left w:val="single" w:sz="2" w:space="0" w:color="auto"/>
              <w:bottom w:val="single" w:sz="2" w:space="0" w:color="auto"/>
              <w:right w:val="single" w:sz="2" w:space="0" w:color="auto"/>
            </w:tcBorders>
            <w:shd w:val="clear" w:color="auto" w:fill="F2F2F2" w:themeFill="background1" w:themeFillShade="F2"/>
            <w:vAlign w:val="center"/>
          </w:tcPr>
          <w:p w14:paraId="6DCE566E"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BESp99</w:t>
            </w:r>
          </w:p>
        </w:tc>
        <w:tc>
          <w:tcPr>
            <w:tcW w:w="1151" w:type="dxa"/>
            <w:tcBorders>
              <w:top w:val="single" w:sz="2" w:space="0" w:color="auto"/>
              <w:left w:val="single" w:sz="2" w:space="0" w:color="auto"/>
              <w:bottom w:val="single" w:sz="2" w:space="0" w:color="auto"/>
              <w:right w:val="single" w:sz="2" w:space="0" w:color="auto"/>
            </w:tcBorders>
            <w:shd w:val="clear" w:color="auto" w:fill="F2F2F2" w:themeFill="background1" w:themeFillShade="F2"/>
            <w:vAlign w:val="center"/>
          </w:tcPr>
          <w:p w14:paraId="1FD6BC1D"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BESp95</w:t>
            </w:r>
          </w:p>
        </w:tc>
        <w:tc>
          <w:tcPr>
            <w:tcW w:w="1151" w:type="dxa"/>
            <w:tcBorders>
              <w:top w:val="single" w:sz="2" w:space="0" w:color="auto"/>
              <w:left w:val="single" w:sz="2" w:space="0" w:color="auto"/>
              <w:bottom w:val="single" w:sz="2" w:space="0" w:color="auto"/>
              <w:right w:val="single" w:sz="2" w:space="0" w:color="auto"/>
            </w:tcBorders>
            <w:shd w:val="clear" w:color="auto" w:fill="F2F2F2" w:themeFill="background1" w:themeFillShade="F2"/>
            <w:vAlign w:val="center"/>
          </w:tcPr>
          <w:p w14:paraId="0BFB6BA5"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BESp90</w:t>
            </w:r>
          </w:p>
        </w:tc>
      </w:tr>
      <w:tr w:rsidR="008E0453" w:rsidRPr="00022BA7" w14:paraId="71CA258B" w14:textId="77777777" w:rsidTr="000761FB">
        <w:trPr>
          <w:trHeight w:val="360"/>
        </w:trPr>
        <w:tc>
          <w:tcPr>
            <w:tcW w:w="1525"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63743D95"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7D6B60C8" w14:textId="77777777" w:rsidR="008E0453" w:rsidRPr="00022BA7" w:rsidRDefault="008E0453" w:rsidP="000761FB">
            <w:pPr>
              <w:widowControl/>
              <w:spacing w:line="240" w:lineRule="auto"/>
              <w:ind w:right="0"/>
              <w:jc w:val="center"/>
              <w:rPr>
                <w:rFonts w:eastAsia="Times New Roman" w:cs="Times New Roman"/>
                <w:color w:val="000000"/>
                <w:lang w:eastAsia="ko-KR"/>
              </w:rPr>
            </w:pPr>
          </w:p>
        </w:tc>
        <w:tc>
          <w:tcPr>
            <w:tcW w:w="972"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vAlign w:val="bottom"/>
          </w:tcPr>
          <w:p w14:paraId="1B6CC8D4" w14:textId="77777777" w:rsidR="008E0453" w:rsidRPr="00022BA7" w:rsidRDefault="008E0453" w:rsidP="000761FB">
            <w:pPr>
              <w:widowControl/>
              <w:spacing w:line="240" w:lineRule="auto"/>
              <w:ind w:right="0"/>
              <w:jc w:val="center"/>
              <w:rPr>
                <w:rFonts w:eastAsia="Times New Roman" w:cs="Times New Roman"/>
                <w:color w:val="000000"/>
                <w:lang w:eastAsia="ko-KR"/>
              </w:rPr>
            </w:pPr>
          </w:p>
        </w:tc>
        <w:tc>
          <w:tcPr>
            <w:tcW w:w="1323" w:type="dxa"/>
            <w:vMerge/>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37611D58" w14:textId="77777777" w:rsidR="008E0453" w:rsidRPr="00022BA7" w:rsidRDefault="008E0453" w:rsidP="000761FB">
            <w:pPr>
              <w:widowControl/>
              <w:spacing w:line="240" w:lineRule="auto"/>
              <w:ind w:right="0"/>
              <w:jc w:val="center"/>
              <w:rPr>
                <w:rFonts w:eastAsia="Times New Roman" w:cs="Times New Roman"/>
                <w:color w:val="000000"/>
                <w:lang w:eastAsia="ko-KR"/>
              </w:rPr>
            </w:pPr>
          </w:p>
        </w:tc>
        <w:tc>
          <w:tcPr>
            <w:tcW w:w="4906" w:type="dxa"/>
            <w:gridSpan w:val="4"/>
            <w:tcBorders>
              <w:top w:val="single" w:sz="2" w:space="0" w:color="auto"/>
              <w:left w:val="single" w:sz="2" w:space="0" w:color="auto"/>
              <w:bottom w:val="single" w:sz="18" w:space="0" w:color="auto"/>
              <w:right w:val="single" w:sz="2" w:space="0" w:color="auto"/>
            </w:tcBorders>
            <w:shd w:val="clear" w:color="auto" w:fill="F2F2F2" w:themeFill="background1" w:themeFillShade="F2"/>
            <w:noWrap/>
            <w:vAlign w:val="bottom"/>
          </w:tcPr>
          <w:p w14:paraId="23AF98E1"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Median Battery Capacity [MWh]</w:t>
            </w:r>
          </w:p>
          <w:p w14:paraId="2288B666" w14:textId="77777777" w:rsidR="008E0453" w:rsidRPr="00022BA7" w:rsidRDefault="008E0453" w:rsidP="000761FB">
            <w:pPr>
              <w:widowControl/>
              <w:spacing w:line="240" w:lineRule="auto"/>
              <w:ind w:right="0"/>
              <w:jc w:val="center"/>
              <w:rPr>
                <w:rFonts w:eastAsia="Times New Roman" w:cs="Times New Roman"/>
                <w:color w:val="000000"/>
                <w:lang w:eastAsia="ko-KR"/>
              </w:rPr>
            </w:pPr>
            <w:r w:rsidRPr="00022BA7">
              <w:rPr>
                <w:rFonts w:eastAsia="Times New Roman" w:cs="Times New Roman"/>
                <w:color w:val="000000"/>
                <w:lang w:eastAsia="ko-KR"/>
              </w:rPr>
              <w:t>(</w:t>
            </w:r>
            <w:r>
              <w:rPr>
                <w:rFonts w:eastAsia="Times New Roman" w:cs="Times New Roman"/>
                <w:color w:val="000000"/>
                <w:lang w:eastAsia="ko-KR"/>
              </w:rPr>
              <w:t>Percentage Reduction</w:t>
            </w:r>
            <w:r w:rsidRPr="00022BA7">
              <w:rPr>
                <w:rFonts w:eastAsia="Times New Roman" w:cs="Times New Roman"/>
                <w:color w:val="000000"/>
                <w:lang w:eastAsia="ko-KR"/>
              </w:rPr>
              <w:t xml:space="preserve"> </w:t>
            </w:r>
            <w:r>
              <w:rPr>
                <w:rFonts w:eastAsia="Times New Roman" w:cs="Times New Roman"/>
                <w:color w:val="000000"/>
                <w:lang w:eastAsia="ko-KR"/>
              </w:rPr>
              <w:t xml:space="preserve">Below </w:t>
            </w:r>
            <w:r w:rsidRPr="00022BA7">
              <w:rPr>
                <w:rFonts w:eastAsia="Times New Roman" w:cs="Times New Roman"/>
                <w:color w:val="000000"/>
                <w:lang w:eastAsia="ko-KR"/>
              </w:rPr>
              <w:t>BESp100)</w:t>
            </w:r>
          </w:p>
        </w:tc>
      </w:tr>
      <w:tr w:rsidR="008E0453" w:rsidRPr="00022BA7" w14:paraId="6CC0E00B" w14:textId="77777777" w:rsidTr="000761FB">
        <w:trPr>
          <w:trHeight w:val="260"/>
        </w:trPr>
        <w:tc>
          <w:tcPr>
            <w:tcW w:w="1525" w:type="dxa"/>
            <w:vMerge w:val="restart"/>
            <w:tcBorders>
              <w:top w:val="single" w:sz="18" w:space="0" w:color="auto"/>
            </w:tcBorders>
            <w:shd w:val="clear" w:color="auto" w:fill="auto"/>
            <w:noWrap/>
            <w:vAlign w:val="center"/>
            <w:hideMark/>
          </w:tcPr>
          <w:p w14:paraId="730F3210" w14:textId="77777777" w:rsidR="008E0453" w:rsidRPr="00022BA7" w:rsidRDefault="008E0453" w:rsidP="000761FB">
            <w:pPr>
              <w:widowControl/>
              <w:spacing w:line="240" w:lineRule="auto"/>
              <w:ind w:right="0"/>
              <w:rPr>
                <w:rFonts w:eastAsia="Times New Roman" w:cs="Times New Roman"/>
                <w:color w:val="000000"/>
                <w:lang w:eastAsia="ko-KR"/>
              </w:rPr>
            </w:pPr>
            <w:r w:rsidRPr="00022BA7">
              <w:rPr>
                <w:rFonts w:eastAsia="Times New Roman" w:cs="Times New Roman"/>
                <w:color w:val="000000"/>
                <w:lang w:eastAsia="ko-KR"/>
              </w:rPr>
              <w:t>Passenger</w:t>
            </w:r>
          </w:p>
        </w:tc>
        <w:tc>
          <w:tcPr>
            <w:tcW w:w="593" w:type="dxa"/>
            <w:tcBorders>
              <w:top w:val="single" w:sz="18" w:space="0" w:color="auto"/>
            </w:tcBorders>
            <w:shd w:val="clear" w:color="auto" w:fill="auto"/>
            <w:noWrap/>
            <w:vAlign w:val="center"/>
            <w:hideMark/>
          </w:tcPr>
          <w:p w14:paraId="290097A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w:t>
            </w:r>
          </w:p>
        </w:tc>
        <w:tc>
          <w:tcPr>
            <w:tcW w:w="972" w:type="dxa"/>
            <w:tcBorders>
              <w:top w:val="single" w:sz="18" w:space="0" w:color="auto"/>
            </w:tcBorders>
            <w:shd w:val="clear" w:color="auto" w:fill="auto"/>
            <w:noWrap/>
            <w:vAlign w:val="center"/>
            <w:hideMark/>
          </w:tcPr>
          <w:p w14:paraId="16C6EE03"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1323" w:type="dxa"/>
            <w:tcBorders>
              <w:top w:val="single" w:sz="18" w:space="0" w:color="auto"/>
            </w:tcBorders>
            <w:shd w:val="clear" w:color="auto" w:fill="auto"/>
            <w:noWrap/>
            <w:vAlign w:val="center"/>
            <w:hideMark/>
          </w:tcPr>
          <w:p w14:paraId="68A5A4BB"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272</w:t>
            </w:r>
          </w:p>
        </w:tc>
        <w:tc>
          <w:tcPr>
            <w:tcW w:w="1343" w:type="dxa"/>
            <w:tcBorders>
              <w:top w:val="single" w:sz="18" w:space="0" w:color="auto"/>
            </w:tcBorders>
            <w:shd w:val="clear" w:color="auto" w:fill="auto"/>
            <w:noWrap/>
            <w:vAlign w:val="bottom"/>
            <w:hideMark/>
          </w:tcPr>
          <w:p w14:paraId="35AD8A41"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6.2</w:t>
            </w:r>
          </w:p>
        </w:tc>
        <w:tc>
          <w:tcPr>
            <w:tcW w:w="1261" w:type="dxa"/>
            <w:tcBorders>
              <w:top w:val="single" w:sz="18" w:space="0" w:color="auto"/>
            </w:tcBorders>
            <w:shd w:val="clear" w:color="auto" w:fill="auto"/>
            <w:noWrap/>
            <w:vAlign w:val="bottom"/>
            <w:hideMark/>
          </w:tcPr>
          <w:p w14:paraId="5D9D9DCD"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1.5(77%)</w:t>
            </w:r>
          </w:p>
        </w:tc>
        <w:tc>
          <w:tcPr>
            <w:tcW w:w="1151" w:type="dxa"/>
            <w:tcBorders>
              <w:top w:val="single" w:sz="18" w:space="0" w:color="auto"/>
            </w:tcBorders>
            <w:shd w:val="clear" w:color="auto" w:fill="auto"/>
            <w:noWrap/>
            <w:vAlign w:val="bottom"/>
            <w:hideMark/>
          </w:tcPr>
          <w:p w14:paraId="02BBB88A"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0.8(87%)</w:t>
            </w:r>
          </w:p>
        </w:tc>
        <w:tc>
          <w:tcPr>
            <w:tcW w:w="1151" w:type="dxa"/>
            <w:tcBorders>
              <w:top w:val="single" w:sz="18" w:space="0" w:color="auto"/>
            </w:tcBorders>
            <w:shd w:val="clear" w:color="auto" w:fill="auto"/>
            <w:noWrap/>
            <w:vAlign w:val="bottom"/>
            <w:hideMark/>
          </w:tcPr>
          <w:p w14:paraId="76A32B4B"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0.6(90%)</w:t>
            </w:r>
          </w:p>
        </w:tc>
      </w:tr>
      <w:tr w:rsidR="008E0453" w:rsidRPr="00022BA7" w14:paraId="710CD880" w14:textId="77777777" w:rsidTr="000761FB">
        <w:trPr>
          <w:trHeight w:val="260"/>
        </w:trPr>
        <w:tc>
          <w:tcPr>
            <w:tcW w:w="1525" w:type="dxa"/>
            <w:vMerge/>
            <w:shd w:val="clear" w:color="auto" w:fill="auto"/>
            <w:noWrap/>
            <w:vAlign w:val="center"/>
          </w:tcPr>
          <w:p w14:paraId="3E600A3F"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shd w:val="clear" w:color="auto" w:fill="auto"/>
            <w:noWrap/>
            <w:vAlign w:val="center"/>
            <w:hideMark/>
          </w:tcPr>
          <w:p w14:paraId="0575DD4B"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972" w:type="dxa"/>
            <w:shd w:val="clear" w:color="auto" w:fill="auto"/>
            <w:noWrap/>
            <w:vAlign w:val="center"/>
            <w:hideMark/>
          </w:tcPr>
          <w:p w14:paraId="15B747E3"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1000</w:t>
            </w:r>
          </w:p>
        </w:tc>
        <w:tc>
          <w:tcPr>
            <w:tcW w:w="1323" w:type="dxa"/>
            <w:shd w:val="clear" w:color="auto" w:fill="auto"/>
            <w:noWrap/>
            <w:vAlign w:val="center"/>
            <w:hideMark/>
          </w:tcPr>
          <w:p w14:paraId="334D8770"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34</w:t>
            </w:r>
          </w:p>
        </w:tc>
        <w:tc>
          <w:tcPr>
            <w:tcW w:w="1343" w:type="dxa"/>
            <w:shd w:val="clear" w:color="auto" w:fill="auto"/>
            <w:noWrap/>
            <w:vAlign w:val="bottom"/>
            <w:hideMark/>
          </w:tcPr>
          <w:p w14:paraId="4051A177"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62.9</w:t>
            </w:r>
          </w:p>
        </w:tc>
        <w:tc>
          <w:tcPr>
            <w:tcW w:w="1261" w:type="dxa"/>
            <w:shd w:val="clear" w:color="auto" w:fill="auto"/>
            <w:noWrap/>
            <w:vAlign w:val="bottom"/>
            <w:hideMark/>
          </w:tcPr>
          <w:p w14:paraId="16AC1A8A"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11.1(82%)</w:t>
            </w:r>
          </w:p>
        </w:tc>
        <w:tc>
          <w:tcPr>
            <w:tcW w:w="1151" w:type="dxa"/>
            <w:shd w:val="clear" w:color="auto" w:fill="auto"/>
            <w:noWrap/>
            <w:vAlign w:val="bottom"/>
            <w:hideMark/>
          </w:tcPr>
          <w:p w14:paraId="6382DE7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5.0(92%)</w:t>
            </w:r>
          </w:p>
        </w:tc>
        <w:tc>
          <w:tcPr>
            <w:tcW w:w="1151" w:type="dxa"/>
            <w:shd w:val="clear" w:color="auto" w:fill="auto"/>
            <w:noWrap/>
            <w:vAlign w:val="bottom"/>
            <w:hideMark/>
          </w:tcPr>
          <w:p w14:paraId="2E9DA698"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3.5(94%)</w:t>
            </w:r>
          </w:p>
        </w:tc>
      </w:tr>
      <w:tr w:rsidR="008E0453" w:rsidRPr="00022BA7" w14:paraId="0D696714" w14:textId="77777777" w:rsidTr="000761FB">
        <w:trPr>
          <w:trHeight w:val="50"/>
        </w:trPr>
        <w:tc>
          <w:tcPr>
            <w:tcW w:w="1525" w:type="dxa"/>
            <w:vMerge w:val="restart"/>
            <w:shd w:val="clear" w:color="auto" w:fill="auto"/>
            <w:noWrap/>
            <w:vAlign w:val="center"/>
            <w:hideMark/>
          </w:tcPr>
          <w:p w14:paraId="14DAAB0D" w14:textId="77777777" w:rsidR="008E0453" w:rsidRPr="00022BA7" w:rsidRDefault="008E0453" w:rsidP="000761FB">
            <w:pPr>
              <w:widowControl/>
              <w:spacing w:line="240" w:lineRule="auto"/>
              <w:ind w:right="0"/>
              <w:rPr>
                <w:rFonts w:eastAsia="Times New Roman" w:cs="Times New Roman"/>
                <w:color w:val="000000"/>
                <w:lang w:eastAsia="ko-KR"/>
              </w:rPr>
            </w:pPr>
            <w:r w:rsidRPr="00022BA7">
              <w:rPr>
                <w:rFonts w:eastAsia="Times New Roman" w:cs="Times New Roman"/>
                <w:color w:val="000000"/>
                <w:lang w:eastAsia="ko-KR"/>
              </w:rPr>
              <w:t>Tug (Coastal-Harbor)</w:t>
            </w:r>
          </w:p>
        </w:tc>
        <w:tc>
          <w:tcPr>
            <w:tcW w:w="593" w:type="dxa"/>
            <w:shd w:val="clear" w:color="auto" w:fill="auto"/>
            <w:noWrap/>
            <w:vAlign w:val="center"/>
            <w:hideMark/>
          </w:tcPr>
          <w:p w14:paraId="23E0D1A3"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w:t>
            </w:r>
          </w:p>
        </w:tc>
        <w:tc>
          <w:tcPr>
            <w:tcW w:w="972" w:type="dxa"/>
            <w:shd w:val="clear" w:color="auto" w:fill="auto"/>
            <w:noWrap/>
            <w:vAlign w:val="center"/>
            <w:hideMark/>
          </w:tcPr>
          <w:p w14:paraId="02D731B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1323" w:type="dxa"/>
            <w:shd w:val="clear" w:color="auto" w:fill="auto"/>
            <w:noWrap/>
            <w:vAlign w:val="center"/>
            <w:hideMark/>
          </w:tcPr>
          <w:p w14:paraId="149BB2C5"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1311</w:t>
            </w:r>
          </w:p>
        </w:tc>
        <w:tc>
          <w:tcPr>
            <w:tcW w:w="1343" w:type="dxa"/>
            <w:shd w:val="clear" w:color="auto" w:fill="auto"/>
            <w:noWrap/>
            <w:vAlign w:val="bottom"/>
            <w:hideMark/>
          </w:tcPr>
          <w:p w14:paraId="3425EF42"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30.2</w:t>
            </w:r>
          </w:p>
        </w:tc>
        <w:tc>
          <w:tcPr>
            <w:tcW w:w="1261" w:type="dxa"/>
            <w:shd w:val="clear" w:color="auto" w:fill="auto"/>
            <w:noWrap/>
            <w:vAlign w:val="bottom"/>
            <w:hideMark/>
          </w:tcPr>
          <w:p w14:paraId="2E589098"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8.2(73%)</w:t>
            </w:r>
          </w:p>
        </w:tc>
        <w:tc>
          <w:tcPr>
            <w:tcW w:w="1151" w:type="dxa"/>
            <w:shd w:val="clear" w:color="auto" w:fill="auto"/>
            <w:noWrap/>
            <w:vAlign w:val="bottom"/>
            <w:hideMark/>
          </w:tcPr>
          <w:p w14:paraId="16AFD3FD"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2.9(91%)</w:t>
            </w:r>
          </w:p>
        </w:tc>
        <w:tc>
          <w:tcPr>
            <w:tcW w:w="1151" w:type="dxa"/>
            <w:shd w:val="clear" w:color="auto" w:fill="auto"/>
            <w:noWrap/>
            <w:vAlign w:val="bottom"/>
            <w:hideMark/>
          </w:tcPr>
          <w:p w14:paraId="7264504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1.4(95%)</w:t>
            </w:r>
          </w:p>
        </w:tc>
      </w:tr>
      <w:tr w:rsidR="008E0453" w:rsidRPr="00022BA7" w14:paraId="1809E8B3" w14:textId="77777777" w:rsidTr="000761FB">
        <w:trPr>
          <w:trHeight w:val="260"/>
        </w:trPr>
        <w:tc>
          <w:tcPr>
            <w:tcW w:w="1525" w:type="dxa"/>
            <w:vMerge/>
            <w:shd w:val="clear" w:color="auto" w:fill="auto"/>
            <w:noWrap/>
            <w:vAlign w:val="center"/>
          </w:tcPr>
          <w:p w14:paraId="1FA41A4C"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shd w:val="clear" w:color="auto" w:fill="auto"/>
            <w:noWrap/>
            <w:vAlign w:val="center"/>
            <w:hideMark/>
          </w:tcPr>
          <w:p w14:paraId="759199A4"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972" w:type="dxa"/>
            <w:shd w:val="clear" w:color="auto" w:fill="auto"/>
            <w:noWrap/>
            <w:vAlign w:val="center"/>
            <w:hideMark/>
          </w:tcPr>
          <w:p w14:paraId="6DC02615"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1000</w:t>
            </w:r>
          </w:p>
        </w:tc>
        <w:tc>
          <w:tcPr>
            <w:tcW w:w="1323" w:type="dxa"/>
            <w:shd w:val="clear" w:color="auto" w:fill="auto"/>
            <w:noWrap/>
            <w:vAlign w:val="center"/>
            <w:hideMark/>
          </w:tcPr>
          <w:p w14:paraId="7F81D70E"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84</w:t>
            </w:r>
          </w:p>
        </w:tc>
        <w:tc>
          <w:tcPr>
            <w:tcW w:w="1343" w:type="dxa"/>
            <w:shd w:val="clear" w:color="auto" w:fill="auto"/>
            <w:noWrap/>
            <w:vAlign w:val="bottom"/>
            <w:hideMark/>
          </w:tcPr>
          <w:p w14:paraId="332435CA"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98.5</w:t>
            </w:r>
          </w:p>
        </w:tc>
        <w:tc>
          <w:tcPr>
            <w:tcW w:w="1261" w:type="dxa"/>
            <w:shd w:val="clear" w:color="auto" w:fill="auto"/>
            <w:noWrap/>
            <w:vAlign w:val="bottom"/>
            <w:hideMark/>
          </w:tcPr>
          <w:p w14:paraId="0F304A0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35(64%)</w:t>
            </w:r>
          </w:p>
        </w:tc>
        <w:tc>
          <w:tcPr>
            <w:tcW w:w="1151" w:type="dxa"/>
            <w:shd w:val="clear" w:color="auto" w:fill="auto"/>
            <w:noWrap/>
            <w:vAlign w:val="bottom"/>
            <w:hideMark/>
          </w:tcPr>
          <w:p w14:paraId="4A9562A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13.3(87%)</w:t>
            </w:r>
          </w:p>
        </w:tc>
        <w:tc>
          <w:tcPr>
            <w:tcW w:w="1151" w:type="dxa"/>
            <w:shd w:val="clear" w:color="auto" w:fill="auto"/>
            <w:noWrap/>
            <w:vAlign w:val="bottom"/>
            <w:hideMark/>
          </w:tcPr>
          <w:p w14:paraId="5FF6BEFD"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5.8(94%)</w:t>
            </w:r>
          </w:p>
        </w:tc>
      </w:tr>
      <w:tr w:rsidR="008E0453" w:rsidRPr="00022BA7" w14:paraId="411B71DD" w14:textId="77777777" w:rsidTr="000761FB">
        <w:trPr>
          <w:trHeight w:val="260"/>
        </w:trPr>
        <w:tc>
          <w:tcPr>
            <w:tcW w:w="1525" w:type="dxa"/>
            <w:vMerge w:val="restart"/>
            <w:shd w:val="clear" w:color="auto" w:fill="auto"/>
            <w:noWrap/>
            <w:vAlign w:val="center"/>
            <w:hideMark/>
          </w:tcPr>
          <w:p w14:paraId="4F30C702" w14:textId="77777777" w:rsidR="008E0453" w:rsidRPr="00022BA7" w:rsidRDefault="008E0453" w:rsidP="000761FB">
            <w:pPr>
              <w:widowControl/>
              <w:spacing w:line="240" w:lineRule="auto"/>
              <w:ind w:right="0"/>
              <w:rPr>
                <w:rFonts w:eastAsia="Times New Roman" w:cs="Times New Roman"/>
                <w:color w:val="000000"/>
                <w:lang w:eastAsia="ko-KR"/>
              </w:rPr>
            </w:pPr>
            <w:r w:rsidRPr="00022BA7">
              <w:rPr>
                <w:rFonts w:eastAsia="Times New Roman" w:cs="Times New Roman"/>
                <w:color w:val="000000"/>
                <w:lang w:eastAsia="ko-KR"/>
              </w:rPr>
              <w:t>Tug (Inland-Push Boats)</w:t>
            </w:r>
          </w:p>
        </w:tc>
        <w:tc>
          <w:tcPr>
            <w:tcW w:w="593" w:type="dxa"/>
            <w:shd w:val="clear" w:color="auto" w:fill="auto"/>
            <w:noWrap/>
            <w:vAlign w:val="center"/>
            <w:hideMark/>
          </w:tcPr>
          <w:p w14:paraId="1D4F8978"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w:t>
            </w:r>
          </w:p>
        </w:tc>
        <w:tc>
          <w:tcPr>
            <w:tcW w:w="972" w:type="dxa"/>
            <w:shd w:val="clear" w:color="auto" w:fill="auto"/>
            <w:noWrap/>
            <w:vAlign w:val="center"/>
            <w:hideMark/>
          </w:tcPr>
          <w:p w14:paraId="0F59901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1323" w:type="dxa"/>
            <w:shd w:val="clear" w:color="auto" w:fill="auto"/>
            <w:noWrap/>
            <w:vAlign w:val="center"/>
            <w:hideMark/>
          </w:tcPr>
          <w:p w14:paraId="79F9B7D7"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776</w:t>
            </w:r>
          </w:p>
        </w:tc>
        <w:tc>
          <w:tcPr>
            <w:tcW w:w="1343" w:type="dxa"/>
            <w:shd w:val="clear" w:color="auto" w:fill="auto"/>
            <w:noWrap/>
            <w:vAlign w:val="bottom"/>
            <w:hideMark/>
          </w:tcPr>
          <w:p w14:paraId="7C0EAC1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19</w:t>
            </w:r>
          </w:p>
        </w:tc>
        <w:tc>
          <w:tcPr>
            <w:tcW w:w="1261" w:type="dxa"/>
            <w:shd w:val="clear" w:color="auto" w:fill="auto"/>
            <w:noWrap/>
            <w:vAlign w:val="bottom"/>
            <w:hideMark/>
          </w:tcPr>
          <w:p w14:paraId="59EDBBD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5.8(69%)</w:t>
            </w:r>
          </w:p>
        </w:tc>
        <w:tc>
          <w:tcPr>
            <w:tcW w:w="1151" w:type="dxa"/>
            <w:shd w:val="clear" w:color="auto" w:fill="auto"/>
            <w:noWrap/>
            <w:vAlign w:val="bottom"/>
            <w:hideMark/>
          </w:tcPr>
          <w:p w14:paraId="104CD35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2.0(90%)</w:t>
            </w:r>
          </w:p>
        </w:tc>
        <w:tc>
          <w:tcPr>
            <w:tcW w:w="1151" w:type="dxa"/>
            <w:shd w:val="clear" w:color="auto" w:fill="auto"/>
            <w:noWrap/>
            <w:vAlign w:val="bottom"/>
            <w:hideMark/>
          </w:tcPr>
          <w:p w14:paraId="6E54AA70"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1.0(95%)</w:t>
            </w:r>
          </w:p>
        </w:tc>
      </w:tr>
      <w:tr w:rsidR="008E0453" w:rsidRPr="00022BA7" w14:paraId="5873BF4A" w14:textId="77777777" w:rsidTr="000761FB">
        <w:trPr>
          <w:trHeight w:val="260"/>
        </w:trPr>
        <w:tc>
          <w:tcPr>
            <w:tcW w:w="1525" w:type="dxa"/>
            <w:vMerge/>
            <w:shd w:val="clear" w:color="auto" w:fill="auto"/>
            <w:noWrap/>
            <w:vAlign w:val="center"/>
          </w:tcPr>
          <w:p w14:paraId="54EC09C5"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shd w:val="clear" w:color="auto" w:fill="auto"/>
            <w:noWrap/>
            <w:vAlign w:val="center"/>
            <w:hideMark/>
          </w:tcPr>
          <w:p w14:paraId="7E3FA646"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972" w:type="dxa"/>
            <w:shd w:val="clear" w:color="auto" w:fill="auto"/>
            <w:noWrap/>
            <w:vAlign w:val="center"/>
            <w:hideMark/>
          </w:tcPr>
          <w:p w14:paraId="6ADAD838"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1000</w:t>
            </w:r>
          </w:p>
        </w:tc>
        <w:tc>
          <w:tcPr>
            <w:tcW w:w="1323" w:type="dxa"/>
            <w:shd w:val="clear" w:color="auto" w:fill="auto"/>
            <w:noWrap/>
            <w:vAlign w:val="center"/>
            <w:hideMark/>
          </w:tcPr>
          <w:p w14:paraId="68A5C1DF"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159</w:t>
            </w:r>
          </w:p>
        </w:tc>
        <w:tc>
          <w:tcPr>
            <w:tcW w:w="1343" w:type="dxa"/>
            <w:shd w:val="clear" w:color="auto" w:fill="auto"/>
            <w:noWrap/>
            <w:vAlign w:val="bottom"/>
            <w:hideMark/>
          </w:tcPr>
          <w:p w14:paraId="3A0B66A6"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118.4</w:t>
            </w:r>
          </w:p>
        </w:tc>
        <w:tc>
          <w:tcPr>
            <w:tcW w:w="1261" w:type="dxa"/>
            <w:shd w:val="clear" w:color="auto" w:fill="auto"/>
            <w:noWrap/>
            <w:vAlign w:val="bottom"/>
            <w:hideMark/>
          </w:tcPr>
          <w:p w14:paraId="626DB197"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24.5(79%)</w:t>
            </w:r>
          </w:p>
        </w:tc>
        <w:tc>
          <w:tcPr>
            <w:tcW w:w="1151" w:type="dxa"/>
            <w:shd w:val="clear" w:color="auto" w:fill="auto"/>
            <w:noWrap/>
            <w:vAlign w:val="bottom"/>
            <w:hideMark/>
          </w:tcPr>
          <w:p w14:paraId="2542CC0B"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8.2(93%)</w:t>
            </w:r>
          </w:p>
        </w:tc>
        <w:tc>
          <w:tcPr>
            <w:tcW w:w="1151" w:type="dxa"/>
            <w:shd w:val="clear" w:color="auto" w:fill="auto"/>
            <w:noWrap/>
            <w:vAlign w:val="bottom"/>
            <w:hideMark/>
          </w:tcPr>
          <w:p w14:paraId="0E9A81D7"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4.1(97%)</w:t>
            </w:r>
          </w:p>
        </w:tc>
      </w:tr>
      <w:tr w:rsidR="008E0453" w:rsidRPr="00022BA7" w14:paraId="758472A1" w14:textId="77777777" w:rsidTr="000761FB">
        <w:trPr>
          <w:trHeight w:val="260"/>
        </w:trPr>
        <w:tc>
          <w:tcPr>
            <w:tcW w:w="1525" w:type="dxa"/>
            <w:vMerge w:val="restart"/>
            <w:shd w:val="clear" w:color="auto" w:fill="auto"/>
            <w:noWrap/>
            <w:vAlign w:val="center"/>
            <w:hideMark/>
          </w:tcPr>
          <w:p w14:paraId="6B7E5DD6" w14:textId="77777777" w:rsidR="008E0453" w:rsidRPr="00022BA7" w:rsidRDefault="008E0453" w:rsidP="000761FB">
            <w:pPr>
              <w:widowControl/>
              <w:spacing w:line="240" w:lineRule="auto"/>
              <w:ind w:right="0"/>
              <w:rPr>
                <w:rFonts w:eastAsia="Times New Roman" w:cs="Times New Roman"/>
                <w:color w:val="000000"/>
                <w:lang w:eastAsia="ko-KR"/>
              </w:rPr>
            </w:pPr>
            <w:r w:rsidRPr="00022BA7">
              <w:rPr>
                <w:rFonts w:eastAsia="Times New Roman" w:cs="Times New Roman"/>
                <w:color w:val="000000"/>
                <w:lang w:eastAsia="ko-KR"/>
              </w:rPr>
              <w:t>Tug (ATB)</w:t>
            </w:r>
          </w:p>
        </w:tc>
        <w:tc>
          <w:tcPr>
            <w:tcW w:w="593" w:type="dxa"/>
            <w:shd w:val="clear" w:color="auto" w:fill="auto"/>
            <w:noWrap/>
            <w:vAlign w:val="center"/>
            <w:hideMark/>
          </w:tcPr>
          <w:p w14:paraId="69E2C06B"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w:t>
            </w:r>
          </w:p>
        </w:tc>
        <w:tc>
          <w:tcPr>
            <w:tcW w:w="972" w:type="dxa"/>
            <w:shd w:val="clear" w:color="auto" w:fill="auto"/>
            <w:noWrap/>
            <w:vAlign w:val="center"/>
            <w:hideMark/>
          </w:tcPr>
          <w:p w14:paraId="3AFCB571"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1323" w:type="dxa"/>
            <w:shd w:val="clear" w:color="auto" w:fill="auto"/>
            <w:noWrap/>
            <w:vAlign w:val="center"/>
            <w:hideMark/>
          </w:tcPr>
          <w:p w14:paraId="0BC99176"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30</w:t>
            </w:r>
          </w:p>
        </w:tc>
        <w:tc>
          <w:tcPr>
            <w:tcW w:w="1343" w:type="dxa"/>
            <w:shd w:val="clear" w:color="auto" w:fill="auto"/>
            <w:noWrap/>
            <w:vAlign w:val="bottom"/>
            <w:hideMark/>
          </w:tcPr>
          <w:p w14:paraId="4EDE1470"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165.2</w:t>
            </w:r>
          </w:p>
        </w:tc>
        <w:tc>
          <w:tcPr>
            <w:tcW w:w="1261" w:type="dxa"/>
            <w:shd w:val="clear" w:color="auto" w:fill="auto"/>
            <w:noWrap/>
            <w:vAlign w:val="bottom"/>
            <w:hideMark/>
          </w:tcPr>
          <w:p w14:paraId="38C2EBD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61.7(63%)</w:t>
            </w:r>
          </w:p>
        </w:tc>
        <w:tc>
          <w:tcPr>
            <w:tcW w:w="1151" w:type="dxa"/>
            <w:shd w:val="clear" w:color="auto" w:fill="auto"/>
            <w:noWrap/>
            <w:vAlign w:val="bottom"/>
            <w:hideMark/>
          </w:tcPr>
          <w:p w14:paraId="28DEB189"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28.5(83%)</w:t>
            </w:r>
          </w:p>
        </w:tc>
        <w:tc>
          <w:tcPr>
            <w:tcW w:w="1151" w:type="dxa"/>
            <w:shd w:val="clear" w:color="auto" w:fill="auto"/>
            <w:noWrap/>
            <w:vAlign w:val="bottom"/>
            <w:hideMark/>
          </w:tcPr>
          <w:p w14:paraId="024D961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11.4(93%)</w:t>
            </w:r>
          </w:p>
        </w:tc>
      </w:tr>
      <w:tr w:rsidR="008E0453" w:rsidRPr="00022BA7" w14:paraId="73381848" w14:textId="77777777" w:rsidTr="000761FB">
        <w:trPr>
          <w:trHeight w:val="260"/>
        </w:trPr>
        <w:tc>
          <w:tcPr>
            <w:tcW w:w="1525" w:type="dxa"/>
            <w:vMerge/>
            <w:shd w:val="clear" w:color="auto" w:fill="auto"/>
            <w:noWrap/>
            <w:vAlign w:val="center"/>
          </w:tcPr>
          <w:p w14:paraId="752E8F1C" w14:textId="77777777" w:rsidR="008E0453" w:rsidRPr="00022BA7" w:rsidRDefault="008E0453" w:rsidP="000761FB">
            <w:pPr>
              <w:widowControl/>
              <w:spacing w:line="240" w:lineRule="auto"/>
              <w:ind w:right="0"/>
              <w:rPr>
                <w:rFonts w:eastAsia="Times New Roman" w:cs="Times New Roman"/>
                <w:color w:val="000000"/>
                <w:lang w:eastAsia="ko-KR"/>
              </w:rPr>
            </w:pPr>
          </w:p>
        </w:tc>
        <w:tc>
          <w:tcPr>
            <w:tcW w:w="593" w:type="dxa"/>
            <w:shd w:val="clear" w:color="auto" w:fill="auto"/>
            <w:noWrap/>
            <w:vAlign w:val="center"/>
            <w:hideMark/>
          </w:tcPr>
          <w:p w14:paraId="1635296C"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500</w:t>
            </w:r>
          </w:p>
        </w:tc>
        <w:tc>
          <w:tcPr>
            <w:tcW w:w="972" w:type="dxa"/>
            <w:shd w:val="clear" w:color="auto" w:fill="auto"/>
            <w:noWrap/>
            <w:vAlign w:val="center"/>
            <w:hideMark/>
          </w:tcPr>
          <w:p w14:paraId="1082DEA4"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1000</w:t>
            </w:r>
          </w:p>
        </w:tc>
        <w:tc>
          <w:tcPr>
            <w:tcW w:w="1323" w:type="dxa"/>
            <w:shd w:val="clear" w:color="auto" w:fill="auto"/>
            <w:noWrap/>
            <w:vAlign w:val="center"/>
            <w:hideMark/>
          </w:tcPr>
          <w:p w14:paraId="07A3FB38"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50</w:t>
            </w:r>
          </w:p>
        </w:tc>
        <w:tc>
          <w:tcPr>
            <w:tcW w:w="1343" w:type="dxa"/>
            <w:shd w:val="clear" w:color="auto" w:fill="auto"/>
            <w:noWrap/>
            <w:vAlign w:val="bottom"/>
            <w:hideMark/>
          </w:tcPr>
          <w:p w14:paraId="38E94B51"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289.6</w:t>
            </w:r>
          </w:p>
        </w:tc>
        <w:tc>
          <w:tcPr>
            <w:tcW w:w="1261" w:type="dxa"/>
            <w:shd w:val="clear" w:color="auto" w:fill="auto"/>
            <w:noWrap/>
            <w:vAlign w:val="bottom"/>
            <w:hideMark/>
          </w:tcPr>
          <w:p w14:paraId="68FB3033"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124.7(57%)</w:t>
            </w:r>
          </w:p>
        </w:tc>
        <w:tc>
          <w:tcPr>
            <w:tcW w:w="1151" w:type="dxa"/>
            <w:shd w:val="clear" w:color="auto" w:fill="auto"/>
            <w:noWrap/>
            <w:vAlign w:val="bottom"/>
            <w:hideMark/>
          </w:tcPr>
          <w:p w14:paraId="07750333"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53.0(82%)</w:t>
            </w:r>
          </w:p>
        </w:tc>
        <w:tc>
          <w:tcPr>
            <w:tcW w:w="1151" w:type="dxa"/>
            <w:shd w:val="clear" w:color="auto" w:fill="auto"/>
            <w:noWrap/>
            <w:vAlign w:val="bottom"/>
            <w:hideMark/>
          </w:tcPr>
          <w:p w14:paraId="2F0879DE" w14:textId="77777777" w:rsidR="008E0453" w:rsidRPr="00022BA7" w:rsidRDefault="008E0453" w:rsidP="000761FB">
            <w:pPr>
              <w:widowControl/>
              <w:spacing w:line="240" w:lineRule="auto"/>
              <w:ind w:right="0"/>
              <w:jc w:val="right"/>
              <w:rPr>
                <w:rFonts w:eastAsia="Times New Roman" w:cs="Times New Roman"/>
                <w:color w:val="000000"/>
                <w:lang w:eastAsia="ko-KR"/>
              </w:rPr>
            </w:pPr>
            <w:r w:rsidRPr="00022BA7">
              <w:rPr>
                <w:rFonts w:eastAsia="Times New Roman" w:cs="Times New Roman"/>
                <w:color w:val="000000"/>
                <w:lang w:eastAsia="ko-KR"/>
              </w:rPr>
              <w:t>26.8(91%)</w:t>
            </w:r>
          </w:p>
        </w:tc>
      </w:tr>
    </w:tbl>
    <w:p w14:paraId="4A086BCE" w14:textId="77777777" w:rsidR="008E0453" w:rsidRPr="00022BA7" w:rsidRDefault="008E0453" w:rsidP="008E0453"/>
    <w:p w14:paraId="3647EF75" w14:textId="77777777" w:rsidR="003A05C7" w:rsidRDefault="003A05C7">
      <w:pPr>
        <w:widowControl/>
        <w:spacing w:line="240" w:lineRule="auto"/>
        <w:rPr>
          <w:color w:val="1F497D" w:themeColor="text2"/>
        </w:rPr>
      </w:pPr>
    </w:p>
    <w:p w14:paraId="0124B396" w14:textId="780A374A" w:rsidR="003A05C7" w:rsidRDefault="003A05C7">
      <w:pPr>
        <w:widowControl/>
        <w:spacing w:line="240" w:lineRule="auto"/>
        <w:rPr>
          <w:color w:val="1F497D" w:themeColor="text2"/>
        </w:rPr>
      </w:pPr>
    </w:p>
    <w:p w14:paraId="3AF80742" w14:textId="583B3363" w:rsidR="003A05C7" w:rsidRDefault="003A05C7">
      <w:pPr>
        <w:widowControl/>
        <w:spacing w:line="240" w:lineRule="auto"/>
        <w:rPr>
          <w:color w:val="1F497D" w:themeColor="text2"/>
        </w:rPr>
      </w:pPr>
    </w:p>
    <w:p w14:paraId="722F3095" w14:textId="1767B93F" w:rsidR="003A05C7" w:rsidRDefault="003A05C7">
      <w:pPr>
        <w:widowControl/>
        <w:spacing w:line="240" w:lineRule="auto"/>
        <w:rPr>
          <w:color w:val="1F497D" w:themeColor="text2"/>
        </w:rPr>
      </w:pPr>
    </w:p>
    <w:p w14:paraId="013A55C5" w14:textId="35F91CAA" w:rsidR="003A05C7" w:rsidRDefault="003A05C7">
      <w:pPr>
        <w:widowControl/>
        <w:spacing w:line="240" w:lineRule="auto"/>
        <w:rPr>
          <w:color w:val="1F497D" w:themeColor="text2"/>
        </w:rPr>
      </w:pPr>
    </w:p>
    <w:p w14:paraId="30CD8525" w14:textId="5779A426" w:rsidR="003A05C7" w:rsidRDefault="003A05C7">
      <w:pPr>
        <w:widowControl/>
        <w:spacing w:line="240" w:lineRule="auto"/>
        <w:rPr>
          <w:color w:val="1F497D" w:themeColor="text2"/>
        </w:rPr>
      </w:pPr>
    </w:p>
    <w:p w14:paraId="709B191F" w14:textId="091FB9DE" w:rsidR="003A05C7" w:rsidRDefault="003A05C7">
      <w:pPr>
        <w:widowControl/>
        <w:spacing w:line="240" w:lineRule="auto"/>
        <w:rPr>
          <w:color w:val="1F497D" w:themeColor="text2"/>
        </w:rPr>
      </w:pPr>
    </w:p>
    <w:p w14:paraId="212A3A04" w14:textId="6C00600D" w:rsidR="003A05C7" w:rsidRDefault="003A05C7">
      <w:pPr>
        <w:widowControl/>
        <w:spacing w:line="240" w:lineRule="auto"/>
        <w:rPr>
          <w:color w:val="1F497D" w:themeColor="text2"/>
        </w:rPr>
      </w:pPr>
    </w:p>
    <w:p w14:paraId="6571C031" w14:textId="77777777" w:rsidR="003A05C7" w:rsidRDefault="003A05C7">
      <w:pPr>
        <w:widowControl/>
        <w:spacing w:line="240" w:lineRule="auto"/>
        <w:rPr>
          <w:color w:val="1F497D" w:themeColor="text2"/>
        </w:rPr>
      </w:pPr>
    </w:p>
    <w:p w14:paraId="03BA8AAE" w14:textId="00BA2B88" w:rsidR="0097383D" w:rsidRDefault="0097383D">
      <w:pPr>
        <w:widowControl/>
        <w:spacing w:line="240" w:lineRule="auto"/>
        <w:rPr>
          <w:color w:val="1F497D" w:themeColor="text2"/>
        </w:rPr>
      </w:pPr>
      <w:r>
        <w:rPr>
          <w:color w:val="1F497D" w:themeColor="text2"/>
        </w:rPr>
        <w:br w:type="page"/>
      </w:r>
    </w:p>
    <w:p w14:paraId="371A8527" w14:textId="77777777" w:rsidR="0010106F" w:rsidRPr="00022BA7" w:rsidRDefault="0010106F" w:rsidP="0010106F">
      <w:pPr>
        <w:rPr>
          <w:noProof/>
        </w:rPr>
      </w:pPr>
      <w:r>
        <w:rPr>
          <w:noProof/>
        </w:rPr>
        <w:drawing>
          <wp:inline distT="0" distB="0" distL="0" distR="0" wp14:anchorId="483C0CEF" wp14:editId="120A4C9F">
            <wp:extent cx="3108960" cy="2740269"/>
            <wp:effectExtent l="0" t="0" r="0" b="317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3108960" cy="2740269"/>
                    </a:xfrm>
                    <a:prstGeom prst="rect">
                      <a:avLst/>
                    </a:prstGeom>
                  </pic:spPr>
                </pic:pic>
              </a:graphicData>
            </a:graphic>
          </wp:inline>
        </w:drawing>
      </w:r>
    </w:p>
    <w:p w14:paraId="0F72F560" w14:textId="2565E223" w:rsidR="0010106F" w:rsidRPr="00022BA7" w:rsidRDefault="006A248B" w:rsidP="0010106F">
      <w:pPr>
        <w:pStyle w:val="Caption"/>
      </w:pPr>
      <w:bookmarkStart w:id="135" w:name="_Ref144851730"/>
      <w:bookmarkStart w:id="136" w:name="_Toc148444182"/>
      <w:r>
        <w:t xml:space="preserve">Supplementary </w:t>
      </w:r>
      <w:r w:rsidR="0010106F" w:rsidRPr="00022BA7">
        <w:t xml:space="preserve">Figure </w:t>
      </w:r>
      <w:r w:rsidR="00590C69">
        <w:fldChar w:fldCharType="begin"/>
      </w:r>
      <w:r w:rsidR="00590C69">
        <w:instrText xml:space="preserve"> SEQ Figure \* ARABIC </w:instrText>
      </w:r>
      <w:r w:rsidR="00590C69">
        <w:fldChar w:fldCharType="separate"/>
      </w:r>
      <w:r w:rsidR="00C661AC">
        <w:rPr>
          <w:noProof/>
        </w:rPr>
        <w:t>1</w:t>
      </w:r>
      <w:r w:rsidR="00590C69">
        <w:rPr>
          <w:noProof/>
        </w:rPr>
        <w:fldChar w:fldCharType="end"/>
      </w:r>
      <w:bookmarkEnd w:id="135"/>
      <w:r w:rsidR="0010106F" w:rsidRPr="00022BA7">
        <w:t xml:space="preserve">. Number of </w:t>
      </w:r>
      <w:r w:rsidR="0010106F">
        <w:t xml:space="preserve">Ship </w:t>
      </w:r>
      <w:r w:rsidR="0010106F" w:rsidRPr="00022BA7">
        <w:t>Match</w:t>
      </w:r>
      <w:r w:rsidR="0010106F">
        <w:t>e</w:t>
      </w:r>
      <w:r w:rsidR="0010106F" w:rsidRPr="00022BA7">
        <w:t>s by Database and Method</w:t>
      </w:r>
      <w:bookmarkEnd w:id="136"/>
    </w:p>
    <w:p w14:paraId="20534F6B" w14:textId="77777777" w:rsidR="00BC1F06" w:rsidRPr="00022BA7" w:rsidRDefault="00BC1F06" w:rsidP="00BC1F06">
      <w:pPr>
        <w:widowControl/>
        <w:spacing w:line="240" w:lineRule="auto"/>
        <w:rPr>
          <w:rFonts w:cs="Times New Roman"/>
          <w:b/>
          <w:color w:val="1F497D" w:themeColor="text2"/>
          <w:sz w:val="32"/>
          <w:szCs w:val="24"/>
        </w:rPr>
      </w:pPr>
    </w:p>
    <w:p w14:paraId="10536B44" w14:textId="62401D4D" w:rsidR="003667C9" w:rsidRDefault="003667C9">
      <w:pPr>
        <w:widowControl/>
        <w:spacing w:line="240" w:lineRule="auto"/>
        <w:rPr>
          <w:color w:val="1F497D" w:themeColor="text2"/>
        </w:rPr>
      </w:pPr>
      <w:r>
        <w:rPr>
          <w:color w:val="1F497D" w:themeColor="text2"/>
        </w:rPr>
        <w:br w:type="page"/>
      </w:r>
    </w:p>
    <w:p w14:paraId="3E5A2D35" w14:textId="77777777" w:rsidR="00B77DF1" w:rsidRPr="00022BA7" w:rsidRDefault="00B77DF1" w:rsidP="00B77DF1">
      <w:pPr>
        <w:pStyle w:val="Caption"/>
      </w:pPr>
      <w:r>
        <w:rPr>
          <w:noProof/>
        </w:rPr>
        <w:drawing>
          <wp:inline distT="0" distB="0" distL="0" distR="0" wp14:anchorId="20CF7506" wp14:editId="51C938DA">
            <wp:extent cx="5943600" cy="4728210"/>
            <wp:effectExtent l="0" t="0" r="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943600" cy="4728210"/>
                    </a:xfrm>
                    <a:prstGeom prst="rect">
                      <a:avLst/>
                    </a:prstGeom>
                  </pic:spPr>
                </pic:pic>
              </a:graphicData>
            </a:graphic>
          </wp:inline>
        </w:drawing>
      </w:r>
    </w:p>
    <w:p w14:paraId="248516FC" w14:textId="6A977A98" w:rsidR="00B77DF1" w:rsidRDefault="00007F58" w:rsidP="00B77DF1">
      <w:pPr>
        <w:pStyle w:val="Caption"/>
      </w:pPr>
      <w:bookmarkStart w:id="137" w:name="_Ref144851829"/>
      <w:bookmarkStart w:id="138" w:name="_Toc148444183"/>
      <w:r>
        <w:t xml:space="preserve">Supplementary </w:t>
      </w:r>
      <w:r w:rsidR="00B77DF1" w:rsidRPr="00022BA7">
        <w:t xml:space="preserve">Figure </w:t>
      </w:r>
      <w:r w:rsidR="00590C69">
        <w:fldChar w:fldCharType="begin"/>
      </w:r>
      <w:r w:rsidR="00590C69">
        <w:instrText xml:space="preserve"> SEQ Figure \* ARABIC </w:instrText>
      </w:r>
      <w:r w:rsidR="00590C69">
        <w:fldChar w:fldCharType="separate"/>
      </w:r>
      <w:r w:rsidR="00C661AC">
        <w:rPr>
          <w:noProof/>
        </w:rPr>
        <w:t>2</w:t>
      </w:r>
      <w:r w:rsidR="00590C69">
        <w:rPr>
          <w:noProof/>
        </w:rPr>
        <w:fldChar w:fldCharType="end"/>
      </w:r>
      <w:bookmarkEnd w:id="137"/>
      <w:r w:rsidR="00B77DF1">
        <w:t xml:space="preserve">. </w:t>
      </w:r>
      <w:r w:rsidR="00B77DF1" w:rsidRPr="00022BA7">
        <w:t xml:space="preserve">Distribution of </w:t>
      </w:r>
      <w:r w:rsidR="00B77DF1">
        <w:t xml:space="preserve">the </w:t>
      </w:r>
      <w:r w:rsidR="00B77DF1" w:rsidRPr="00022BA7">
        <w:t xml:space="preserve">AIS Analyzed Subset </w:t>
      </w:r>
      <w:r w:rsidR="00B77DF1">
        <w:t>among Top 10 States by Ship Type and Cumulative Gross Tonnage (GT)</w:t>
      </w:r>
      <w:bookmarkEnd w:id="138"/>
    </w:p>
    <w:p w14:paraId="50B10071" w14:textId="4FCE1266" w:rsidR="00D15862" w:rsidRDefault="00D15862">
      <w:pPr>
        <w:widowControl/>
        <w:spacing w:line="240" w:lineRule="auto"/>
        <w:rPr>
          <w:color w:val="1F497D" w:themeColor="text2"/>
        </w:rPr>
      </w:pPr>
      <w:r>
        <w:rPr>
          <w:color w:val="1F497D" w:themeColor="text2"/>
        </w:rPr>
        <w:br w:type="page"/>
      </w:r>
    </w:p>
    <w:p w14:paraId="2D9F71F2" w14:textId="77777777" w:rsidR="00446E21" w:rsidRPr="00022BA7" w:rsidRDefault="00446E21" w:rsidP="00446E21">
      <w:pPr>
        <w:shd w:val="clear" w:color="auto" w:fill="FFFFFF" w:themeFill="background1"/>
      </w:pPr>
      <w:r>
        <w:rPr>
          <w:noProof/>
        </w:rPr>
        <w:drawing>
          <wp:inline distT="0" distB="0" distL="0" distR="0" wp14:anchorId="1C20147B" wp14:editId="15BE6CE8">
            <wp:extent cx="4571806" cy="4390845"/>
            <wp:effectExtent l="0" t="0" r="635"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96DAC541-7B7A-43D3-8B79-37D633B846F1}">
                          <asvg:svgBlip xmlns:asvg="http://schemas.microsoft.com/office/drawing/2016/SVG/main" r:embed="rId13"/>
                        </a:ext>
                      </a:extLst>
                    </a:blip>
                    <a:srcRect b="4387"/>
                    <a:stretch/>
                  </pic:blipFill>
                  <pic:spPr bwMode="auto">
                    <a:xfrm>
                      <a:off x="0" y="0"/>
                      <a:ext cx="4572000" cy="4391031"/>
                    </a:xfrm>
                    <a:prstGeom prst="rect">
                      <a:avLst/>
                    </a:prstGeom>
                    <a:ln>
                      <a:noFill/>
                    </a:ln>
                    <a:extLst>
                      <a:ext uri="{53640926-AAD7-44D8-BBD7-CCE9431645EC}">
                        <a14:shadowObscured xmlns:a14="http://schemas.microsoft.com/office/drawing/2010/main"/>
                      </a:ext>
                    </a:extLst>
                  </pic:spPr>
                </pic:pic>
              </a:graphicData>
            </a:graphic>
          </wp:inline>
        </w:drawing>
      </w:r>
    </w:p>
    <w:p w14:paraId="58E31EC3" w14:textId="03E680A6" w:rsidR="00446E21" w:rsidRPr="00022BA7" w:rsidRDefault="00007F58" w:rsidP="00446E21">
      <w:pPr>
        <w:pStyle w:val="Caption"/>
      </w:pPr>
      <w:bookmarkStart w:id="139" w:name="_Toc148444184"/>
      <w:r>
        <w:t xml:space="preserve">Supplementary </w:t>
      </w:r>
      <w:r w:rsidR="00446E21" w:rsidRPr="00022BA7">
        <w:t xml:space="preserve">Figure </w:t>
      </w:r>
      <w:r w:rsidR="00590C69">
        <w:fldChar w:fldCharType="begin"/>
      </w:r>
      <w:r w:rsidR="00590C69">
        <w:instrText xml:space="preserve"> SEQ Figure \* ARABIC </w:instrText>
      </w:r>
      <w:r w:rsidR="00590C69">
        <w:fldChar w:fldCharType="separate"/>
      </w:r>
      <w:r w:rsidR="00C661AC">
        <w:rPr>
          <w:noProof/>
        </w:rPr>
        <w:t>3</w:t>
      </w:r>
      <w:r w:rsidR="00590C69">
        <w:rPr>
          <w:noProof/>
        </w:rPr>
        <w:fldChar w:fldCharType="end"/>
      </w:r>
      <w:r w:rsidR="00446E21" w:rsidRPr="00022BA7">
        <w:t xml:space="preserve">. Count of Ships by </w:t>
      </w:r>
      <w:r w:rsidR="00446E21">
        <w:t>Data</w:t>
      </w:r>
      <w:r w:rsidR="00446E21" w:rsidRPr="00022BA7">
        <w:t xml:space="preserve"> Source</w:t>
      </w:r>
      <w:bookmarkEnd w:id="139"/>
      <w:r w:rsidR="00446E21" w:rsidRPr="00022BA7">
        <w:t xml:space="preserve"> </w:t>
      </w:r>
    </w:p>
    <w:p w14:paraId="2FA4B1C4" w14:textId="4564B8ED" w:rsidR="009A2DA7" w:rsidRDefault="009A2DA7">
      <w:pPr>
        <w:widowControl/>
        <w:spacing w:line="240" w:lineRule="auto"/>
        <w:rPr>
          <w:color w:val="1F497D" w:themeColor="text2"/>
        </w:rPr>
      </w:pPr>
    </w:p>
    <w:p w14:paraId="4417423A" w14:textId="1E782A8B" w:rsidR="00446E21" w:rsidRDefault="00446E21">
      <w:pPr>
        <w:widowControl/>
        <w:spacing w:line="240" w:lineRule="auto"/>
        <w:rPr>
          <w:color w:val="1F497D" w:themeColor="text2"/>
        </w:rPr>
      </w:pPr>
    </w:p>
    <w:p w14:paraId="0304E028" w14:textId="6D1817D9" w:rsidR="00446E21" w:rsidRDefault="00446E21">
      <w:pPr>
        <w:widowControl/>
        <w:spacing w:line="240" w:lineRule="auto"/>
        <w:rPr>
          <w:color w:val="1F497D" w:themeColor="text2"/>
        </w:rPr>
      </w:pPr>
      <w:r>
        <w:rPr>
          <w:color w:val="1F497D" w:themeColor="text2"/>
        </w:rPr>
        <w:br w:type="page"/>
      </w:r>
    </w:p>
    <w:p w14:paraId="4EAE1424" w14:textId="77777777" w:rsidR="00446E21" w:rsidRDefault="00446E21" w:rsidP="00446E21">
      <w:pPr>
        <w:pStyle w:val="Caption"/>
      </w:pPr>
      <w:r>
        <w:rPr>
          <w:noProof/>
        </w:rPr>
        <w:drawing>
          <wp:inline distT="0" distB="0" distL="0" distR="0" wp14:anchorId="5EC973C8" wp14:editId="716BA57B">
            <wp:extent cx="5486400" cy="5457093"/>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486400" cy="5457093"/>
                    </a:xfrm>
                    <a:prstGeom prst="rect">
                      <a:avLst/>
                    </a:prstGeom>
                  </pic:spPr>
                </pic:pic>
              </a:graphicData>
            </a:graphic>
          </wp:inline>
        </w:drawing>
      </w:r>
    </w:p>
    <w:p w14:paraId="07478BC3" w14:textId="766EDA62" w:rsidR="00446E21" w:rsidRPr="00022BA7" w:rsidRDefault="00007F58" w:rsidP="00446E21">
      <w:pPr>
        <w:pStyle w:val="Caption"/>
        <w:spacing w:after="240"/>
      </w:pPr>
      <w:bookmarkStart w:id="140" w:name="_Ref144852006"/>
      <w:bookmarkStart w:id="141" w:name="_Toc148444185"/>
      <w:r>
        <w:t xml:space="preserve">Supplementary </w:t>
      </w:r>
      <w:r w:rsidR="00446E21" w:rsidRPr="00022BA7">
        <w:t xml:space="preserve">Figure </w:t>
      </w:r>
      <w:r w:rsidR="00590C69">
        <w:fldChar w:fldCharType="begin"/>
      </w:r>
      <w:r w:rsidR="00590C69">
        <w:instrText xml:space="preserve"> SEQ Figure \* ARABIC </w:instrText>
      </w:r>
      <w:r w:rsidR="00590C69">
        <w:fldChar w:fldCharType="separate"/>
      </w:r>
      <w:r w:rsidR="00C661AC">
        <w:rPr>
          <w:noProof/>
        </w:rPr>
        <w:t>4</w:t>
      </w:r>
      <w:r w:rsidR="00590C69">
        <w:rPr>
          <w:noProof/>
        </w:rPr>
        <w:fldChar w:fldCharType="end"/>
      </w:r>
      <w:bookmarkEnd w:id="140"/>
      <w:r w:rsidR="00446E21" w:rsidRPr="00022BA7">
        <w:t>. Data Availability in the Domestic Fleet (6,323 ships with GT between 50-1000)</w:t>
      </w:r>
      <w:bookmarkEnd w:id="141"/>
    </w:p>
    <w:p w14:paraId="5057DE50" w14:textId="3C86C504" w:rsidR="00446E21" w:rsidRDefault="00446E21">
      <w:pPr>
        <w:widowControl/>
        <w:spacing w:line="240" w:lineRule="auto"/>
        <w:rPr>
          <w:color w:val="1F497D" w:themeColor="text2"/>
        </w:rPr>
      </w:pPr>
      <w:r>
        <w:rPr>
          <w:color w:val="1F497D" w:themeColor="text2"/>
        </w:rPr>
        <w:br w:type="page"/>
      </w:r>
    </w:p>
    <w:p w14:paraId="3F6DEEB5" w14:textId="77777777" w:rsidR="00446E21" w:rsidRPr="00022BA7" w:rsidRDefault="00446E21" w:rsidP="00446E21">
      <w:pPr>
        <w:keepNext/>
        <w:widowControl/>
      </w:pPr>
      <w:r>
        <w:rPr>
          <w:noProof/>
        </w:rPr>
        <w:drawing>
          <wp:inline distT="0" distB="0" distL="0" distR="0" wp14:anchorId="6E1DFD7A" wp14:editId="0F92223E">
            <wp:extent cx="5486400" cy="4341642"/>
            <wp:effectExtent l="0" t="0" r="0" b="1905"/>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486400" cy="4341642"/>
                    </a:xfrm>
                    <a:prstGeom prst="rect">
                      <a:avLst/>
                    </a:prstGeom>
                  </pic:spPr>
                </pic:pic>
              </a:graphicData>
            </a:graphic>
          </wp:inline>
        </w:drawing>
      </w:r>
    </w:p>
    <w:p w14:paraId="776B6566" w14:textId="15CEE192" w:rsidR="00446E21" w:rsidRPr="00022BA7" w:rsidRDefault="00007F58" w:rsidP="00446E21">
      <w:pPr>
        <w:pStyle w:val="Caption"/>
        <w:spacing w:after="240"/>
      </w:pPr>
      <w:bookmarkStart w:id="142" w:name="_Ref144852019"/>
      <w:bookmarkStart w:id="143" w:name="_Toc148444186"/>
      <w:r>
        <w:t xml:space="preserve">Supplementary </w:t>
      </w:r>
      <w:r w:rsidR="00446E21" w:rsidRPr="00022BA7">
        <w:t xml:space="preserve">Figure </w:t>
      </w:r>
      <w:r w:rsidR="00590C69">
        <w:fldChar w:fldCharType="begin"/>
      </w:r>
      <w:r w:rsidR="00590C69">
        <w:instrText xml:space="preserve"> SEQ Figure \* ARABIC </w:instrText>
      </w:r>
      <w:r w:rsidR="00590C69">
        <w:fldChar w:fldCharType="separate"/>
      </w:r>
      <w:r w:rsidR="00C661AC">
        <w:rPr>
          <w:noProof/>
        </w:rPr>
        <w:t>5</w:t>
      </w:r>
      <w:r w:rsidR="00590C69">
        <w:rPr>
          <w:noProof/>
        </w:rPr>
        <w:fldChar w:fldCharType="end"/>
      </w:r>
      <w:bookmarkEnd w:id="142"/>
      <w:r w:rsidR="00446E21" w:rsidRPr="00022BA7">
        <w:t>. Estimation of IHS Max Speed Based on IHS Service Speed</w:t>
      </w:r>
      <w:bookmarkEnd w:id="143"/>
      <w:r w:rsidR="00446E21" w:rsidRPr="00022BA7">
        <w:t xml:space="preserve"> </w:t>
      </w:r>
    </w:p>
    <w:p w14:paraId="1940FD1A" w14:textId="74384DCE" w:rsidR="00446E21" w:rsidRDefault="00446E21">
      <w:pPr>
        <w:widowControl/>
        <w:spacing w:line="240" w:lineRule="auto"/>
        <w:rPr>
          <w:color w:val="1F497D" w:themeColor="text2"/>
        </w:rPr>
      </w:pPr>
      <w:r>
        <w:rPr>
          <w:color w:val="1F497D" w:themeColor="text2"/>
        </w:rPr>
        <w:br w:type="page"/>
      </w:r>
    </w:p>
    <w:p w14:paraId="408C276E" w14:textId="77777777" w:rsidR="000E628F" w:rsidRPr="00022BA7" w:rsidRDefault="000E628F" w:rsidP="000E628F">
      <w:pPr>
        <w:keepNext/>
        <w:widowControl/>
      </w:pPr>
      <w:r>
        <w:rPr>
          <w:noProof/>
        </w:rPr>
        <w:drawing>
          <wp:inline distT="0" distB="0" distL="0" distR="0" wp14:anchorId="10F64DC0" wp14:editId="54118ABA">
            <wp:extent cx="5486400" cy="4337538"/>
            <wp:effectExtent l="0" t="0" r="0" b="635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486400" cy="4337538"/>
                    </a:xfrm>
                    <a:prstGeom prst="rect">
                      <a:avLst/>
                    </a:prstGeom>
                  </pic:spPr>
                </pic:pic>
              </a:graphicData>
            </a:graphic>
          </wp:inline>
        </w:drawing>
      </w:r>
    </w:p>
    <w:p w14:paraId="5BD18C0A" w14:textId="4DCC81B8" w:rsidR="000E628F" w:rsidRPr="00022BA7" w:rsidRDefault="00007F58" w:rsidP="000E628F">
      <w:pPr>
        <w:pStyle w:val="Caption"/>
      </w:pPr>
      <w:bookmarkStart w:id="144" w:name="_Ref144852031"/>
      <w:bookmarkStart w:id="145" w:name="_Toc148444187"/>
      <w:r>
        <w:t xml:space="preserve">Supplementary </w:t>
      </w:r>
      <w:r w:rsidR="000E628F" w:rsidRPr="00022BA7">
        <w:t xml:space="preserve">Figure </w:t>
      </w:r>
      <w:r w:rsidR="00590C69">
        <w:fldChar w:fldCharType="begin"/>
      </w:r>
      <w:r w:rsidR="00590C69">
        <w:instrText xml:space="preserve"> SEQ Figure \* ARABIC </w:instrText>
      </w:r>
      <w:r w:rsidR="00590C69">
        <w:fldChar w:fldCharType="separate"/>
      </w:r>
      <w:r w:rsidR="00C661AC">
        <w:rPr>
          <w:noProof/>
        </w:rPr>
        <w:t>6</w:t>
      </w:r>
      <w:r w:rsidR="00590C69">
        <w:rPr>
          <w:noProof/>
        </w:rPr>
        <w:fldChar w:fldCharType="end"/>
      </w:r>
      <w:bookmarkEnd w:id="144"/>
      <w:r w:rsidR="000E628F" w:rsidRPr="00022BA7">
        <w:t>. Estimation of Reference Speed Based on AIS Max Speed and AIS 95th Percentile Speed</w:t>
      </w:r>
      <w:bookmarkEnd w:id="145"/>
    </w:p>
    <w:p w14:paraId="2F0DDB43" w14:textId="4003E274" w:rsidR="000E628F" w:rsidRDefault="000E628F">
      <w:pPr>
        <w:widowControl/>
        <w:spacing w:line="240" w:lineRule="auto"/>
        <w:rPr>
          <w:color w:val="1F497D" w:themeColor="text2"/>
        </w:rPr>
      </w:pPr>
      <w:r>
        <w:rPr>
          <w:color w:val="1F497D" w:themeColor="text2"/>
        </w:rPr>
        <w:br w:type="page"/>
      </w:r>
    </w:p>
    <w:p w14:paraId="3B05B94B" w14:textId="77777777" w:rsidR="000E628F" w:rsidRPr="00022BA7" w:rsidRDefault="000E628F" w:rsidP="000E628F">
      <w:pPr>
        <w:keepNext/>
        <w:widowControl/>
      </w:pPr>
      <w:r>
        <w:rPr>
          <w:noProof/>
        </w:rPr>
        <w:drawing>
          <wp:inline distT="0" distB="0" distL="0" distR="0" wp14:anchorId="1FD787F3" wp14:editId="2A87332B">
            <wp:extent cx="5943600" cy="4738370"/>
            <wp:effectExtent l="0" t="0" r="0" b="508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943600" cy="4738370"/>
                    </a:xfrm>
                    <a:prstGeom prst="rect">
                      <a:avLst/>
                    </a:prstGeom>
                  </pic:spPr>
                </pic:pic>
              </a:graphicData>
            </a:graphic>
          </wp:inline>
        </w:drawing>
      </w:r>
    </w:p>
    <w:p w14:paraId="65A25659" w14:textId="665C256C" w:rsidR="000E628F" w:rsidRPr="00022BA7" w:rsidRDefault="00007F58" w:rsidP="000E628F">
      <w:pPr>
        <w:pStyle w:val="Caption"/>
      </w:pPr>
      <w:bookmarkStart w:id="146" w:name="_Ref144852139"/>
      <w:bookmarkStart w:id="147" w:name="_Toc148444188"/>
      <w:r>
        <w:t xml:space="preserve">Supplementary </w:t>
      </w:r>
      <w:r w:rsidR="000E628F" w:rsidRPr="00022BA7">
        <w:t xml:space="preserve">Figure </w:t>
      </w:r>
      <w:r w:rsidR="00590C69">
        <w:fldChar w:fldCharType="begin"/>
      </w:r>
      <w:r w:rsidR="00590C69">
        <w:instrText xml:space="preserve"> SEQ Figure</w:instrText>
      </w:r>
      <w:r w:rsidR="00590C69">
        <w:instrText xml:space="preserve"> \* ARABIC </w:instrText>
      </w:r>
      <w:r w:rsidR="00590C69">
        <w:fldChar w:fldCharType="separate"/>
      </w:r>
      <w:r w:rsidR="00C661AC">
        <w:rPr>
          <w:noProof/>
        </w:rPr>
        <w:t>7</w:t>
      </w:r>
      <w:r w:rsidR="00590C69">
        <w:rPr>
          <w:noProof/>
        </w:rPr>
        <w:fldChar w:fldCharType="end"/>
      </w:r>
      <w:bookmarkEnd w:id="146"/>
      <w:r w:rsidR="000E628F" w:rsidRPr="00022BA7">
        <w:t>. Estimation of Main Engine Capacity Based on G</w:t>
      </w:r>
      <w:r w:rsidR="000E628F">
        <w:t>T</w:t>
      </w:r>
      <w:r w:rsidR="000E628F" w:rsidRPr="00022BA7">
        <w:t>, Registered Length, and Reference Speed</w:t>
      </w:r>
      <w:bookmarkEnd w:id="147"/>
    </w:p>
    <w:p w14:paraId="701350A8" w14:textId="1FC2D3D0" w:rsidR="000E628F" w:rsidRDefault="000E628F">
      <w:pPr>
        <w:widowControl/>
        <w:spacing w:line="240" w:lineRule="auto"/>
        <w:rPr>
          <w:color w:val="1F497D" w:themeColor="text2"/>
        </w:rPr>
      </w:pPr>
      <w:r>
        <w:rPr>
          <w:color w:val="1F497D" w:themeColor="text2"/>
        </w:rPr>
        <w:br w:type="page"/>
      </w:r>
    </w:p>
    <w:p w14:paraId="57820FAB" w14:textId="77777777" w:rsidR="000E628F" w:rsidRPr="00022BA7" w:rsidRDefault="000E628F" w:rsidP="000E628F">
      <w:pPr>
        <w:keepNext/>
        <w:widowControl/>
      </w:pPr>
      <w:r>
        <w:rPr>
          <w:noProof/>
        </w:rPr>
        <w:drawing>
          <wp:inline distT="0" distB="0" distL="0" distR="0" wp14:anchorId="1BEA6D2B" wp14:editId="0B6AC4C5">
            <wp:extent cx="5486400" cy="4376225"/>
            <wp:effectExtent l="0" t="0" r="0" b="5715"/>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486400" cy="4376225"/>
                    </a:xfrm>
                    <a:prstGeom prst="rect">
                      <a:avLst/>
                    </a:prstGeom>
                  </pic:spPr>
                </pic:pic>
              </a:graphicData>
            </a:graphic>
          </wp:inline>
        </w:drawing>
      </w:r>
    </w:p>
    <w:p w14:paraId="339FFE45" w14:textId="28DF90C8" w:rsidR="000E628F" w:rsidRPr="00022BA7" w:rsidRDefault="00007F58" w:rsidP="000E628F">
      <w:pPr>
        <w:pStyle w:val="Caption"/>
      </w:pPr>
      <w:bookmarkStart w:id="148" w:name="_Ref144852291"/>
      <w:bookmarkStart w:id="149" w:name="_Toc148444189"/>
      <w:r>
        <w:t xml:space="preserve">Supplementary </w:t>
      </w:r>
      <w:r w:rsidR="000E628F" w:rsidRPr="00022BA7">
        <w:t xml:space="preserve">Figure </w:t>
      </w:r>
      <w:r w:rsidR="00590C69">
        <w:fldChar w:fldCharType="begin"/>
      </w:r>
      <w:r w:rsidR="00590C69">
        <w:instrText xml:space="preserve"> SEQ Figure \* ARABIC </w:instrText>
      </w:r>
      <w:r w:rsidR="00590C69">
        <w:fldChar w:fldCharType="separate"/>
      </w:r>
      <w:r w:rsidR="00C661AC">
        <w:rPr>
          <w:noProof/>
        </w:rPr>
        <w:t>8</w:t>
      </w:r>
      <w:r w:rsidR="00590C69">
        <w:rPr>
          <w:noProof/>
        </w:rPr>
        <w:fldChar w:fldCharType="end"/>
      </w:r>
      <w:bookmarkEnd w:id="148"/>
      <w:r w:rsidR="000E628F" w:rsidRPr="00022BA7">
        <w:t xml:space="preserve">. Estimation of </w:t>
      </w:r>
      <w:r w:rsidR="000E628F" w:rsidRPr="00324D11">
        <w:t>Displacement from GT</w:t>
      </w:r>
      <w:bookmarkEnd w:id="149"/>
    </w:p>
    <w:p w14:paraId="10448837" w14:textId="1A0B6B3F" w:rsidR="000E628F" w:rsidRDefault="000E628F">
      <w:pPr>
        <w:widowControl/>
        <w:spacing w:line="240" w:lineRule="auto"/>
        <w:rPr>
          <w:color w:val="1F497D" w:themeColor="text2"/>
        </w:rPr>
      </w:pPr>
      <w:r>
        <w:rPr>
          <w:color w:val="1F497D" w:themeColor="text2"/>
        </w:rPr>
        <w:br w:type="page"/>
      </w:r>
    </w:p>
    <w:p w14:paraId="6AE9EEB1" w14:textId="77777777" w:rsidR="000E628F" w:rsidRPr="00022BA7" w:rsidRDefault="000E628F" w:rsidP="000E628F">
      <w:pPr>
        <w:keepNext/>
        <w:widowControl/>
      </w:pPr>
      <w:r>
        <w:rPr>
          <w:noProof/>
        </w:rPr>
        <w:drawing>
          <wp:inline distT="0" distB="0" distL="0" distR="0" wp14:anchorId="5D64388C" wp14:editId="68DA3BD5">
            <wp:extent cx="5943600" cy="3009900"/>
            <wp:effectExtent l="0" t="0" r="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943600" cy="3009900"/>
                    </a:xfrm>
                    <a:prstGeom prst="rect">
                      <a:avLst/>
                    </a:prstGeom>
                  </pic:spPr>
                </pic:pic>
              </a:graphicData>
            </a:graphic>
          </wp:inline>
        </w:drawing>
      </w:r>
    </w:p>
    <w:p w14:paraId="2B76FA2F" w14:textId="77777777" w:rsidR="000E628F" w:rsidRPr="00022BA7" w:rsidRDefault="000E628F" w:rsidP="000E628F">
      <w:pPr>
        <w:keepNext/>
        <w:widowControl/>
        <w:rPr>
          <w:sz w:val="18"/>
        </w:rPr>
      </w:pPr>
      <w:r w:rsidRPr="00022BA7">
        <w:rPr>
          <w:sz w:val="18"/>
        </w:rPr>
        <w:t>We assume no AC switchboard for the auxiliary loads.</w:t>
      </w:r>
    </w:p>
    <w:p w14:paraId="0E68968C" w14:textId="26F4121B" w:rsidR="000E628F" w:rsidRPr="00022BA7" w:rsidRDefault="00007F58" w:rsidP="000E628F">
      <w:pPr>
        <w:pStyle w:val="Caption"/>
      </w:pPr>
      <w:bookmarkStart w:id="150" w:name="_Ref144852483"/>
      <w:bookmarkStart w:id="151" w:name="_Toc148444190"/>
      <w:r>
        <w:t xml:space="preserve">Supplementary </w:t>
      </w:r>
      <w:r w:rsidR="000E628F" w:rsidRPr="00022BA7">
        <w:t xml:space="preserve">Figure </w:t>
      </w:r>
      <w:r w:rsidR="00590C69">
        <w:fldChar w:fldCharType="begin"/>
      </w:r>
      <w:r w:rsidR="00590C69">
        <w:instrText xml:space="preserve"> SEQ Figure \* ARABIC </w:instrText>
      </w:r>
      <w:r w:rsidR="00590C69">
        <w:fldChar w:fldCharType="separate"/>
      </w:r>
      <w:r w:rsidR="00C661AC">
        <w:rPr>
          <w:noProof/>
        </w:rPr>
        <w:t>9</w:t>
      </w:r>
      <w:r w:rsidR="00590C69">
        <w:rPr>
          <w:noProof/>
        </w:rPr>
        <w:fldChar w:fldCharType="end"/>
      </w:r>
      <w:bookmarkEnd w:id="150"/>
      <w:r w:rsidR="000E628F" w:rsidRPr="00022BA7">
        <w:rPr>
          <w:noProof/>
        </w:rPr>
        <w:t>.</w:t>
      </w:r>
      <w:r w:rsidR="000E628F" w:rsidRPr="00022BA7">
        <w:t xml:space="preserve"> A </w:t>
      </w:r>
      <w:r w:rsidR="000E628F" w:rsidRPr="00022BA7">
        <w:rPr>
          <w:noProof/>
        </w:rPr>
        <w:t>Conceptual Configuration of BES and SPC</w:t>
      </w:r>
      <w:bookmarkEnd w:id="151"/>
    </w:p>
    <w:p w14:paraId="431E13C6" w14:textId="0390C81D" w:rsidR="000E628F" w:rsidRDefault="000E628F">
      <w:pPr>
        <w:widowControl/>
        <w:spacing w:line="240" w:lineRule="auto"/>
        <w:rPr>
          <w:color w:val="1F497D" w:themeColor="text2"/>
        </w:rPr>
      </w:pPr>
      <w:r>
        <w:rPr>
          <w:color w:val="1F497D" w:themeColor="text2"/>
        </w:rPr>
        <w:br w:type="page"/>
      </w:r>
    </w:p>
    <w:p w14:paraId="62D40C4F" w14:textId="77777777" w:rsidR="000E628F" w:rsidRPr="00022BA7" w:rsidRDefault="000E628F" w:rsidP="000E628F">
      <w:pPr>
        <w:keepNext/>
        <w:widowControl/>
      </w:pPr>
      <w:r>
        <w:rPr>
          <w:noProof/>
        </w:rPr>
        <w:drawing>
          <wp:inline distT="0" distB="0" distL="0" distR="0" wp14:anchorId="389E0445" wp14:editId="21168F54">
            <wp:extent cx="5943600" cy="2934970"/>
            <wp:effectExtent l="0" t="0" r="0" b="0"/>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5943600" cy="2934970"/>
                    </a:xfrm>
                    <a:prstGeom prst="rect">
                      <a:avLst/>
                    </a:prstGeom>
                  </pic:spPr>
                </pic:pic>
              </a:graphicData>
            </a:graphic>
          </wp:inline>
        </w:drawing>
      </w:r>
    </w:p>
    <w:p w14:paraId="7BE91A2C" w14:textId="677BCDEC" w:rsidR="000E628F" w:rsidRPr="00022BA7" w:rsidRDefault="00007F58" w:rsidP="000E628F">
      <w:pPr>
        <w:pStyle w:val="Caption"/>
      </w:pPr>
      <w:bookmarkStart w:id="152" w:name="_Ref144852797"/>
      <w:bookmarkStart w:id="153" w:name="_Toc148444191"/>
      <w:r>
        <w:t xml:space="preserve">Supplementary </w:t>
      </w:r>
      <w:r w:rsidR="000E628F" w:rsidRPr="00022BA7">
        <w:t xml:space="preserve">Figure </w:t>
      </w:r>
      <w:r w:rsidR="00590C69">
        <w:fldChar w:fldCharType="begin"/>
      </w:r>
      <w:r w:rsidR="00590C69">
        <w:instrText xml:space="preserve"> SEQ Figure \* ARABIC </w:instrText>
      </w:r>
      <w:r w:rsidR="00590C69">
        <w:fldChar w:fldCharType="separate"/>
      </w:r>
      <w:r w:rsidR="00C661AC">
        <w:rPr>
          <w:noProof/>
        </w:rPr>
        <w:t>10</w:t>
      </w:r>
      <w:r w:rsidR="00590C69">
        <w:rPr>
          <w:noProof/>
        </w:rPr>
        <w:fldChar w:fldCharType="end"/>
      </w:r>
      <w:bookmarkEnd w:id="152"/>
      <w:r w:rsidR="000E628F" w:rsidRPr="00022BA7">
        <w:rPr>
          <w:noProof/>
        </w:rPr>
        <w:t>.</w:t>
      </w:r>
      <w:r w:rsidR="000E628F" w:rsidRPr="00022BA7">
        <w:t xml:space="preserve"> Electricity Flow </w:t>
      </w:r>
      <w:r w:rsidR="000E628F">
        <w:t>during</w:t>
      </w:r>
      <w:r w:rsidR="000E628F" w:rsidRPr="00022BA7">
        <w:t xml:space="preserve"> Battery Charging </w:t>
      </w:r>
      <w:r w:rsidR="000E628F">
        <w:t>a</w:t>
      </w:r>
      <w:r w:rsidR="000E628F" w:rsidRPr="00022BA7">
        <w:t>t Port</w:t>
      </w:r>
      <w:bookmarkEnd w:id="153"/>
    </w:p>
    <w:p w14:paraId="6459C47E" w14:textId="79854F32" w:rsidR="000E628F" w:rsidRDefault="000E628F">
      <w:pPr>
        <w:widowControl/>
        <w:spacing w:line="240" w:lineRule="auto"/>
        <w:rPr>
          <w:color w:val="1F497D" w:themeColor="text2"/>
        </w:rPr>
      </w:pPr>
      <w:r>
        <w:rPr>
          <w:color w:val="1F497D" w:themeColor="text2"/>
        </w:rPr>
        <w:br w:type="page"/>
      </w:r>
    </w:p>
    <w:p w14:paraId="4418CB4E" w14:textId="77777777" w:rsidR="000E628F" w:rsidRPr="00022BA7" w:rsidRDefault="000E628F" w:rsidP="000E628F">
      <w:pPr>
        <w:keepNext/>
        <w:widowControl/>
      </w:pPr>
      <w:r>
        <w:rPr>
          <w:noProof/>
        </w:rPr>
        <w:drawing>
          <wp:inline distT="0" distB="0" distL="0" distR="0" wp14:anchorId="546DD6E3" wp14:editId="14D99ABC">
            <wp:extent cx="5943600" cy="2893060"/>
            <wp:effectExtent l="0" t="0" r="0" b="254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96DAC541-7B7A-43D3-8B79-37D633B846F1}">
                          <asvg:svgBlip xmlns:asvg="http://schemas.microsoft.com/office/drawing/2016/SVG/main" r:embed="rId29"/>
                        </a:ext>
                      </a:extLst>
                    </a:blip>
                    <a:stretch>
                      <a:fillRect/>
                    </a:stretch>
                  </pic:blipFill>
                  <pic:spPr>
                    <a:xfrm>
                      <a:off x="0" y="0"/>
                      <a:ext cx="5943600" cy="2893060"/>
                    </a:xfrm>
                    <a:prstGeom prst="rect">
                      <a:avLst/>
                    </a:prstGeom>
                  </pic:spPr>
                </pic:pic>
              </a:graphicData>
            </a:graphic>
          </wp:inline>
        </w:drawing>
      </w:r>
    </w:p>
    <w:p w14:paraId="063C5AA3" w14:textId="501E6B5F" w:rsidR="000E628F" w:rsidRPr="00022BA7" w:rsidRDefault="00007F58" w:rsidP="000E628F">
      <w:pPr>
        <w:pStyle w:val="Caption"/>
      </w:pPr>
      <w:bookmarkStart w:id="154" w:name="_Ref144852810"/>
      <w:bookmarkStart w:id="155" w:name="_Toc148444192"/>
      <w:r>
        <w:t xml:space="preserve">Supplementary </w:t>
      </w:r>
      <w:r w:rsidR="000E628F" w:rsidRPr="00022BA7">
        <w:t xml:space="preserve">Figure </w:t>
      </w:r>
      <w:r w:rsidR="00590C69">
        <w:fldChar w:fldCharType="begin"/>
      </w:r>
      <w:r w:rsidR="00590C69">
        <w:instrText xml:space="preserve"> SEQ Figure \* ARABIC </w:instrText>
      </w:r>
      <w:r w:rsidR="00590C69">
        <w:fldChar w:fldCharType="separate"/>
      </w:r>
      <w:r w:rsidR="00C661AC">
        <w:rPr>
          <w:noProof/>
        </w:rPr>
        <w:t>11</w:t>
      </w:r>
      <w:r w:rsidR="00590C69">
        <w:rPr>
          <w:noProof/>
        </w:rPr>
        <w:fldChar w:fldCharType="end"/>
      </w:r>
      <w:bookmarkEnd w:id="154"/>
      <w:r w:rsidR="000E628F" w:rsidRPr="00022BA7">
        <w:rPr>
          <w:noProof/>
        </w:rPr>
        <w:t>.</w:t>
      </w:r>
      <w:r w:rsidR="000E628F" w:rsidRPr="00022BA7">
        <w:t xml:space="preserve"> Electricity Flow in Battery Discharging </w:t>
      </w:r>
      <w:r w:rsidR="000E628F">
        <w:t>During</w:t>
      </w:r>
      <w:r w:rsidR="000E628F" w:rsidRPr="00022BA7">
        <w:t xml:space="preserve"> Ship Activity</w:t>
      </w:r>
      <w:bookmarkEnd w:id="155"/>
    </w:p>
    <w:p w14:paraId="0A3C2E86" w14:textId="7B11D0B8" w:rsidR="000E628F" w:rsidRDefault="000E628F">
      <w:pPr>
        <w:widowControl/>
        <w:spacing w:line="240" w:lineRule="auto"/>
        <w:rPr>
          <w:color w:val="1F497D" w:themeColor="text2"/>
        </w:rPr>
      </w:pPr>
      <w:r>
        <w:rPr>
          <w:color w:val="1F497D" w:themeColor="text2"/>
        </w:rPr>
        <w:br w:type="page"/>
      </w:r>
    </w:p>
    <w:p w14:paraId="7D56C386" w14:textId="77777777" w:rsidR="00B63E31" w:rsidRPr="00022BA7" w:rsidRDefault="00B63E31" w:rsidP="00B63E31">
      <w:pPr>
        <w:keepNext/>
        <w:widowControl/>
      </w:pPr>
      <w:r w:rsidRPr="00022BA7">
        <w:rPr>
          <w:noProof/>
        </w:rPr>
        <w:drawing>
          <wp:inline distT="0" distB="0" distL="0" distR="0" wp14:anchorId="1C68D0D1" wp14:editId="7C1F994B">
            <wp:extent cx="3657600" cy="2993764"/>
            <wp:effectExtent l="0" t="0" r="0" b="0"/>
            <wp:docPr id="37" name="그림 38">
              <a:extLst xmlns:a="http://schemas.openxmlformats.org/drawingml/2006/main">
                <a:ext uri="{FF2B5EF4-FFF2-40B4-BE49-F238E27FC236}">
                  <a16:creationId xmlns:a16="http://schemas.microsoft.com/office/drawing/2014/main" id="{A7DC71FC-2B72-9236-1B71-DBCB59A429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그림 38">
                      <a:extLst>
                        <a:ext uri="{FF2B5EF4-FFF2-40B4-BE49-F238E27FC236}">
                          <a16:creationId xmlns:a16="http://schemas.microsoft.com/office/drawing/2014/main" id="{A7DC71FC-2B72-9236-1B71-DBCB59A429E9}"/>
                        </a:ext>
                      </a:extLst>
                    </pic:cNvPr>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3657600" cy="2993764"/>
                    </a:xfrm>
                    <a:prstGeom prst="rect">
                      <a:avLst/>
                    </a:prstGeom>
                  </pic:spPr>
                </pic:pic>
              </a:graphicData>
            </a:graphic>
          </wp:inline>
        </w:drawing>
      </w:r>
      <w:r w:rsidRPr="00022BA7">
        <w:rPr>
          <w:noProof/>
        </w:rPr>
        <w:t xml:space="preserve"> </w:t>
      </w:r>
    </w:p>
    <w:p w14:paraId="0497DA0E" w14:textId="77777777" w:rsidR="00B63E31" w:rsidRPr="00022BA7" w:rsidRDefault="00B63E31" w:rsidP="00B63E31">
      <w:pPr>
        <w:keepNext/>
        <w:widowControl/>
        <w:ind w:left="2160" w:firstLine="720"/>
        <w:rPr>
          <w:noProof/>
        </w:rPr>
      </w:pPr>
      <w:r w:rsidRPr="00022BA7">
        <w:rPr>
          <w:noProof/>
        </w:rPr>
        <w:t>(a)</w:t>
      </w:r>
    </w:p>
    <w:p w14:paraId="5094EDA1" w14:textId="77777777" w:rsidR="00B63E31" w:rsidRPr="00022BA7" w:rsidRDefault="00B63E31" w:rsidP="00B63E31">
      <w:pPr>
        <w:keepNext/>
        <w:widowControl/>
      </w:pPr>
      <w:r w:rsidRPr="00022BA7">
        <w:rPr>
          <w:noProof/>
        </w:rPr>
        <w:drawing>
          <wp:inline distT="0" distB="0" distL="0" distR="0" wp14:anchorId="6348DB5D" wp14:editId="7D146835">
            <wp:extent cx="3657600" cy="2993766"/>
            <wp:effectExtent l="0" t="0" r="0" b="0"/>
            <wp:docPr id="39" name="그림 15">
              <a:extLst xmlns:a="http://schemas.openxmlformats.org/drawingml/2006/main">
                <a:ext uri="{FF2B5EF4-FFF2-40B4-BE49-F238E27FC236}">
                  <a16:creationId xmlns:a16="http://schemas.microsoft.com/office/drawing/2014/main" id="{5153CDEE-4899-6B3E-035E-91576CB951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15">
                      <a:extLst>
                        <a:ext uri="{FF2B5EF4-FFF2-40B4-BE49-F238E27FC236}">
                          <a16:creationId xmlns:a16="http://schemas.microsoft.com/office/drawing/2014/main" id="{5153CDEE-4899-6B3E-035E-91576CB95195}"/>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3657600" cy="2993766"/>
                    </a:xfrm>
                    <a:prstGeom prst="rect">
                      <a:avLst/>
                    </a:prstGeom>
                  </pic:spPr>
                </pic:pic>
              </a:graphicData>
            </a:graphic>
          </wp:inline>
        </w:drawing>
      </w:r>
    </w:p>
    <w:p w14:paraId="7C6D0935" w14:textId="77777777" w:rsidR="00B63E31" w:rsidRPr="00022BA7" w:rsidRDefault="00B63E31" w:rsidP="00B63E31">
      <w:pPr>
        <w:keepNext/>
        <w:widowControl/>
      </w:pPr>
      <w:r w:rsidRPr="00022BA7">
        <w:tab/>
      </w:r>
      <w:r w:rsidRPr="00022BA7">
        <w:tab/>
      </w:r>
      <w:r w:rsidRPr="00022BA7">
        <w:tab/>
      </w:r>
      <w:r w:rsidRPr="00022BA7">
        <w:tab/>
        <w:t>(b)</w:t>
      </w:r>
    </w:p>
    <w:p w14:paraId="7E0740A5" w14:textId="77777777" w:rsidR="00B63E31" w:rsidRPr="00022BA7" w:rsidRDefault="00B63E31" w:rsidP="00B63E31">
      <w:pPr>
        <w:keepNext/>
        <w:rPr>
          <w:b/>
          <w:sz w:val="18"/>
        </w:rPr>
      </w:pPr>
      <w:r w:rsidRPr="00022BA7">
        <w:rPr>
          <w:sz w:val="18"/>
          <w:szCs w:val="18"/>
        </w:rPr>
        <w:t>Greener shades indicate higher speeds, while yellow regions indicate no motion. Connected green dots can be considered as trips or periods of Moving, while the yellow regions correspond to Chargeable or inter-trip periods.</w:t>
      </w:r>
      <w:r w:rsidRPr="007030EF">
        <w:rPr>
          <w:sz w:val="18"/>
          <w:szCs w:val="18"/>
        </w:rPr>
        <w:t xml:space="preserve"> Ship details: </w:t>
      </w:r>
      <w:r w:rsidRPr="00E53CC1">
        <w:rPr>
          <w:sz w:val="18"/>
          <w:szCs w:val="18"/>
        </w:rPr>
        <w:t>(a) Passenger (</w:t>
      </w:r>
      <w:r>
        <w:rPr>
          <w:sz w:val="18"/>
          <w:szCs w:val="18"/>
        </w:rPr>
        <w:t>MMSI</w:t>
      </w:r>
      <w:r w:rsidRPr="00E53CC1">
        <w:rPr>
          <w:sz w:val="18"/>
          <w:szCs w:val="18"/>
        </w:rPr>
        <w:t xml:space="preserve"> </w:t>
      </w:r>
      <w:r w:rsidRPr="007870E0">
        <w:rPr>
          <w:sz w:val="18"/>
          <w:szCs w:val="18"/>
        </w:rPr>
        <w:t>367618070</w:t>
      </w:r>
      <w:r w:rsidRPr="00E53CC1">
        <w:rPr>
          <w:sz w:val="18"/>
          <w:szCs w:val="18"/>
        </w:rPr>
        <w:t>, 735 GT)</w:t>
      </w:r>
      <w:r>
        <w:rPr>
          <w:sz w:val="18"/>
          <w:szCs w:val="18"/>
        </w:rPr>
        <w:t>;</w:t>
      </w:r>
      <w:r w:rsidRPr="00E53CC1">
        <w:rPr>
          <w:sz w:val="18"/>
          <w:szCs w:val="18"/>
        </w:rPr>
        <w:t xml:space="preserve"> (b) Tug (Coastal-Harbor) (</w:t>
      </w:r>
      <w:r>
        <w:rPr>
          <w:sz w:val="18"/>
          <w:szCs w:val="18"/>
        </w:rPr>
        <w:t>MMSI</w:t>
      </w:r>
      <w:r w:rsidRPr="00C431A4">
        <w:rPr>
          <w:sz w:val="18"/>
          <w:szCs w:val="18"/>
        </w:rPr>
        <w:t xml:space="preserve"> 368004190</w:t>
      </w:r>
      <w:r w:rsidRPr="00E53CC1">
        <w:rPr>
          <w:sz w:val="18"/>
          <w:szCs w:val="18"/>
        </w:rPr>
        <w:t>, 148 GT)</w:t>
      </w:r>
      <w:r>
        <w:rPr>
          <w:sz w:val="18"/>
          <w:szCs w:val="18"/>
        </w:rPr>
        <w:t>.</w:t>
      </w:r>
    </w:p>
    <w:p w14:paraId="7747E6A9" w14:textId="01116733" w:rsidR="00B63E31" w:rsidRPr="00022BA7" w:rsidRDefault="00007F58" w:rsidP="00B63E31">
      <w:pPr>
        <w:pStyle w:val="Caption"/>
        <w:rPr>
          <w:b w:val="0"/>
        </w:rPr>
      </w:pPr>
      <w:bookmarkStart w:id="156" w:name="_Ref144852847"/>
      <w:bookmarkStart w:id="157" w:name="_Toc148444193"/>
      <w:r>
        <w:t xml:space="preserve">Supplementary </w:t>
      </w:r>
      <w:r w:rsidR="00B63E31" w:rsidRPr="00022BA7">
        <w:t xml:space="preserve">Figure </w:t>
      </w:r>
      <w:r w:rsidR="00590C69">
        <w:fldChar w:fldCharType="begin"/>
      </w:r>
      <w:r w:rsidR="00590C69">
        <w:instrText xml:space="preserve"> SEQ Figure \* ARABIC </w:instrText>
      </w:r>
      <w:r w:rsidR="00590C69">
        <w:fldChar w:fldCharType="separate"/>
      </w:r>
      <w:r w:rsidR="00C661AC">
        <w:rPr>
          <w:noProof/>
        </w:rPr>
        <w:t>12</w:t>
      </w:r>
      <w:r w:rsidR="00590C69">
        <w:rPr>
          <w:noProof/>
        </w:rPr>
        <w:fldChar w:fldCharType="end"/>
      </w:r>
      <w:bookmarkEnd w:id="156"/>
      <w:r w:rsidR="00B63E31" w:rsidRPr="00022BA7">
        <w:rPr>
          <w:noProof/>
        </w:rPr>
        <w:t>.</w:t>
      </w:r>
      <w:r w:rsidR="00B63E31" w:rsidRPr="00022BA7">
        <w:t xml:space="preserve"> SOG of Different Ship Types</w:t>
      </w:r>
      <w:r w:rsidR="00B63E31">
        <w:t xml:space="preserve">: </w:t>
      </w:r>
      <w:r w:rsidR="00B63E31" w:rsidRPr="009764A7">
        <w:t>(a) Passenger</w:t>
      </w:r>
      <w:r w:rsidR="00B63E31">
        <w:t xml:space="preserve">, </w:t>
      </w:r>
      <w:r w:rsidR="00B63E31" w:rsidRPr="009764A7">
        <w:t>(b) Tug (Coastal-Harbor)</w:t>
      </w:r>
      <w:bookmarkEnd w:id="157"/>
    </w:p>
    <w:p w14:paraId="75812C69" w14:textId="12EEA8E6" w:rsidR="00B63E31" w:rsidRDefault="00B63E31">
      <w:pPr>
        <w:widowControl/>
        <w:spacing w:line="240" w:lineRule="auto"/>
        <w:rPr>
          <w:color w:val="1F497D" w:themeColor="text2"/>
        </w:rPr>
      </w:pPr>
      <w:r>
        <w:rPr>
          <w:color w:val="1F497D" w:themeColor="text2"/>
        </w:rPr>
        <w:br w:type="page"/>
      </w:r>
    </w:p>
    <w:p w14:paraId="01F6E26E" w14:textId="77777777" w:rsidR="00F2657B" w:rsidRPr="00022BA7" w:rsidRDefault="00F2657B" w:rsidP="00F2657B">
      <w:pPr>
        <w:keepNext/>
        <w:widowControl/>
        <w:rPr>
          <w:lang w:eastAsia="ko-KR"/>
        </w:rPr>
      </w:pPr>
      <w:r>
        <w:rPr>
          <w:noProof/>
        </w:rPr>
        <w:drawing>
          <wp:inline distT="0" distB="0" distL="0" distR="0" wp14:anchorId="59304CBE" wp14:editId="2CFCEE90">
            <wp:extent cx="3657233" cy="2638425"/>
            <wp:effectExtent l="0" t="0" r="635" b="0"/>
            <wp:docPr id="10"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96DAC541-7B7A-43D3-8B79-37D633B846F1}">
                          <asvg:svgBlip xmlns:asvg="http://schemas.microsoft.com/office/drawing/2016/SVG/main" r:embed="rId33"/>
                        </a:ext>
                      </a:extLst>
                    </a:blip>
                    <a:srcRect b="9556"/>
                    <a:stretch/>
                  </pic:blipFill>
                  <pic:spPr bwMode="auto">
                    <a:xfrm>
                      <a:off x="0" y="0"/>
                      <a:ext cx="3657600" cy="2638690"/>
                    </a:xfrm>
                    <a:prstGeom prst="rect">
                      <a:avLst/>
                    </a:prstGeom>
                    <a:ln>
                      <a:noFill/>
                    </a:ln>
                    <a:extLst>
                      <a:ext uri="{53640926-AAD7-44D8-BBD7-CCE9431645EC}">
                        <a14:shadowObscured xmlns:a14="http://schemas.microsoft.com/office/drawing/2010/main"/>
                      </a:ext>
                    </a:extLst>
                  </pic:spPr>
                </pic:pic>
              </a:graphicData>
            </a:graphic>
          </wp:inline>
        </w:drawing>
      </w:r>
      <w:r w:rsidRPr="00022BA7">
        <w:rPr>
          <w:lang w:eastAsia="ko-KR"/>
        </w:rPr>
        <w:br w:type="textWrapping" w:clear="all"/>
      </w:r>
      <w:r w:rsidRPr="00022BA7">
        <w:rPr>
          <w:lang w:eastAsia="ko-KR"/>
        </w:rPr>
        <w:tab/>
      </w:r>
      <w:r w:rsidRPr="00022BA7">
        <w:rPr>
          <w:lang w:eastAsia="ko-KR"/>
        </w:rPr>
        <w:tab/>
      </w:r>
      <w:r w:rsidRPr="00022BA7">
        <w:rPr>
          <w:lang w:eastAsia="ko-KR"/>
        </w:rPr>
        <w:tab/>
      </w:r>
      <w:r>
        <w:rPr>
          <w:lang w:eastAsia="ko-KR"/>
        </w:rPr>
        <w:tab/>
      </w:r>
      <w:r w:rsidRPr="00022BA7">
        <w:rPr>
          <w:lang w:eastAsia="ko-KR"/>
        </w:rPr>
        <w:t>(a)</w:t>
      </w:r>
    </w:p>
    <w:p w14:paraId="7759575F" w14:textId="77777777" w:rsidR="00F2657B" w:rsidRPr="00022BA7" w:rsidRDefault="00F2657B" w:rsidP="00F2657B">
      <w:r w:rsidRPr="004D27F8">
        <w:rPr>
          <w:noProof/>
        </w:rPr>
        <w:t xml:space="preserve"> </w:t>
      </w:r>
      <w:r>
        <w:rPr>
          <w:noProof/>
        </w:rPr>
        <w:drawing>
          <wp:inline distT="0" distB="0" distL="0" distR="0" wp14:anchorId="7E58E679" wp14:editId="338E99D5">
            <wp:extent cx="3657600" cy="2711548"/>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3657600" cy="2711548"/>
                    </a:xfrm>
                    <a:prstGeom prst="rect">
                      <a:avLst/>
                    </a:prstGeom>
                  </pic:spPr>
                </pic:pic>
              </a:graphicData>
            </a:graphic>
          </wp:inline>
        </w:drawing>
      </w:r>
    </w:p>
    <w:p w14:paraId="3979C74F" w14:textId="77777777" w:rsidR="00F2657B" w:rsidRPr="00022BA7" w:rsidRDefault="00F2657B" w:rsidP="00F2657B">
      <w:r w:rsidRPr="00022BA7">
        <w:tab/>
      </w:r>
      <w:r w:rsidRPr="00022BA7">
        <w:tab/>
      </w:r>
      <w:r w:rsidRPr="00022BA7">
        <w:tab/>
      </w:r>
      <w:r w:rsidRPr="00022BA7">
        <w:tab/>
        <w:t>(b)</w:t>
      </w:r>
    </w:p>
    <w:p w14:paraId="0FDFEC8E" w14:textId="77777777" w:rsidR="00F2657B" w:rsidRPr="00446DB7" w:rsidRDefault="00F2657B" w:rsidP="00F2657B">
      <w:pPr>
        <w:keepNext/>
        <w:rPr>
          <w:sz w:val="18"/>
          <w:szCs w:val="18"/>
        </w:rPr>
      </w:pPr>
      <w:r w:rsidRPr="00446DB7">
        <w:rPr>
          <w:sz w:val="18"/>
          <w:szCs w:val="18"/>
        </w:rPr>
        <w:t>Points p100, p99, p95, and p90 refer to 100th, 99th, 95th, and 90th percentile trip energy requirements, respectively.</w:t>
      </w:r>
    </w:p>
    <w:p w14:paraId="1C82C8AC" w14:textId="77777777" w:rsidR="00F2657B" w:rsidRPr="00022BA7" w:rsidRDefault="00F2657B" w:rsidP="00F2657B">
      <w:pPr>
        <w:keepNext/>
        <w:rPr>
          <w:sz w:val="18"/>
          <w:szCs w:val="18"/>
        </w:rPr>
      </w:pPr>
      <w:r>
        <w:rPr>
          <w:sz w:val="18"/>
          <w:szCs w:val="18"/>
        </w:rPr>
        <w:t xml:space="preserve">Ship details: </w:t>
      </w:r>
      <w:r w:rsidRPr="00446DB7">
        <w:rPr>
          <w:sz w:val="18"/>
          <w:szCs w:val="18"/>
        </w:rPr>
        <w:t>(a) MMSI 367026710, Passenger</w:t>
      </w:r>
      <w:r>
        <w:rPr>
          <w:sz w:val="18"/>
          <w:szCs w:val="18"/>
        </w:rPr>
        <w:t xml:space="preserve">; </w:t>
      </w:r>
      <w:r w:rsidRPr="00446DB7">
        <w:rPr>
          <w:sz w:val="18"/>
          <w:szCs w:val="18"/>
        </w:rPr>
        <w:t>(b) MMSI 367673660, Tug (Coastal-Harbor)</w:t>
      </w:r>
      <w:r>
        <w:rPr>
          <w:sz w:val="18"/>
          <w:szCs w:val="18"/>
        </w:rPr>
        <w:t>.</w:t>
      </w:r>
    </w:p>
    <w:p w14:paraId="60593417" w14:textId="67F57FDC" w:rsidR="00F2657B" w:rsidRPr="00022BA7" w:rsidRDefault="00007F58" w:rsidP="00F2657B">
      <w:pPr>
        <w:pStyle w:val="Caption"/>
        <w:spacing w:after="240"/>
        <w:rPr>
          <w:b w:val="0"/>
        </w:rPr>
      </w:pPr>
      <w:bookmarkStart w:id="158" w:name="_Ref144852873"/>
      <w:bookmarkStart w:id="159" w:name="_Toc148444194"/>
      <w:r>
        <w:t xml:space="preserve">Supplementary </w:t>
      </w:r>
      <w:r w:rsidR="00F2657B" w:rsidRPr="00022BA7">
        <w:t xml:space="preserve">Figure </w:t>
      </w:r>
      <w:r w:rsidR="00590C69">
        <w:fldChar w:fldCharType="begin"/>
      </w:r>
      <w:r w:rsidR="00590C69">
        <w:instrText xml:space="preserve"> SEQ Figure \* ARABIC </w:instrText>
      </w:r>
      <w:r w:rsidR="00590C69">
        <w:fldChar w:fldCharType="separate"/>
      </w:r>
      <w:r w:rsidR="00C661AC">
        <w:rPr>
          <w:noProof/>
        </w:rPr>
        <w:t>13</w:t>
      </w:r>
      <w:r w:rsidR="00590C69">
        <w:rPr>
          <w:noProof/>
        </w:rPr>
        <w:fldChar w:fldCharType="end"/>
      </w:r>
      <w:bookmarkEnd w:id="158"/>
      <w:r w:rsidR="00F2657B" w:rsidRPr="00022BA7">
        <w:rPr>
          <w:noProof/>
        </w:rPr>
        <w:t>.</w:t>
      </w:r>
      <w:r w:rsidR="00F2657B" w:rsidRPr="00022BA7">
        <w:t xml:space="preserve"> Example</w:t>
      </w:r>
      <w:r w:rsidR="00F2657B">
        <w:t>s</w:t>
      </w:r>
      <w:r w:rsidR="00F2657B" w:rsidRPr="00022BA7">
        <w:t xml:space="preserve"> of Distribution of Trip Energy</w:t>
      </w:r>
      <w:bookmarkEnd w:id="159"/>
      <w:r w:rsidR="00F2657B" w:rsidRPr="00022BA7">
        <w:t xml:space="preserve"> </w:t>
      </w:r>
    </w:p>
    <w:p w14:paraId="68D24BE8" w14:textId="00B04D2F" w:rsidR="00F2657B" w:rsidRDefault="00F2657B">
      <w:pPr>
        <w:widowControl/>
        <w:spacing w:line="240" w:lineRule="auto"/>
        <w:rPr>
          <w:color w:val="1F497D" w:themeColor="text2"/>
        </w:rPr>
      </w:pPr>
      <w:r>
        <w:rPr>
          <w:color w:val="1F497D" w:themeColor="text2"/>
        </w:rPr>
        <w:br w:type="page"/>
      </w:r>
    </w:p>
    <w:p w14:paraId="544BC739" w14:textId="77777777" w:rsidR="00F2657B" w:rsidRPr="00022BA7" w:rsidRDefault="00F2657B" w:rsidP="00F2657B">
      <w:pPr>
        <w:keepNext/>
        <w:widowControl/>
      </w:pPr>
      <w:r>
        <w:rPr>
          <w:noProof/>
        </w:rPr>
        <w:drawing>
          <wp:inline distT="0" distB="0" distL="0" distR="0" wp14:anchorId="0B6AF9CF" wp14:editId="21FE3099">
            <wp:extent cx="3657600" cy="2924127"/>
            <wp:effectExtent l="0" t="0" r="0" b="0"/>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3657600" cy="2924127"/>
                    </a:xfrm>
                    <a:prstGeom prst="rect">
                      <a:avLst/>
                    </a:prstGeom>
                  </pic:spPr>
                </pic:pic>
              </a:graphicData>
            </a:graphic>
          </wp:inline>
        </w:drawing>
      </w:r>
      <w:r w:rsidRPr="00022BA7">
        <w:br w:type="textWrapping" w:clear="all"/>
      </w:r>
      <w:r w:rsidRPr="00022BA7">
        <w:tab/>
      </w:r>
      <w:r w:rsidRPr="00022BA7">
        <w:tab/>
      </w:r>
      <w:r w:rsidRPr="00022BA7">
        <w:tab/>
      </w:r>
      <w:r w:rsidRPr="00022BA7">
        <w:tab/>
        <w:t>(a)</w:t>
      </w:r>
    </w:p>
    <w:p w14:paraId="7A26B730" w14:textId="77777777" w:rsidR="00F2657B" w:rsidRPr="00022BA7" w:rsidRDefault="00F2657B" w:rsidP="00F2657B">
      <w:pPr>
        <w:keepNext/>
      </w:pPr>
      <w:r w:rsidRPr="00144FAA">
        <w:rPr>
          <w:noProof/>
        </w:rPr>
        <w:t xml:space="preserve"> </w:t>
      </w:r>
      <w:r>
        <w:rPr>
          <w:noProof/>
        </w:rPr>
        <w:drawing>
          <wp:inline distT="0" distB="0" distL="0" distR="0" wp14:anchorId="2F9B327A" wp14:editId="6FEC4470">
            <wp:extent cx="3657600" cy="2938975"/>
            <wp:effectExtent l="0" t="0" r="0" b="0"/>
            <wp:docPr id="16" name="Graphic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3657600" cy="2938975"/>
                    </a:xfrm>
                    <a:prstGeom prst="rect">
                      <a:avLst/>
                    </a:prstGeom>
                  </pic:spPr>
                </pic:pic>
              </a:graphicData>
            </a:graphic>
          </wp:inline>
        </w:drawing>
      </w:r>
    </w:p>
    <w:p w14:paraId="3A4E9DCE" w14:textId="77777777" w:rsidR="00F2657B" w:rsidRPr="00022BA7" w:rsidRDefault="00F2657B" w:rsidP="00F2657B">
      <w:pPr>
        <w:keepNext/>
      </w:pPr>
      <w:r w:rsidRPr="00022BA7">
        <w:tab/>
      </w:r>
      <w:r w:rsidRPr="00022BA7">
        <w:tab/>
      </w:r>
      <w:r w:rsidRPr="00022BA7">
        <w:tab/>
      </w:r>
      <w:r w:rsidRPr="00022BA7">
        <w:tab/>
        <w:t>(b)</w:t>
      </w:r>
    </w:p>
    <w:p w14:paraId="7508BAEE" w14:textId="77777777" w:rsidR="00F2657B" w:rsidRDefault="00F2657B" w:rsidP="00F2657B">
      <w:pPr>
        <w:keepNext/>
        <w:rPr>
          <w:sz w:val="18"/>
          <w:szCs w:val="18"/>
        </w:rPr>
      </w:pPr>
      <w:r w:rsidRPr="00022BA7">
        <w:rPr>
          <w:sz w:val="18"/>
          <w:szCs w:val="18"/>
        </w:rPr>
        <w:t>Points p100, p99, p95, and p90 refer</w:t>
      </w:r>
      <w:r>
        <w:rPr>
          <w:sz w:val="18"/>
          <w:szCs w:val="18"/>
        </w:rPr>
        <w:t xml:space="preserve"> to</w:t>
      </w:r>
      <w:r w:rsidRPr="00022BA7">
        <w:rPr>
          <w:sz w:val="18"/>
          <w:szCs w:val="18"/>
        </w:rPr>
        <w:t xml:space="preserve"> 100th, 99th, 95th, and 90th percentile energy, respectively.</w:t>
      </w:r>
      <w:r>
        <w:rPr>
          <w:sz w:val="18"/>
          <w:szCs w:val="18"/>
        </w:rPr>
        <w:t xml:space="preserve"> Ship details:</w:t>
      </w:r>
    </w:p>
    <w:p w14:paraId="6AF82728" w14:textId="77777777" w:rsidR="00F2657B" w:rsidRPr="00022BA7" w:rsidRDefault="00F2657B" w:rsidP="00F2657B">
      <w:pPr>
        <w:keepNext/>
        <w:rPr>
          <w:sz w:val="18"/>
          <w:szCs w:val="18"/>
        </w:rPr>
      </w:pPr>
      <w:r w:rsidRPr="00CE581C">
        <w:rPr>
          <w:sz w:val="18"/>
          <w:szCs w:val="18"/>
        </w:rPr>
        <w:t>(a) MMSI 367026710, Passenger</w:t>
      </w:r>
      <w:r>
        <w:rPr>
          <w:sz w:val="18"/>
          <w:szCs w:val="18"/>
        </w:rPr>
        <w:t>;</w:t>
      </w:r>
      <w:r w:rsidRPr="00CE581C">
        <w:rPr>
          <w:sz w:val="18"/>
          <w:szCs w:val="18"/>
        </w:rPr>
        <w:t xml:space="preserve"> (b) MMSI 367673660, Tug (Coastal-Harbor)</w:t>
      </w:r>
      <w:r>
        <w:rPr>
          <w:sz w:val="18"/>
          <w:szCs w:val="18"/>
        </w:rPr>
        <w:t>.</w:t>
      </w:r>
    </w:p>
    <w:p w14:paraId="068DBE86" w14:textId="0B42E8EC" w:rsidR="00446E21" w:rsidRPr="00BE2259" w:rsidRDefault="00007F58" w:rsidP="00BE2259">
      <w:pPr>
        <w:pStyle w:val="Caption"/>
      </w:pPr>
      <w:bookmarkStart w:id="160" w:name="_Ref144852891"/>
      <w:bookmarkStart w:id="161" w:name="_Toc148444195"/>
      <w:r w:rsidRPr="00007F58">
        <w:t xml:space="preserve">Supplementary </w:t>
      </w:r>
      <w:r w:rsidR="00F2657B" w:rsidRPr="00BE2259">
        <w:t xml:space="preserve">Figure </w:t>
      </w:r>
      <w:r w:rsidR="00590C69">
        <w:fldChar w:fldCharType="begin"/>
      </w:r>
      <w:r w:rsidR="00590C69">
        <w:instrText xml:space="preserve"> SEQ Figure \* ARABIC </w:instrText>
      </w:r>
      <w:r w:rsidR="00590C69">
        <w:fldChar w:fldCharType="separate"/>
      </w:r>
      <w:r w:rsidR="00C661AC">
        <w:rPr>
          <w:noProof/>
        </w:rPr>
        <w:t>14</w:t>
      </w:r>
      <w:r w:rsidR="00590C69">
        <w:rPr>
          <w:noProof/>
        </w:rPr>
        <w:fldChar w:fldCharType="end"/>
      </w:r>
      <w:bookmarkEnd w:id="160"/>
      <w:r w:rsidR="00F2657B" w:rsidRPr="00BE2259">
        <w:t>. Sum of Trip Energies for Two Ships</w:t>
      </w:r>
      <w:bookmarkEnd w:id="161"/>
    </w:p>
    <w:p w14:paraId="296EA1B5" w14:textId="143E5421" w:rsidR="000E628F" w:rsidRDefault="000E628F">
      <w:pPr>
        <w:widowControl/>
        <w:spacing w:line="240" w:lineRule="auto"/>
        <w:rPr>
          <w:color w:val="1F497D" w:themeColor="text2"/>
        </w:rPr>
      </w:pPr>
    </w:p>
    <w:p w14:paraId="362E3262" w14:textId="126163AE" w:rsidR="0003180E" w:rsidRDefault="0003180E">
      <w:pPr>
        <w:widowControl/>
        <w:spacing w:line="240" w:lineRule="auto"/>
        <w:rPr>
          <w:color w:val="1F497D" w:themeColor="text2"/>
        </w:rPr>
      </w:pPr>
      <w:r>
        <w:rPr>
          <w:color w:val="1F497D" w:themeColor="text2"/>
        </w:rPr>
        <w:br w:type="page"/>
      </w:r>
    </w:p>
    <w:p w14:paraId="41ACBF06" w14:textId="77777777" w:rsidR="0003180E" w:rsidRPr="00022BA7" w:rsidRDefault="0003180E" w:rsidP="0003180E">
      <w:pPr>
        <w:keepNext/>
      </w:pPr>
      <w:r>
        <w:rPr>
          <w:noProof/>
        </w:rPr>
        <w:drawing>
          <wp:inline distT="0" distB="0" distL="0" distR="0" wp14:anchorId="7CF582A3" wp14:editId="71A1A072">
            <wp:extent cx="5943600" cy="3119120"/>
            <wp:effectExtent l="0" t="0" r="0" b="508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5943600" cy="3119120"/>
                    </a:xfrm>
                    <a:prstGeom prst="rect">
                      <a:avLst/>
                    </a:prstGeom>
                  </pic:spPr>
                </pic:pic>
              </a:graphicData>
            </a:graphic>
          </wp:inline>
        </w:drawing>
      </w:r>
    </w:p>
    <w:p w14:paraId="1B291C47" w14:textId="77777777" w:rsidR="0003180E" w:rsidRPr="00022BA7" w:rsidRDefault="0003180E" w:rsidP="0003180E">
      <w:pPr>
        <w:keepNext/>
        <w:rPr>
          <w:b/>
          <w:sz w:val="18"/>
        </w:rPr>
      </w:pPr>
      <w:r w:rsidRPr="00022BA7">
        <w:rPr>
          <w:sz w:val="18"/>
        </w:rPr>
        <w:t>Different types of lines are used to visually separate them from overlapped lines.</w:t>
      </w:r>
    </w:p>
    <w:p w14:paraId="132E9421" w14:textId="0E4EE8CF" w:rsidR="0003180E" w:rsidRPr="00022BA7" w:rsidRDefault="00007F58" w:rsidP="0003180E">
      <w:pPr>
        <w:pStyle w:val="Caption"/>
      </w:pPr>
      <w:bookmarkStart w:id="162" w:name="_Ref144852970"/>
      <w:bookmarkStart w:id="163" w:name="_Toc148444196"/>
      <w:r>
        <w:t xml:space="preserve">Supplementary </w:t>
      </w:r>
      <w:r w:rsidR="0003180E" w:rsidRPr="00022BA7">
        <w:t xml:space="preserve">Figure </w:t>
      </w:r>
      <w:r w:rsidR="00590C69">
        <w:fldChar w:fldCharType="begin"/>
      </w:r>
      <w:r w:rsidR="00590C69">
        <w:instrText xml:space="preserve"> SEQ Figure \* ARABIC </w:instrText>
      </w:r>
      <w:r w:rsidR="00590C69">
        <w:fldChar w:fldCharType="separate"/>
      </w:r>
      <w:r w:rsidR="00C661AC">
        <w:rPr>
          <w:noProof/>
        </w:rPr>
        <w:t>15</w:t>
      </w:r>
      <w:r w:rsidR="00590C69">
        <w:rPr>
          <w:noProof/>
        </w:rPr>
        <w:fldChar w:fldCharType="end"/>
      </w:r>
      <w:bookmarkEnd w:id="162"/>
      <w:r w:rsidR="0003180E" w:rsidRPr="00022BA7">
        <w:rPr>
          <w:noProof/>
        </w:rPr>
        <w:t>.</w:t>
      </w:r>
      <w:r w:rsidR="0003180E" w:rsidRPr="00022BA7">
        <w:t xml:space="preserve"> A Schematic Diagram of Battery Sizing with Degradation Reflected</w:t>
      </w:r>
      <w:bookmarkEnd w:id="163"/>
    </w:p>
    <w:p w14:paraId="3D39D25E" w14:textId="609531B8" w:rsidR="000E628F" w:rsidRDefault="000E628F">
      <w:pPr>
        <w:widowControl/>
        <w:spacing w:line="240" w:lineRule="auto"/>
        <w:rPr>
          <w:color w:val="1F497D" w:themeColor="text2"/>
        </w:rPr>
      </w:pPr>
    </w:p>
    <w:p w14:paraId="56A146DE" w14:textId="0428A97D" w:rsidR="0003180E" w:rsidRDefault="0003180E">
      <w:pPr>
        <w:widowControl/>
        <w:spacing w:line="240" w:lineRule="auto"/>
        <w:rPr>
          <w:color w:val="1F497D" w:themeColor="text2"/>
        </w:rPr>
      </w:pPr>
      <w:r>
        <w:rPr>
          <w:color w:val="1F497D" w:themeColor="text2"/>
        </w:rPr>
        <w:br w:type="page"/>
      </w:r>
    </w:p>
    <w:p w14:paraId="5FF7B648" w14:textId="77777777" w:rsidR="0003180E" w:rsidRDefault="0003180E" w:rsidP="0003180E">
      <w:r w:rsidRPr="00022BA7">
        <w:rPr>
          <w:noProof/>
        </w:rPr>
        <w:drawing>
          <wp:inline distT="0" distB="0" distL="0" distR="0" wp14:anchorId="41D95447" wp14:editId="49830694">
            <wp:extent cx="3657600" cy="2268024"/>
            <wp:effectExtent l="0" t="0" r="0" b="0"/>
            <wp:docPr id="1656170125" name="Picture 165617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657600" cy="2268024"/>
                    </a:xfrm>
                    <a:prstGeom prst="rect">
                      <a:avLst/>
                    </a:prstGeom>
                  </pic:spPr>
                </pic:pic>
              </a:graphicData>
            </a:graphic>
          </wp:inline>
        </w:drawing>
      </w:r>
    </w:p>
    <w:p w14:paraId="3D18C54B" w14:textId="77777777" w:rsidR="0003180E" w:rsidRPr="006F67C5" w:rsidRDefault="0003180E" w:rsidP="0003180E">
      <w:pPr>
        <w:rPr>
          <w:sz w:val="18"/>
        </w:rPr>
      </w:pPr>
      <w:r w:rsidRPr="006F67C5">
        <w:rPr>
          <w:rFonts w:cs="Times New Roman"/>
          <w:sz w:val="18"/>
        </w:rPr>
        <w:t xml:space="preserve">Source: </w:t>
      </w:r>
      <w:proofErr w:type="spellStart"/>
      <w:r w:rsidRPr="006F67C5">
        <w:rPr>
          <w:rFonts w:cs="Times New Roman"/>
          <w:sz w:val="18"/>
        </w:rPr>
        <w:t>Hoedemaker</w:t>
      </w:r>
      <w:proofErr w:type="spellEnd"/>
      <w:r w:rsidRPr="006F67C5">
        <w:rPr>
          <w:rFonts w:cs="Times New Roman"/>
          <w:sz w:val="18"/>
        </w:rPr>
        <w:t xml:space="preserve"> (2017)</w:t>
      </w:r>
    </w:p>
    <w:p w14:paraId="7A559F9D" w14:textId="7A02002F" w:rsidR="0003180E" w:rsidRPr="00022BA7" w:rsidRDefault="00007F58" w:rsidP="0003180E">
      <w:pPr>
        <w:pStyle w:val="Caption"/>
      </w:pPr>
      <w:bookmarkStart w:id="164" w:name="_Ref144852993"/>
      <w:bookmarkStart w:id="165" w:name="_Toc148444197"/>
      <w:r>
        <w:t xml:space="preserve">Supplementary </w:t>
      </w:r>
      <w:r w:rsidR="0003180E" w:rsidRPr="00022BA7">
        <w:t xml:space="preserve">Figure </w:t>
      </w:r>
      <w:r w:rsidR="00590C69">
        <w:fldChar w:fldCharType="begin"/>
      </w:r>
      <w:r w:rsidR="00590C69">
        <w:instrText xml:space="preserve"> SEQ Figure \* ARABIC </w:instrText>
      </w:r>
      <w:r w:rsidR="00590C69">
        <w:fldChar w:fldCharType="separate"/>
      </w:r>
      <w:r w:rsidR="00C661AC">
        <w:rPr>
          <w:noProof/>
        </w:rPr>
        <w:t>16</w:t>
      </w:r>
      <w:r w:rsidR="00590C69">
        <w:rPr>
          <w:noProof/>
        </w:rPr>
        <w:fldChar w:fldCharType="end"/>
      </w:r>
      <w:bookmarkEnd w:id="164"/>
      <w:r w:rsidR="0003180E" w:rsidRPr="00022BA7">
        <w:rPr>
          <w:noProof/>
        </w:rPr>
        <w:t>.</w:t>
      </w:r>
      <w:r w:rsidR="0003180E" w:rsidRPr="00022BA7">
        <w:t xml:space="preserve"> Effect of State of Charge on </w:t>
      </w:r>
      <w:r w:rsidR="0003180E">
        <w:t xml:space="preserve">Calendar Degradation </w:t>
      </w:r>
      <w:r w:rsidR="0003180E" w:rsidRPr="00022BA7">
        <w:t>Rate</w:t>
      </w:r>
      <w:bookmarkEnd w:id="165"/>
      <w:r w:rsidR="0003180E" w:rsidRPr="00022BA7">
        <w:t xml:space="preserve"> </w:t>
      </w:r>
    </w:p>
    <w:p w14:paraId="26FAD709" w14:textId="42A02CFD" w:rsidR="0003180E" w:rsidRDefault="0003180E">
      <w:pPr>
        <w:widowControl/>
        <w:spacing w:line="240" w:lineRule="auto"/>
        <w:rPr>
          <w:color w:val="1F497D" w:themeColor="text2"/>
        </w:rPr>
      </w:pPr>
      <w:r>
        <w:rPr>
          <w:color w:val="1F497D" w:themeColor="text2"/>
        </w:rPr>
        <w:br w:type="page"/>
      </w:r>
    </w:p>
    <w:p w14:paraId="55207691" w14:textId="77777777" w:rsidR="0003180E" w:rsidRDefault="0003180E" w:rsidP="0003180E">
      <w:pPr>
        <w:rPr>
          <w:b/>
          <w:noProof/>
        </w:rPr>
      </w:pPr>
      <w:r>
        <w:rPr>
          <w:noProof/>
        </w:rPr>
        <w:drawing>
          <wp:inline distT="0" distB="0" distL="0" distR="0" wp14:anchorId="60964608" wp14:editId="00098D8E">
            <wp:extent cx="3657600" cy="2384864"/>
            <wp:effectExtent l="0" t="0" r="0"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3657600" cy="2384864"/>
                    </a:xfrm>
                    <a:prstGeom prst="rect">
                      <a:avLst/>
                    </a:prstGeom>
                  </pic:spPr>
                </pic:pic>
              </a:graphicData>
            </a:graphic>
          </wp:inline>
        </w:drawing>
      </w:r>
      <w:r w:rsidRPr="00022BA7">
        <w:rPr>
          <w:b/>
          <w:noProof/>
        </w:rPr>
        <w:t xml:space="preserve"> </w:t>
      </w:r>
    </w:p>
    <w:p w14:paraId="59716DCB" w14:textId="77777777" w:rsidR="0003180E" w:rsidRDefault="0003180E" w:rsidP="0003180E">
      <w:pPr>
        <w:rPr>
          <w:b/>
          <w:noProof/>
        </w:rPr>
      </w:pPr>
      <w:r>
        <w:rPr>
          <w:b/>
        </w:rPr>
        <w:tab/>
      </w:r>
      <w:r>
        <w:rPr>
          <w:b/>
        </w:rPr>
        <w:tab/>
        <w:t>(a)</w:t>
      </w:r>
      <w:r>
        <w:rPr>
          <w:b/>
        </w:rPr>
        <w:tab/>
      </w:r>
    </w:p>
    <w:p w14:paraId="6F8DEBC5" w14:textId="77777777" w:rsidR="0003180E" w:rsidRDefault="0003180E" w:rsidP="0003180E">
      <w:pPr>
        <w:rPr>
          <w:b/>
        </w:rPr>
      </w:pPr>
      <w:r>
        <w:rPr>
          <w:noProof/>
        </w:rPr>
        <w:drawing>
          <wp:inline distT="0" distB="0" distL="0" distR="0" wp14:anchorId="0988429A" wp14:editId="4B6FC265">
            <wp:extent cx="3657600" cy="2379393"/>
            <wp:effectExtent l="0" t="0" r="0" b="1905"/>
            <wp:docPr id="19"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3657600" cy="2379393"/>
                    </a:xfrm>
                    <a:prstGeom prst="rect">
                      <a:avLst/>
                    </a:prstGeom>
                  </pic:spPr>
                </pic:pic>
              </a:graphicData>
            </a:graphic>
          </wp:inline>
        </w:drawing>
      </w:r>
    </w:p>
    <w:p w14:paraId="329ADB67" w14:textId="77777777" w:rsidR="0003180E" w:rsidRDefault="0003180E" w:rsidP="0003180E">
      <w:pPr>
        <w:rPr>
          <w:b/>
        </w:rPr>
      </w:pPr>
      <w:r>
        <w:rPr>
          <w:b/>
        </w:rPr>
        <w:tab/>
      </w:r>
      <w:r>
        <w:rPr>
          <w:b/>
        </w:rPr>
        <w:tab/>
        <w:t>(b)</w:t>
      </w:r>
    </w:p>
    <w:p w14:paraId="79DFDB8D" w14:textId="77777777" w:rsidR="0003180E" w:rsidRPr="00191862" w:rsidRDefault="0003180E" w:rsidP="0003180E">
      <w:pPr>
        <w:rPr>
          <w:sz w:val="18"/>
        </w:rPr>
      </w:pPr>
      <w:r>
        <w:rPr>
          <w:sz w:val="18"/>
        </w:rPr>
        <w:t xml:space="preserve">(a) </w:t>
      </w:r>
      <w:r w:rsidRPr="00191862">
        <w:rPr>
          <w:sz w:val="18"/>
        </w:rPr>
        <w:t>At Year 0, the usable energy (orange + green + yellow), or 80% of DoD is greater than the energy required for one mission.</w:t>
      </w:r>
      <w:r>
        <w:rPr>
          <w:sz w:val="18"/>
        </w:rPr>
        <w:t xml:space="preserve"> (b)</w:t>
      </w:r>
      <w:r w:rsidRPr="00191862">
        <w:rPr>
          <w:sz w:val="18"/>
        </w:rPr>
        <w:t xml:space="preserve"> At </w:t>
      </w:r>
      <w:proofErr w:type="spellStart"/>
      <w:r w:rsidRPr="00191862">
        <w:rPr>
          <w:sz w:val="18"/>
        </w:rPr>
        <w:t>EoL</w:t>
      </w:r>
      <w:proofErr w:type="spellEnd"/>
      <w:r w:rsidRPr="00191862">
        <w:rPr>
          <w:sz w:val="18"/>
        </w:rPr>
        <w:t>, the usable energy (orange + yellow), or 80% of DoD is equivalent to the energy required for one mission.</w:t>
      </w:r>
    </w:p>
    <w:p w14:paraId="1BF6A7F6" w14:textId="4EF8295B" w:rsidR="0003180E" w:rsidRPr="00022BA7" w:rsidRDefault="00007F58" w:rsidP="0003180E">
      <w:pPr>
        <w:pStyle w:val="Caption"/>
        <w:rPr>
          <w:b w:val="0"/>
        </w:rPr>
      </w:pPr>
      <w:bookmarkStart w:id="166" w:name="_Ref144853014"/>
      <w:bookmarkStart w:id="167" w:name="_Toc148444198"/>
      <w:r>
        <w:t xml:space="preserve">Supplementary </w:t>
      </w:r>
      <w:r w:rsidR="0003180E" w:rsidRPr="00022BA7">
        <w:t xml:space="preserve">Figure </w:t>
      </w:r>
      <w:r w:rsidR="00590C69">
        <w:fldChar w:fldCharType="begin"/>
      </w:r>
      <w:r w:rsidR="00590C69">
        <w:instrText xml:space="preserve"> SEQ Figure \* ARABIC </w:instrText>
      </w:r>
      <w:r w:rsidR="00590C69">
        <w:fldChar w:fldCharType="separate"/>
      </w:r>
      <w:r w:rsidR="00C661AC">
        <w:rPr>
          <w:noProof/>
        </w:rPr>
        <w:t>17</w:t>
      </w:r>
      <w:r w:rsidR="00590C69">
        <w:rPr>
          <w:noProof/>
        </w:rPr>
        <w:fldChar w:fldCharType="end"/>
      </w:r>
      <w:bookmarkEnd w:id="166"/>
      <w:r w:rsidR="0003180E" w:rsidRPr="00022BA7">
        <w:rPr>
          <w:noProof/>
        </w:rPr>
        <w:t>.</w:t>
      </w:r>
      <w:r w:rsidR="0003180E" w:rsidRPr="00022BA7">
        <w:t xml:space="preserve"> Battery Sizing</w:t>
      </w:r>
      <w:r w:rsidR="0003180E">
        <w:t xml:space="preserve"> and Usable Capacity</w:t>
      </w:r>
      <w:r w:rsidR="0003180E" w:rsidRPr="00022BA7">
        <w:t xml:space="preserve">: </w:t>
      </w:r>
      <w:r w:rsidR="0003180E">
        <w:t xml:space="preserve">(a) Initial </w:t>
      </w:r>
      <w:r w:rsidR="0003180E" w:rsidRPr="00022BA7">
        <w:t xml:space="preserve">Battery </w:t>
      </w:r>
      <w:r w:rsidR="0003180E">
        <w:t>Composition,</w:t>
      </w:r>
      <w:r w:rsidR="0003180E" w:rsidRPr="00022BA7">
        <w:t xml:space="preserve"> </w:t>
      </w:r>
      <w:r w:rsidR="0003180E">
        <w:t xml:space="preserve">(b) </w:t>
      </w:r>
      <w:r w:rsidR="0003180E" w:rsidRPr="00022BA7">
        <w:t>End of Life</w:t>
      </w:r>
      <w:r w:rsidR="0003180E">
        <w:t xml:space="preserve"> (</w:t>
      </w:r>
      <w:proofErr w:type="spellStart"/>
      <w:r w:rsidR="0003180E">
        <w:t>EoL</w:t>
      </w:r>
      <w:proofErr w:type="spellEnd"/>
      <w:r w:rsidR="0003180E">
        <w:t>)</w:t>
      </w:r>
      <w:bookmarkEnd w:id="167"/>
    </w:p>
    <w:p w14:paraId="15EABBDB" w14:textId="77777777" w:rsidR="0003180E" w:rsidRDefault="0003180E">
      <w:pPr>
        <w:widowControl/>
        <w:spacing w:line="240" w:lineRule="auto"/>
        <w:rPr>
          <w:color w:val="1F497D" w:themeColor="text2"/>
        </w:rPr>
      </w:pPr>
    </w:p>
    <w:p w14:paraId="3C1DE083" w14:textId="613ADF8D" w:rsidR="0003180E" w:rsidRDefault="0003180E">
      <w:pPr>
        <w:widowControl/>
        <w:spacing w:line="240" w:lineRule="auto"/>
        <w:rPr>
          <w:color w:val="1F497D" w:themeColor="text2"/>
        </w:rPr>
      </w:pPr>
    </w:p>
    <w:p w14:paraId="2A9F0329" w14:textId="3148F4B1" w:rsidR="0003180E" w:rsidRDefault="0003180E">
      <w:pPr>
        <w:widowControl/>
        <w:spacing w:line="240" w:lineRule="auto"/>
        <w:rPr>
          <w:color w:val="1F497D" w:themeColor="text2"/>
        </w:rPr>
      </w:pPr>
    </w:p>
    <w:p w14:paraId="56DFF800" w14:textId="6939FFB3" w:rsidR="0003180E" w:rsidRDefault="0003180E">
      <w:pPr>
        <w:widowControl/>
        <w:spacing w:line="240" w:lineRule="auto"/>
        <w:rPr>
          <w:color w:val="1F497D" w:themeColor="text2"/>
        </w:rPr>
      </w:pPr>
    </w:p>
    <w:p w14:paraId="71135ED9" w14:textId="77777777" w:rsidR="0003180E" w:rsidRDefault="0003180E">
      <w:pPr>
        <w:widowControl/>
        <w:spacing w:line="240" w:lineRule="auto"/>
        <w:rPr>
          <w:color w:val="1F497D" w:themeColor="text2"/>
        </w:rPr>
      </w:pPr>
    </w:p>
    <w:p w14:paraId="7A342F4B" w14:textId="3F074B0E" w:rsidR="000E628F" w:rsidRDefault="000E628F">
      <w:pPr>
        <w:widowControl/>
        <w:spacing w:line="240" w:lineRule="auto"/>
        <w:rPr>
          <w:color w:val="1F497D" w:themeColor="text2"/>
        </w:rPr>
      </w:pPr>
    </w:p>
    <w:p w14:paraId="15D726D7" w14:textId="77777777" w:rsidR="000E628F" w:rsidRDefault="000E628F">
      <w:pPr>
        <w:widowControl/>
        <w:spacing w:line="240" w:lineRule="auto"/>
        <w:rPr>
          <w:color w:val="1F497D" w:themeColor="text2"/>
        </w:rPr>
      </w:pPr>
    </w:p>
    <w:p w14:paraId="4066033F" w14:textId="24975344" w:rsidR="00446E21" w:rsidRDefault="00446E21">
      <w:pPr>
        <w:widowControl/>
        <w:spacing w:line="240" w:lineRule="auto"/>
        <w:rPr>
          <w:color w:val="1F497D" w:themeColor="text2"/>
        </w:rPr>
      </w:pPr>
    </w:p>
    <w:p w14:paraId="5C622733" w14:textId="77777777" w:rsidR="00446E21" w:rsidRDefault="00446E21">
      <w:pPr>
        <w:widowControl/>
        <w:spacing w:line="240" w:lineRule="auto"/>
        <w:rPr>
          <w:color w:val="1F497D" w:themeColor="text2"/>
        </w:rPr>
      </w:pPr>
    </w:p>
    <w:p w14:paraId="44DF0167" w14:textId="3A459FE4" w:rsidR="00446E21" w:rsidRDefault="00446E21">
      <w:pPr>
        <w:widowControl/>
        <w:spacing w:line="240" w:lineRule="auto"/>
        <w:rPr>
          <w:color w:val="1F497D" w:themeColor="text2"/>
        </w:rPr>
      </w:pPr>
    </w:p>
    <w:p w14:paraId="1C13AEA5" w14:textId="3A1FA7FD" w:rsidR="00446E21" w:rsidRDefault="00446E21">
      <w:pPr>
        <w:widowControl/>
        <w:spacing w:line="240" w:lineRule="auto"/>
        <w:rPr>
          <w:color w:val="1F497D" w:themeColor="text2"/>
        </w:rPr>
      </w:pPr>
    </w:p>
    <w:p w14:paraId="6B7C69A7" w14:textId="1EEE1638" w:rsidR="00446E21" w:rsidRDefault="00446E21">
      <w:pPr>
        <w:widowControl/>
        <w:spacing w:line="240" w:lineRule="auto"/>
        <w:rPr>
          <w:color w:val="1F497D" w:themeColor="text2"/>
        </w:rPr>
      </w:pPr>
    </w:p>
    <w:p w14:paraId="2ED72136" w14:textId="0E21D74F" w:rsidR="00446E21" w:rsidRDefault="00446E21">
      <w:pPr>
        <w:widowControl/>
        <w:spacing w:line="240" w:lineRule="auto"/>
        <w:rPr>
          <w:color w:val="1F497D" w:themeColor="text2"/>
        </w:rPr>
      </w:pPr>
    </w:p>
    <w:p w14:paraId="434D9823" w14:textId="77777777" w:rsidR="00446E21" w:rsidRDefault="00446E21">
      <w:pPr>
        <w:widowControl/>
        <w:spacing w:line="240" w:lineRule="auto"/>
        <w:rPr>
          <w:color w:val="1F497D" w:themeColor="text2"/>
        </w:rPr>
      </w:pPr>
    </w:p>
    <w:p w14:paraId="2DA4FAB9" w14:textId="77777777" w:rsidR="0003180E" w:rsidRPr="00022BA7" w:rsidRDefault="0003180E" w:rsidP="0003180E">
      <w:r w:rsidRPr="00022BA7">
        <w:rPr>
          <w:noProof/>
        </w:rPr>
        <w:drawing>
          <wp:inline distT="0" distB="0" distL="0" distR="0" wp14:anchorId="260362B1" wp14:editId="6AEDDFEA">
            <wp:extent cx="5943600" cy="3669199"/>
            <wp:effectExtent l="0" t="0" r="0" b="7620"/>
            <wp:docPr id="1656170139" name="Picture 1656170139" descr="C:\Users\Won Young Park\AppData\Local\Microsoft\Windows\INetCache\Content.MSO\3031CB2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on Young Park\AppData\Local\Microsoft\Windows\INetCache\Content.MSO\3031CB26.tmp"/>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3669199"/>
                    </a:xfrm>
                    <a:prstGeom prst="rect">
                      <a:avLst/>
                    </a:prstGeom>
                    <a:noFill/>
                    <a:ln>
                      <a:noFill/>
                    </a:ln>
                  </pic:spPr>
                </pic:pic>
              </a:graphicData>
            </a:graphic>
          </wp:inline>
        </w:drawing>
      </w:r>
    </w:p>
    <w:p w14:paraId="2D3359A9" w14:textId="03F2248D" w:rsidR="0003180E" w:rsidRPr="00022BA7" w:rsidRDefault="00007F58" w:rsidP="0003180E">
      <w:pPr>
        <w:pStyle w:val="Caption"/>
        <w:rPr>
          <w:b w:val="0"/>
        </w:rPr>
      </w:pPr>
      <w:bookmarkStart w:id="168" w:name="_Hlk146542892"/>
      <w:bookmarkStart w:id="169" w:name="_Ref144853862"/>
      <w:bookmarkStart w:id="170" w:name="_Toc148444199"/>
      <w:r>
        <w:t xml:space="preserve">Supplementary </w:t>
      </w:r>
      <w:bookmarkEnd w:id="168"/>
      <w:r w:rsidR="0003180E" w:rsidRPr="00022BA7">
        <w:t xml:space="preserve">Figure </w:t>
      </w:r>
      <w:r w:rsidR="00590C69">
        <w:fldChar w:fldCharType="begin"/>
      </w:r>
      <w:r w:rsidR="00590C69">
        <w:instrText xml:space="preserve"> SEQ Figure \* ARABIC </w:instrText>
      </w:r>
      <w:r w:rsidR="00590C69">
        <w:fldChar w:fldCharType="separate"/>
      </w:r>
      <w:r w:rsidR="00C661AC">
        <w:rPr>
          <w:noProof/>
        </w:rPr>
        <w:t>18</w:t>
      </w:r>
      <w:r w:rsidR="00590C69">
        <w:rPr>
          <w:noProof/>
        </w:rPr>
        <w:fldChar w:fldCharType="end"/>
      </w:r>
      <w:bookmarkEnd w:id="169"/>
      <w:r w:rsidR="0003180E" w:rsidRPr="00022BA7">
        <w:rPr>
          <w:noProof/>
        </w:rPr>
        <w:t>.</w:t>
      </w:r>
      <w:r w:rsidR="0003180E" w:rsidRPr="00022BA7">
        <w:t xml:space="preserve"> L</w:t>
      </w:r>
      <w:r w:rsidR="0003180E">
        <w:t>CA</w:t>
      </w:r>
      <w:r w:rsidR="0003180E" w:rsidRPr="00022BA7">
        <w:t xml:space="preserve"> of BES</w:t>
      </w:r>
      <w:r w:rsidR="0003180E">
        <w:t>s</w:t>
      </w:r>
      <w:bookmarkEnd w:id="170"/>
    </w:p>
    <w:p w14:paraId="499934B8" w14:textId="15884299" w:rsidR="00B77DF1" w:rsidRDefault="00B77DF1">
      <w:pPr>
        <w:widowControl/>
        <w:spacing w:line="240" w:lineRule="auto"/>
        <w:rPr>
          <w:color w:val="1F497D" w:themeColor="text2"/>
        </w:rPr>
      </w:pPr>
    </w:p>
    <w:p w14:paraId="276FB390" w14:textId="77777777" w:rsidR="00B77DF1" w:rsidRDefault="00B77DF1">
      <w:pPr>
        <w:widowControl/>
        <w:spacing w:line="240" w:lineRule="auto"/>
        <w:rPr>
          <w:color w:val="1F497D" w:themeColor="text2"/>
        </w:rPr>
      </w:pPr>
    </w:p>
    <w:p w14:paraId="14CEAC7B" w14:textId="258A3BCA" w:rsidR="0021618D" w:rsidRDefault="0021618D">
      <w:pPr>
        <w:widowControl/>
        <w:spacing w:line="240" w:lineRule="auto"/>
        <w:rPr>
          <w:color w:val="1F497D" w:themeColor="text2"/>
        </w:rPr>
      </w:pPr>
      <w:r>
        <w:rPr>
          <w:color w:val="1F497D" w:themeColor="text2"/>
        </w:rPr>
        <w:br w:type="page"/>
      </w:r>
    </w:p>
    <w:p w14:paraId="6C29159C" w14:textId="77777777" w:rsidR="0021618D" w:rsidRPr="00022BA7" w:rsidRDefault="0021618D" w:rsidP="0021618D">
      <w:pPr>
        <w:keepNext/>
        <w:rPr>
          <w:lang w:eastAsia="ko-KR"/>
        </w:rPr>
      </w:pPr>
      <w:r>
        <w:rPr>
          <w:noProof/>
        </w:rPr>
        <w:drawing>
          <wp:inline distT="0" distB="0" distL="0" distR="0" wp14:anchorId="4787B5A5" wp14:editId="3C505215">
            <wp:extent cx="5486400" cy="4352778"/>
            <wp:effectExtent l="0" t="0" r="0" b="0"/>
            <wp:docPr id="1656170165" name="Graphic 1656170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96DAC541-7B7A-43D3-8B79-37D633B846F1}">
                          <asvg:svgBlip xmlns:asvg="http://schemas.microsoft.com/office/drawing/2016/SVG/main" r:embed="rId49"/>
                        </a:ext>
                      </a:extLst>
                    </a:blip>
                    <a:stretch>
                      <a:fillRect/>
                    </a:stretch>
                  </pic:blipFill>
                  <pic:spPr>
                    <a:xfrm>
                      <a:off x="0" y="0"/>
                      <a:ext cx="5486400" cy="4352778"/>
                    </a:xfrm>
                    <a:prstGeom prst="rect">
                      <a:avLst/>
                    </a:prstGeom>
                  </pic:spPr>
                </pic:pic>
              </a:graphicData>
            </a:graphic>
          </wp:inline>
        </w:drawing>
      </w:r>
    </w:p>
    <w:p w14:paraId="7F2EF55C" w14:textId="7207AF93" w:rsidR="0021618D" w:rsidRPr="00022BA7" w:rsidRDefault="003338A1" w:rsidP="0021618D">
      <w:pPr>
        <w:pStyle w:val="Caption"/>
        <w:rPr>
          <w:b w:val="0"/>
        </w:rPr>
      </w:pPr>
      <w:bookmarkStart w:id="171" w:name="_Ref141016738"/>
      <w:bookmarkStart w:id="172" w:name="_Toc145792552"/>
      <w:bookmarkStart w:id="173" w:name="_Toc148444200"/>
      <w:r>
        <w:t xml:space="preserve">Supplementary </w:t>
      </w:r>
      <w:r w:rsidR="0021618D" w:rsidRPr="00022BA7">
        <w:t xml:space="preserve">Figure </w:t>
      </w:r>
      <w:r w:rsidR="00590C69">
        <w:fldChar w:fldCharType="begin"/>
      </w:r>
      <w:r w:rsidR="00590C69">
        <w:instrText xml:space="preserve"> SEQ Figure \* ARABIC \s 1 </w:instrText>
      </w:r>
      <w:r w:rsidR="00590C69">
        <w:fldChar w:fldCharType="separate"/>
      </w:r>
      <w:r w:rsidR="00C661AC">
        <w:rPr>
          <w:noProof/>
        </w:rPr>
        <w:t>19</w:t>
      </w:r>
      <w:r w:rsidR="00590C69">
        <w:rPr>
          <w:noProof/>
        </w:rPr>
        <w:fldChar w:fldCharType="end"/>
      </w:r>
      <w:bookmarkEnd w:id="171"/>
      <w:r w:rsidR="0021618D" w:rsidRPr="00022BA7">
        <w:rPr>
          <w:noProof/>
        </w:rPr>
        <w:t>.</w:t>
      </w:r>
      <w:r w:rsidR="0021618D" w:rsidRPr="00022BA7">
        <w:t xml:space="preserve"> </w:t>
      </w:r>
      <w:r w:rsidR="0021618D" w:rsidRPr="00022BA7">
        <w:rPr>
          <w:lang w:eastAsia="ko-KR"/>
        </w:rPr>
        <w:t xml:space="preserve">Cumulative Distribution of </w:t>
      </w:r>
      <w:r w:rsidR="0021618D">
        <w:rPr>
          <w:lang w:eastAsia="ko-KR"/>
        </w:rPr>
        <w:t xml:space="preserve">Reference Trip </w:t>
      </w:r>
      <w:r w:rsidR="0021618D" w:rsidRPr="00022BA7">
        <w:rPr>
          <w:lang w:eastAsia="ko-KR"/>
        </w:rPr>
        <w:t>Energy Demand</w:t>
      </w:r>
      <w:bookmarkEnd w:id="172"/>
      <w:bookmarkEnd w:id="173"/>
    </w:p>
    <w:p w14:paraId="43248C59" w14:textId="77777777" w:rsidR="009A2DA7" w:rsidRDefault="009A2DA7">
      <w:pPr>
        <w:widowControl/>
        <w:spacing w:line="240" w:lineRule="auto"/>
        <w:rPr>
          <w:color w:val="1F497D" w:themeColor="text2"/>
        </w:rPr>
      </w:pPr>
    </w:p>
    <w:p w14:paraId="26CFE1D8" w14:textId="359A397F" w:rsidR="0021618D" w:rsidRPr="00022BA7" w:rsidRDefault="0021618D" w:rsidP="0021618D">
      <w:pPr>
        <w:rPr>
          <w:lang w:eastAsia="ko-KR"/>
        </w:rPr>
      </w:pPr>
      <w:r w:rsidRPr="001C5BDB">
        <w:rPr>
          <w:lang w:eastAsia="ko-KR"/>
        </w:rPr>
        <w:fldChar w:fldCharType="begin"/>
      </w:r>
      <w:r w:rsidRPr="001C5BDB">
        <w:rPr>
          <w:lang w:eastAsia="ko-KR"/>
        </w:rPr>
        <w:instrText xml:space="preserve"> REF _Ref141016738 \h  \* MERGEFORMAT </w:instrText>
      </w:r>
      <w:r w:rsidRPr="001C5BDB">
        <w:rPr>
          <w:lang w:eastAsia="ko-KR"/>
        </w:rPr>
      </w:r>
      <w:r w:rsidRPr="001C5BDB">
        <w:rPr>
          <w:lang w:eastAsia="ko-KR"/>
        </w:rPr>
        <w:fldChar w:fldCharType="separate"/>
      </w:r>
      <w:r w:rsidR="00C661AC">
        <w:t xml:space="preserve">Supplementary </w:t>
      </w:r>
      <w:r w:rsidR="00C661AC" w:rsidRPr="00022BA7">
        <w:rPr>
          <w:noProof/>
        </w:rPr>
        <w:t>Figure</w:t>
      </w:r>
      <w:r w:rsidR="00C661AC" w:rsidRPr="00022BA7">
        <w:t xml:space="preserve"> </w:t>
      </w:r>
      <w:r w:rsidR="00C661AC">
        <w:rPr>
          <w:noProof/>
        </w:rPr>
        <w:t>19</w:t>
      </w:r>
      <w:r w:rsidRPr="001C5BDB">
        <w:rPr>
          <w:lang w:eastAsia="ko-KR"/>
        </w:rPr>
        <w:fldChar w:fldCharType="end"/>
      </w:r>
      <w:r w:rsidRPr="001C5BDB">
        <w:rPr>
          <w:lang w:eastAsia="ko-KR"/>
        </w:rPr>
        <w:t xml:space="preserve"> illustrates the cumulative distribution of the energy demand for the reference trip of each ship. The curves, such as the </w:t>
      </w:r>
      <w:r>
        <w:rPr>
          <w:lang w:eastAsia="ko-KR"/>
        </w:rPr>
        <w:t>“</w:t>
      </w:r>
      <w:r w:rsidRPr="001C5BDB">
        <w:rPr>
          <w:lang w:eastAsia="ko-KR"/>
        </w:rPr>
        <w:t>100th Percentile Trip</w:t>
      </w:r>
      <w:r>
        <w:rPr>
          <w:lang w:eastAsia="ko-KR"/>
        </w:rPr>
        <w:t>”</w:t>
      </w:r>
      <w:r w:rsidRPr="001C5BDB">
        <w:rPr>
          <w:lang w:eastAsia="ko-KR"/>
        </w:rPr>
        <w:t xml:space="preserve"> and the </w:t>
      </w:r>
      <w:r>
        <w:rPr>
          <w:lang w:eastAsia="ko-KR"/>
        </w:rPr>
        <w:t>“</w:t>
      </w:r>
      <w:r w:rsidRPr="001C5BDB">
        <w:rPr>
          <w:lang w:eastAsia="ko-KR"/>
        </w:rPr>
        <w:t>95th Percentile Trip,</w:t>
      </w:r>
      <w:r>
        <w:rPr>
          <w:lang w:eastAsia="ko-KR"/>
        </w:rPr>
        <w:t>”</w:t>
      </w:r>
      <w:r w:rsidRPr="001C5BDB">
        <w:rPr>
          <w:lang w:eastAsia="ko-KR"/>
        </w:rPr>
        <w:t xml:space="preserve"> represent the cumulative distribution of energy consumption for the largest trip and the 95th largest percentile trip, respectively, for each ship. </w:t>
      </w:r>
      <w:r>
        <w:rPr>
          <w:lang w:eastAsia="ko-KR"/>
        </w:rPr>
        <w:t>As</w:t>
      </w:r>
      <w:r w:rsidRPr="001C5BDB">
        <w:rPr>
          <w:lang w:eastAsia="ko-KR"/>
        </w:rPr>
        <w:t xml:space="preserve"> the percentile gets lower</w:t>
      </w:r>
      <w:r>
        <w:rPr>
          <w:lang w:eastAsia="ko-KR"/>
        </w:rPr>
        <w:t>,</w:t>
      </w:r>
      <w:r w:rsidRPr="001C5BDB">
        <w:rPr>
          <w:lang w:eastAsia="ko-KR"/>
        </w:rPr>
        <w:t xml:space="preserve"> </w:t>
      </w:r>
      <w:r>
        <w:rPr>
          <w:lang w:eastAsia="ko-KR"/>
        </w:rPr>
        <w:t xml:space="preserve">the trip energy required by </w:t>
      </w:r>
      <w:r w:rsidRPr="001C5BDB">
        <w:rPr>
          <w:lang w:eastAsia="ko-KR"/>
        </w:rPr>
        <w:t xml:space="preserve">the </w:t>
      </w:r>
      <w:r>
        <w:rPr>
          <w:lang w:eastAsia="ko-KR"/>
        </w:rPr>
        <w:t xml:space="preserve">selected </w:t>
      </w:r>
      <w:r w:rsidRPr="001C5BDB">
        <w:rPr>
          <w:lang w:eastAsia="ko-KR"/>
        </w:rPr>
        <w:t xml:space="preserve">reference trip </w:t>
      </w:r>
      <w:r>
        <w:rPr>
          <w:lang w:eastAsia="ko-KR"/>
        </w:rPr>
        <w:t>gets smaller</w:t>
      </w:r>
      <w:r w:rsidRPr="001C5BDB">
        <w:rPr>
          <w:lang w:eastAsia="ko-KR"/>
        </w:rPr>
        <w:t xml:space="preserve">. This trend was also shown in </w:t>
      </w:r>
      <w:r>
        <w:rPr>
          <w:lang w:eastAsia="ko-KR"/>
        </w:rPr>
        <w:t>our</w:t>
      </w:r>
      <w:r w:rsidRPr="001C5BDB">
        <w:rPr>
          <w:lang w:eastAsia="ko-KR"/>
        </w:rPr>
        <w:t xml:space="preserve"> earlier observation that BESs with lower capacity tiers have </w:t>
      </w:r>
      <w:r>
        <w:rPr>
          <w:lang w:eastAsia="ko-KR"/>
        </w:rPr>
        <w:t>smaller</w:t>
      </w:r>
      <w:r w:rsidRPr="001C5BDB">
        <w:rPr>
          <w:lang w:eastAsia="ko-KR"/>
        </w:rPr>
        <w:t xml:space="preserve"> batter</w:t>
      </w:r>
      <w:r>
        <w:rPr>
          <w:lang w:eastAsia="ko-KR"/>
        </w:rPr>
        <w:t>ies,</w:t>
      </w:r>
      <w:r w:rsidRPr="001C5BDB">
        <w:rPr>
          <w:lang w:eastAsia="ko-KR"/>
        </w:rPr>
        <w:t xml:space="preserve"> </w:t>
      </w:r>
      <w:r>
        <w:rPr>
          <w:lang w:eastAsia="ko-KR"/>
        </w:rPr>
        <w:t xml:space="preserve">and </w:t>
      </w:r>
      <w:r w:rsidRPr="001C5BDB">
        <w:rPr>
          <w:lang w:eastAsia="ko-KR"/>
        </w:rPr>
        <w:t xml:space="preserve">that </w:t>
      </w:r>
      <w:r>
        <w:rPr>
          <w:lang w:eastAsia="ko-KR"/>
        </w:rPr>
        <w:t xml:space="preserve">battery sizes </w:t>
      </w:r>
      <w:r w:rsidRPr="001C5BDB">
        <w:rPr>
          <w:lang w:eastAsia="ko-KR"/>
        </w:rPr>
        <w:t>are determined based on the size of reference trips.</w:t>
      </w:r>
      <w:r w:rsidRPr="00022BA7">
        <w:rPr>
          <w:lang w:eastAsia="ko-KR"/>
        </w:rPr>
        <w:t xml:space="preserve"> </w:t>
      </w:r>
    </w:p>
    <w:p w14:paraId="550E0CCA" w14:textId="77777777" w:rsidR="009A2DA7" w:rsidRDefault="009A2DA7">
      <w:pPr>
        <w:widowControl/>
        <w:spacing w:line="240" w:lineRule="auto"/>
        <w:rPr>
          <w:color w:val="1F497D" w:themeColor="text2"/>
        </w:rPr>
      </w:pPr>
    </w:p>
    <w:p w14:paraId="7A909323" w14:textId="77777777" w:rsidR="009A2DA7" w:rsidRDefault="009A2DA7">
      <w:pPr>
        <w:widowControl/>
        <w:spacing w:line="240" w:lineRule="auto"/>
        <w:rPr>
          <w:color w:val="1F497D" w:themeColor="text2"/>
        </w:rPr>
      </w:pPr>
    </w:p>
    <w:p w14:paraId="47CD5F9F" w14:textId="7B203FD1" w:rsidR="0021618D" w:rsidRDefault="0021618D">
      <w:pPr>
        <w:widowControl/>
        <w:spacing w:line="240" w:lineRule="auto"/>
        <w:rPr>
          <w:color w:val="1F497D" w:themeColor="text2"/>
        </w:rPr>
      </w:pPr>
      <w:r>
        <w:rPr>
          <w:color w:val="1F497D" w:themeColor="text2"/>
        </w:rPr>
        <w:br w:type="page"/>
      </w:r>
    </w:p>
    <w:p w14:paraId="09C48965" w14:textId="77777777" w:rsidR="0021618D" w:rsidRPr="00022BA7" w:rsidRDefault="0021618D" w:rsidP="0021618D">
      <w:pPr>
        <w:keepNext/>
        <w:rPr>
          <w:lang w:eastAsia="ko-KR"/>
        </w:rPr>
      </w:pPr>
      <w:r>
        <w:rPr>
          <w:noProof/>
        </w:rPr>
        <w:drawing>
          <wp:inline distT="0" distB="0" distL="0" distR="0" wp14:anchorId="119F2FD7" wp14:editId="22FAFC8F">
            <wp:extent cx="5486400" cy="4333435"/>
            <wp:effectExtent l="0" t="0" r="0" b="0"/>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96DAC541-7B7A-43D3-8B79-37D633B846F1}">
                          <asvg:svgBlip xmlns:asvg="http://schemas.microsoft.com/office/drawing/2016/SVG/main" r:embed="rId51"/>
                        </a:ext>
                      </a:extLst>
                    </a:blip>
                    <a:stretch>
                      <a:fillRect/>
                    </a:stretch>
                  </pic:blipFill>
                  <pic:spPr>
                    <a:xfrm>
                      <a:off x="0" y="0"/>
                      <a:ext cx="5486400" cy="4333435"/>
                    </a:xfrm>
                    <a:prstGeom prst="rect">
                      <a:avLst/>
                    </a:prstGeom>
                  </pic:spPr>
                </pic:pic>
              </a:graphicData>
            </a:graphic>
          </wp:inline>
        </w:drawing>
      </w:r>
    </w:p>
    <w:p w14:paraId="53D79C97" w14:textId="6390625A" w:rsidR="0021618D" w:rsidRPr="00022BA7" w:rsidRDefault="000F5C2D" w:rsidP="0021618D">
      <w:pPr>
        <w:pStyle w:val="Caption"/>
        <w:rPr>
          <w:b w:val="0"/>
        </w:rPr>
      </w:pPr>
      <w:bookmarkStart w:id="174" w:name="_Ref141011010"/>
      <w:bookmarkStart w:id="175" w:name="_Toc145792554"/>
      <w:bookmarkStart w:id="176" w:name="_Toc148444201"/>
      <w:bookmarkStart w:id="177" w:name="_Ref140684889"/>
      <w:r>
        <w:t xml:space="preserve">Supplementary </w:t>
      </w:r>
      <w:r w:rsidR="0021618D" w:rsidRPr="00022BA7">
        <w:t xml:space="preserve">Figure </w:t>
      </w:r>
      <w:r w:rsidR="00590C69">
        <w:fldChar w:fldCharType="begin"/>
      </w:r>
      <w:r w:rsidR="00590C69">
        <w:instrText xml:space="preserve"> SEQ Figure \* ARABIC \s 1 </w:instrText>
      </w:r>
      <w:r w:rsidR="00590C69">
        <w:fldChar w:fldCharType="separate"/>
      </w:r>
      <w:r w:rsidR="00C661AC">
        <w:rPr>
          <w:noProof/>
        </w:rPr>
        <w:t>20</w:t>
      </w:r>
      <w:r w:rsidR="00590C69">
        <w:rPr>
          <w:noProof/>
        </w:rPr>
        <w:fldChar w:fldCharType="end"/>
      </w:r>
      <w:bookmarkEnd w:id="174"/>
      <w:r w:rsidR="0021618D" w:rsidRPr="00022BA7">
        <w:rPr>
          <w:noProof/>
        </w:rPr>
        <w:t>.</w:t>
      </w:r>
      <w:r w:rsidR="0021618D" w:rsidRPr="00022BA7">
        <w:t xml:space="preserve"> Distribution of Ratio of Unserved Trip Energy by BES Capacity Tier</w:t>
      </w:r>
      <w:r w:rsidR="0021618D">
        <w:t xml:space="preserve"> (</w:t>
      </w:r>
      <w:r w:rsidR="00FA6C2A" w:rsidRPr="00FA6C2A">
        <w:t>BESp99, BESp95, and BESp90</w:t>
      </w:r>
      <w:r w:rsidR="0021618D">
        <w:t>)</w:t>
      </w:r>
      <w:bookmarkEnd w:id="175"/>
      <w:bookmarkEnd w:id="176"/>
    </w:p>
    <w:bookmarkEnd w:id="177"/>
    <w:p w14:paraId="16576FFB" w14:textId="77777777" w:rsidR="00B81A95" w:rsidRDefault="00B81A95">
      <w:pPr>
        <w:widowControl/>
        <w:spacing w:line="240" w:lineRule="auto"/>
        <w:rPr>
          <w:color w:val="1F497D" w:themeColor="text2"/>
        </w:rPr>
      </w:pPr>
    </w:p>
    <w:p w14:paraId="336FAB74" w14:textId="5435D681" w:rsidR="00B81A95" w:rsidRPr="00022BA7" w:rsidRDefault="00B81A95" w:rsidP="00B81A95">
      <w:r w:rsidRPr="00022BA7">
        <w:t xml:space="preserve">Despite the potential decrease in battery size associated with decreasing capacity tiers, BESp99, BESp95, and BESp90 exhibit a trade-off wherein the reduced battery capacity leads to an increase in the sum of energy </w:t>
      </w:r>
      <w:r>
        <w:t>from</w:t>
      </w:r>
      <w:r w:rsidRPr="00022BA7">
        <w:t xml:space="preserve"> unserved trips. </w:t>
      </w:r>
      <w:r w:rsidRPr="00022BA7">
        <w:fldChar w:fldCharType="begin"/>
      </w:r>
      <w:r w:rsidRPr="00022BA7">
        <w:instrText xml:space="preserve"> REF _Ref141011010 \h </w:instrText>
      </w:r>
      <w:r>
        <w:instrText xml:space="preserve"> \* MERGEFORMAT </w:instrText>
      </w:r>
      <w:r w:rsidRPr="00022BA7">
        <w:fldChar w:fldCharType="separate"/>
      </w:r>
      <w:r w:rsidR="00C661AC">
        <w:t xml:space="preserve">Supplementary </w:t>
      </w:r>
      <w:r w:rsidR="00C661AC" w:rsidRPr="00022BA7">
        <w:rPr>
          <w:noProof/>
        </w:rPr>
        <w:t>Figure</w:t>
      </w:r>
      <w:r w:rsidR="00C661AC" w:rsidRPr="00022BA7">
        <w:t xml:space="preserve"> </w:t>
      </w:r>
      <w:r w:rsidR="00C661AC">
        <w:rPr>
          <w:noProof/>
        </w:rPr>
        <w:t>20</w:t>
      </w:r>
      <w:r w:rsidRPr="00022BA7">
        <w:fldChar w:fldCharType="end"/>
      </w:r>
      <w:r w:rsidRPr="00022BA7">
        <w:t xml:space="preserve"> displays the distribution of unserved trip ratios for </w:t>
      </w:r>
      <w:r>
        <w:t>BES capacity tiers below p100</w:t>
      </w:r>
      <w:r w:rsidRPr="00022BA7">
        <w:t xml:space="preserve">. </w:t>
      </w:r>
      <w:r>
        <w:t>(</w:t>
      </w:r>
      <w:r w:rsidRPr="00022BA7">
        <w:t>The figure presents the distribution for BESp99, BESp95, and BESp90, as BESp100 covers all historical trips.</w:t>
      </w:r>
      <w:r>
        <w:t>)</w:t>
      </w:r>
      <w:r w:rsidRPr="00022BA7">
        <w:t xml:space="preserve"> The unserved trip ratio is calculated by dividing the sum of energy for unserved trips by the sum of energy for all trips. As the capacity tier decreases from BESp99 to BESp90, the number of ships with higher unserved trip ratios increases. Specifically, for BESp99, approximately 78% of ships have an unserved ratio of less than 25%, whereas around 81% of BESp90s have a ratio of unserved trips exceeding 50%.</w:t>
      </w:r>
    </w:p>
    <w:p w14:paraId="1F3D326F" w14:textId="71A65D55" w:rsidR="00026E20" w:rsidRDefault="00026E20">
      <w:pPr>
        <w:widowControl/>
        <w:spacing w:line="240" w:lineRule="auto"/>
        <w:rPr>
          <w:color w:val="1F497D" w:themeColor="text2"/>
        </w:rPr>
      </w:pPr>
      <w:r>
        <w:rPr>
          <w:color w:val="1F497D" w:themeColor="text2"/>
        </w:rPr>
        <w:br w:type="page"/>
      </w:r>
    </w:p>
    <w:p w14:paraId="36C6BF9A" w14:textId="77777777" w:rsidR="00026E20" w:rsidRPr="00022BA7" w:rsidRDefault="00026E20" w:rsidP="00026E20">
      <w:pPr>
        <w:keepNext/>
        <w:rPr>
          <w:lang w:eastAsia="ko-KR"/>
        </w:rPr>
      </w:pPr>
      <w:r>
        <w:rPr>
          <w:noProof/>
        </w:rPr>
        <w:drawing>
          <wp:inline distT="0" distB="0" distL="0" distR="0" wp14:anchorId="0727E6B8" wp14:editId="20CAC3D7">
            <wp:extent cx="5486400" cy="4352192"/>
            <wp:effectExtent l="0" t="0" r="0" b="0"/>
            <wp:docPr id="13" name="Graphic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96DAC541-7B7A-43D3-8B79-37D633B846F1}">
                          <asvg:svgBlip xmlns:asvg="http://schemas.microsoft.com/office/drawing/2016/SVG/main" r:embed="rId53"/>
                        </a:ext>
                      </a:extLst>
                    </a:blip>
                    <a:stretch>
                      <a:fillRect/>
                    </a:stretch>
                  </pic:blipFill>
                  <pic:spPr>
                    <a:xfrm>
                      <a:off x="0" y="0"/>
                      <a:ext cx="5486400" cy="4352192"/>
                    </a:xfrm>
                    <a:prstGeom prst="rect">
                      <a:avLst/>
                    </a:prstGeom>
                  </pic:spPr>
                </pic:pic>
              </a:graphicData>
            </a:graphic>
          </wp:inline>
        </w:drawing>
      </w:r>
    </w:p>
    <w:p w14:paraId="01B13AC2" w14:textId="3697DC5F" w:rsidR="00026E20" w:rsidRPr="00022BA7" w:rsidRDefault="000F5C2D" w:rsidP="00026E20">
      <w:pPr>
        <w:pStyle w:val="Caption"/>
        <w:rPr>
          <w:b w:val="0"/>
        </w:rPr>
      </w:pPr>
      <w:bookmarkStart w:id="178" w:name="_Ref141010987"/>
      <w:bookmarkStart w:id="179" w:name="_Toc145792555"/>
      <w:bookmarkStart w:id="180" w:name="_Toc148444202"/>
      <w:r>
        <w:t xml:space="preserve">Supplementary </w:t>
      </w:r>
      <w:r w:rsidR="00026E20" w:rsidRPr="00022BA7">
        <w:t xml:space="preserve">Figure </w:t>
      </w:r>
      <w:r w:rsidR="00590C69">
        <w:fldChar w:fldCharType="begin"/>
      </w:r>
      <w:r w:rsidR="00590C69">
        <w:instrText xml:space="preserve"> SEQ Figure \* ARABIC \s 1 </w:instrText>
      </w:r>
      <w:r w:rsidR="00590C69">
        <w:fldChar w:fldCharType="separate"/>
      </w:r>
      <w:r w:rsidR="00C661AC">
        <w:rPr>
          <w:noProof/>
        </w:rPr>
        <w:t>21</w:t>
      </w:r>
      <w:r w:rsidR="00590C69">
        <w:rPr>
          <w:noProof/>
        </w:rPr>
        <w:fldChar w:fldCharType="end"/>
      </w:r>
      <w:bookmarkEnd w:id="178"/>
      <w:r w:rsidR="00026E20" w:rsidRPr="00022BA7">
        <w:rPr>
          <w:noProof/>
        </w:rPr>
        <w:t>.</w:t>
      </w:r>
      <w:r w:rsidR="00026E20" w:rsidRPr="00022BA7">
        <w:t xml:space="preserve"> Distribution of Unserved Trip Ratio by Ship Type for Capacity Tier BES p95</w:t>
      </w:r>
      <w:bookmarkEnd w:id="179"/>
      <w:bookmarkEnd w:id="180"/>
    </w:p>
    <w:p w14:paraId="087823A2" w14:textId="03FBC15E" w:rsidR="009A2DA7" w:rsidRDefault="009A2DA7">
      <w:pPr>
        <w:widowControl/>
        <w:spacing w:line="240" w:lineRule="auto"/>
        <w:rPr>
          <w:color w:val="1F497D" w:themeColor="text2"/>
        </w:rPr>
      </w:pPr>
    </w:p>
    <w:p w14:paraId="2F97022D" w14:textId="58EA66F0" w:rsidR="009117B8" w:rsidRDefault="00882528" w:rsidP="00882528">
      <w:r w:rsidRPr="00022BA7">
        <w:t xml:space="preserve">The unserved trip ratio exhibits different trends across different ship types. </w:t>
      </w:r>
      <w:r w:rsidRPr="00022BA7">
        <w:fldChar w:fldCharType="begin"/>
      </w:r>
      <w:r w:rsidRPr="00022BA7">
        <w:instrText xml:space="preserve"> REF _Ref141010987 \h </w:instrText>
      </w:r>
      <w:r>
        <w:instrText xml:space="preserve"> \* MERGEFORMAT </w:instrText>
      </w:r>
      <w:r w:rsidRPr="00022BA7">
        <w:fldChar w:fldCharType="separate"/>
      </w:r>
      <w:r w:rsidR="00C661AC">
        <w:t xml:space="preserve">Supplementary </w:t>
      </w:r>
      <w:r w:rsidR="00C661AC" w:rsidRPr="00022BA7">
        <w:rPr>
          <w:noProof/>
        </w:rPr>
        <w:t>Figure</w:t>
      </w:r>
      <w:r w:rsidR="00C661AC" w:rsidRPr="00022BA7">
        <w:t xml:space="preserve"> </w:t>
      </w:r>
      <w:r w:rsidR="00C661AC">
        <w:rPr>
          <w:noProof/>
        </w:rPr>
        <w:t>21</w:t>
      </w:r>
      <w:r w:rsidRPr="00022BA7">
        <w:fldChar w:fldCharType="end"/>
      </w:r>
      <w:r w:rsidRPr="00022BA7">
        <w:t xml:space="preserve"> illustrates the unserved trip ratios of BESp95</w:t>
      </w:r>
      <w:r>
        <w:t>, demonstrating a clear disparity of the distribution among ship types</w:t>
      </w:r>
      <w:r w:rsidRPr="00022BA7">
        <w:t>. Passenger ships tend to display a smaller unserved energy ratio, with approximately 63% of ships having an unserved trip ratio below 25%. On the other hand, Tug (ATB) exhibits the highest unserved trip ratio compared to other vessel types, with around 66% of ships having a</w:t>
      </w:r>
      <w:r>
        <w:t>n unserved trip</w:t>
      </w:r>
      <w:r w:rsidRPr="00022BA7">
        <w:t xml:space="preserve"> ratio exceeding 50%. Tug (Coastal-Harbor) and Tug (Inland-Push Boats) types show similar distributions. Based on these results, it is appropriate to replace ICE</w:t>
      </w:r>
      <w:r>
        <w:t>s</w:t>
      </w:r>
      <w:r w:rsidRPr="00022BA7">
        <w:t xml:space="preserve"> with BES</w:t>
      </w:r>
      <w:r>
        <w:t>s</w:t>
      </w:r>
      <w:r w:rsidRPr="00022BA7">
        <w:t xml:space="preserve"> when the unserved trip ratio is lower. T</w:t>
      </w:r>
      <w:r>
        <w:t>hus, t</w:t>
      </w:r>
      <w:r w:rsidRPr="00022BA7">
        <w:t xml:space="preserve">hese findings indicate a </w:t>
      </w:r>
      <w:r>
        <w:t xml:space="preserve">highest to lowest </w:t>
      </w:r>
      <w:r w:rsidRPr="00022BA7">
        <w:t xml:space="preserve">suitability </w:t>
      </w:r>
      <w:r>
        <w:t xml:space="preserve">ranking for </w:t>
      </w:r>
      <w:r w:rsidRPr="00022BA7">
        <w:t>retrofitting ICEs to BESs</w:t>
      </w:r>
      <w:r>
        <w:t xml:space="preserve"> as follows</w:t>
      </w:r>
      <w:r w:rsidRPr="00022BA7">
        <w:t>: Passenger ships, Tug (Coastal-Harbor), Tug (Inland-Push Boats), and finally Tug (ATB).</w:t>
      </w:r>
    </w:p>
    <w:p w14:paraId="66A85DB5" w14:textId="2EF96C79" w:rsidR="000761FB" w:rsidRDefault="000761FB">
      <w:pPr>
        <w:widowControl/>
        <w:spacing w:line="240" w:lineRule="auto"/>
        <w:rPr>
          <w:color w:val="1F497D" w:themeColor="text2"/>
        </w:rPr>
      </w:pPr>
    </w:p>
    <w:p w14:paraId="7F674062" w14:textId="31C3395F" w:rsidR="000761FB" w:rsidRPr="00022BA7" w:rsidRDefault="0053407C" w:rsidP="000761FB">
      <w:pPr>
        <w:keepNext/>
      </w:pPr>
      <w:r>
        <w:rPr>
          <w:noProof/>
        </w:rPr>
        <w:drawing>
          <wp:inline distT="0" distB="0" distL="0" distR="0" wp14:anchorId="316C1017" wp14:editId="7BCE2C5E">
            <wp:extent cx="4572000" cy="4055696"/>
            <wp:effectExtent l="0" t="0" r="0" b="2540"/>
            <wp:docPr id="21"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96DAC541-7B7A-43D3-8B79-37D633B846F1}">
                          <asvg:svgBlip xmlns:asvg="http://schemas.microsoft.com/office/drawing/2016/SVG/main" r:embed="rId55"/>
                        </a:ext>
                      </a:extLst>
                    </a:blip>
                    <a:stretch>
                      <a:fillRect/>
                    </a:stretch>
                  </pic:blipFill>
                  <pic:spPr>
                    <a:xfrm>
                      <a:off x="0" y="0"/>
                      <a:ext cx="4572000" cy="4055696"/>
                    </a:xfrm>
                    <a:prstGeom prst="rect">
                      <a:avLst/>
                    </a:prstGeom>
                  </pic:spPr>
                </pic:pic>
              </a:graphicData>
            </a:graphic>
          </wp:inline>
        </w:drawing>
      </w:r>
    </w:p>
    <w:p w14:paraId="371DE683" w14:textId="41C3BDC7" w:rsidR="000761FB" w:rsidRPr="00022BA7" w:rsidRDefault="005C16B2" w:rsidP="000761FB">
      <w:pPr>
        <w:pStyle w:val="Caption"/>
      </w:pPr>
      <w:bookmarkStart w:id="181" w:name="_Ref141061875"/>
      <w:bookmarkStart w:id="182" w:name="_Toc145792544"/>
      <w:bookmarkStart w:id="183" w:name="_Toc148444203"/>
      <w:r>
        <w:t xml:space="preserve">Supplementary </w:t>
      </w:r>
      <w:r w:rsidR="000761FB" w:rsidRPr="00022BA7">
        <w:t xml:space="preserve">Figure </w:t>
      </w:r>
      <w:r w:rsidR="00590C69">
        <w:fldChar w:fldCharType="begin"/>
      </w:r>
      <w:r w:rsidR="00590C69">
        <w:instrText xml:space="preserve"> SEQ Figure \* ARABIC \s 1 </w:instrText>
      </w:r>
      <w:r w:rsidR="00590C69">
        <w:fldChar w:fldCharType="separate"/>
      </w:r>
      <w:r w:rsidR="00C661AC">
        <w:rPr>
          <w:noProof/>
        </w:rPr>
        <w:t>22</w:t>
      </w:r>
      <w:r w:rsidR="00590C69">
        <w:rPr>
          <w:noProof/>
        </w:rPr>
        <w:fldChar w:fldCharType="end"/>
      </w:r>
      <w:bookmarkEnd w:id="181"/>
      <w:r w:rsidR="000761FB" w:rsidRPr="00022BA7">
        <w:t xml:space="preserve">. </w:t>
      </w:r>
      <w:r w:rsidR="000761FB" w:rsidRPr="00BF78C9">
        <w:t xml:space="preserve">Average </w:t>
      </w:r>
      <w:r w:rsidR="000761FB">
        <w:t xml:space="preserve">LCOT of </w:t>
      </w:r>
      <w:r w:rsidR="000761FB" w:rsidRPr="00BF78C9">
        <w:t xml:space="preserve">ICE Ships and BESs in 2022 under </w:t>
      </w:r>
      <w:r w:rsidR="000761FB">
        <w:t xml:space="preserve">an </w:t>
      </w:r>
      <w:r w:rsidR="000761FB" w:rsidRPr="00BF78C9">
        <w:t xml:space="preserve">INT </w:t>
      </w:r>
      <w:r w:rsidR="000761FB">
        <w:t>Cost</w:t>
      </w:r>
      <w:r w:rsidR="000761FB" w:rsidRPr="00BF78C9">
        <w:t xml:space="preserve"> Scenario</w:t>
      </w:r>
      <w:bookmarkEnd w:id="182"/>
      <w:bookmarkEnd w:id="183"/>
    </w:p>
    <w:p w14:paraId="0AA1E1FC" w14:textId="5D988D5B" w:rsidR="00026E20" w:rsidRDefault="00026E20">
      <w:pPr>
        <w:widowControl/>
        <w:spacing w:line="240" w:lineRule="auto"/>
        <w:rPr>
          <w:color w:val="1F497D" w:themeColor="text2"/>
        </w:rPr>
      </w:pPr>
    </w:p>
    <w:p w14:paraId="318EF04E" w14:textId="297CBC11" w:rsidR="009260D7" w:rsidRPr="00022BA7" w:rsidRDefault="009260D7" w:rsidP="009260D7">
      <w:pPr>
        <w:rPr>
          <w:lang w:eastAsia="ko-KR"/>
        </w:rPr>
      </w:pPr>
      <w:r w:rsidRPr="00022BA7">
        <w:rPr>
          <w:lang w:eastAsia="ko-KR"/>
        </w:rPr>
        <w:fldChar w:fldCharType="begin"/>
      </w:r>
      <w:r w:rsidRPr="00022BA7">
        <w:rPr>
          <w:lang w:eastAsia="ko-KR"/>
        </w:rPr>
        <w:instrText xml:space="preserve"> REF _Ref141061875 \h </w:instrText>
      </w:r>
      <w:r>
        <w:rPr>
          <w:lang w:eastAsia="ko-KR"/>
        </w:rPr>
        <w:instrText xml:space="preserve"> \* MERGEFORMAT </w:instrText>
      </w:r>
      <w:r w:rsidRPr="00022BA7">
        <w:rPr>
          <w:lang w:eastAsia="ko-KR"/>
        </w:rPr>
      </w:r>
      <w:r w:rsidRPr="00022BA7">
        <w:rPr>
          <w:lang w:eastAsia="ko-KR"/>
        </w:rPr>
        <w:fldChar w:fldCharType="separate"/>
      </w:r>
      <w:r w:rsidR="00C661AC">
        <w:t xml:space="preserve">Supplementary </w:t>
      </w:r>
      <w:r w:rsidR="00C661AC" w:rsidRPr="00022BA7">
        <w:rPr>
          <w:noProof/>
        </w:rPr>
        <w:t>Figure</w:t>
      </w:r>
      <w:r w:rsidR="00C661AC" w:rsidRPr="00022BA7">
        <w:t xml:space="preserve"> </w:t>
      </w:r>
      <w:r w:rsidR="00C661AC">
        <w:rPr>
          <w:noProof/>
        </w:rPr>
        <w:t>22</w:t>
      </w:r>
      <w:r w:rsidRPr="00022BA7">
        <w:rPr>
          <w:lang w:eastAsia="ko-KR"/>
        </w:rPr>
        <w:fldChar w:fldCharType="end"/>
      </w:r>
      <w:r w:rsidRPr="00022BA7">
        <w:rPr>
          <w:lang w:eastAsia="ko-KR"/>
        </w:rPr>
        <w:t xml:space="preserve"> shows the average LCOT breakdown for 2022. ICE ships have the lowest LCOT, followed by BESp90, BESp95, BESp99, and BESp100. For ICE ships, the emission cost accounts for 63% of the total LCOT, with 54% attributed to CO</w:t>
      </w:r>
      <w:r w:rsidRPr="00995920">
        <w:rPr>
          <w:vertAlign w:val="subscript"/>
          <w:lang w:eastAsia="ko-KR"/>
        </w:rPr>
        <w:t>2</w:t>
      </w:r>
      <w:r w:rsidRPr="00022BA7">
        <w:rPr>
          <w:lang w:eastAsia="ko-KR"/>
        </w:rPr>
        <w:t>e social cost and 9% to air pollution cost (NO</w:t>
      </w:r>
      <w:r w:rsidRPr="00995920">
        <w:rPr>
          <w:vertAlign w:val="subscript"/>
          <w:lang w:eastAsia="ko-KR"/>
        </w:rPr>
        <w:t>x</w:t>
      </w:r>
      <w:r w:rsidRPr="00022BA7">
        <w:rPr>
          <w:lang w:eastAsia="ko-KR"/>
        </w:rPr>
        <w:t xml:space="preserve"> and SO</w:t>
      </w:r>
      <w:r w:rsidRPr="00995920">
        <w:rPr>
          <w:vertAlign w:val="subscript"/>
          <w:lang w:eastAsia="ko-KR"/>
        </w:rPr>
        <w:t>x</w:t>
      </w:r>
      <w:r w:rsidRPr="00022BA7">
        <w:rPr>
          <w:lang w:eastAsia="ko-KR"/>
        </w:rPr>
        <w:t>). Direct costs, excluding emissions, make up</w:t>
      </w:r>
      <w:r>
        <w:rPr>
          <w:lang w:eastAsia="ko-KR"/>
        </w:rPr>
        <w:t xml:space="preserve"> only</w:t>
      </w:r>
      <w:r w:rsidRPr="00022BA7">
        <w:rPr>
          <w:lang w:eastAsia="ko-KR"/>
        </w:rPr>
        <w:t xml:space="preserve"> </w:t>
      </w:r>
      <w:r w:rsidR="00BE0048" w:rsidRPr="00022BA7">
        <w:rPr>
          <w:lang w:eastAsia="ko-KR"/>
        </w:rPr>
        <w:t>3</w:t>
      </w:r>
      <w:r w:rsidR="00BE0048">
        <w:rPr>
          <w:lang w:eastAsia="ko-KR"/>
        </w:rPr>
        <w:t>7</w:t>
      </w:r>
      <w:r w:rsidRPr="00022BA7">
        <w:rPr>
          <w:lang w:eastAsia="ko-KR"/>
        </w:rPr>
        <w:t>% of the total LCOT.</w:t>
      </w:r>
    </w:p>
    <w:p w14:paraId="53A5BB99" w14:textId="77777777" w:rsidR="009260D7" w:rsidRPr="00022BA7" w:rsidRDefault="009260D7" w:rsidP="009260D7">
      <w:pPr>
        <w:rPr>
          <w:lang w:eastAsia="ko-KR"/>
        </w:rPr>
      </w:pPr>
    </w:p>
    <w:p w14:paraId="48F6031E" w14:textId="24FB46D8" w:rsidR="000761FB" w:rsidRDefault="009260D7" w:rsidP="00514323">
      <w:pPr>
        <w:rPr>
          <w:color w:val="1F497D" w:themeColor="text2"/>
        </w:rPr>
      </w:pPr>
      <w:r w:rsidRPr="00022BA7">
        <w:rPr>
          <w:lang w:eastAsia="ko-KR"/>
        </w:rPr>
        <w:t>BESs exhibit a clear decreasing cost trend as the capacity tier decreases</w:t>
      </w:r>
      <w:r>
        <w:rPr>
          <w:lang w:eastAsia="ko-KR"/>
        </w:rPr>
        <w:t>, while average cost in every tier is still more expensive than that of ICE</w:t>
      </w:r>
      <w:r w:rsidRPr="00022BA7">
        <w:rPr>
          <w:lang w:eastAsia="ko-KR"/>
        </w:rPr>
        <w:t>. This trend is primarily driven by battery cost</w:t>
      </w:r>
      <w:r>
        <w:rPr>
          <w:lang w:eastAsia="ko-KR"/>
        </w:rPr>
        <w:t xml:space="preserve"> reductions</w:t>
      </w:r>
      <w:r w:rsidRPr="00022BA7">
        <w:rPr>
          <w:lang w:eastAsia="ko-KR"/>
        </w:rPr>
        <w:t xml:space="preserve"> resulting from smaller</w:t>
      </w:r>
      <w:r>
        <w:rPr>
          <w:lang w:eastAsia="ko-KR"/>
        </w:rPr>
        <w:t xml:space="preserve"> battery</w:t>
      </w:r>
      <w:r w:rsidRPr="00022BA7">
        <w:rPr>
          <w:lang w:eastAsia="ko-KR"/>
        </w:rPr>
        <w:t xml:space="preserve"> </w:t>
      </w:r>
      <w:r>
        <w:rPr>
          <w:lang w:eastAsia="ko-KR"/>
        </w:rPr>
        <w:t>sizes</w:t>
      </w:r>
      <w:r w:rsidRPr="00022BA7">
        <w:rPr>
          <w:lang w:eastAsia="ko-KR"/>
        </w:rPr>
        <w:t xml:space="preserve">. For instance, </w:t>
      </w:r>
      <w:r>
        <w:rPr>
          <w:lang w:eastAsia="ko-KR"/>
        </w:rPr>
        <w:t>for</w:t>
      </w:r>
      <w:r w:rsidRPr="00022BA7">
        <w:rPr>
          <w:lang w:eastAsia="ko-KR"/>
        </w:rPr>
        <w:t xml:space="preserve"> BESp100, the combined battery cost and net battery cost after SLB reimbursements are $</w:t>
      </w:r>
      <w:r>
        <w:rPr>
          <w:lang w:eastAsia="ko-KR"/>
        </w:rPr>
        <w:t>51.5</w:t>
      </w:r>
      <w:r w:rsidRPr="00022BA7">
        <w:rPr>
          <w:lang w:eastAsia="ko-KR"/>
        </w:rPr>
        <w:t>/</w:t>
      </w:r>
      <w:r w:rsidRPr="008A725C">
        <w:rPr>
          <w:lang w:eastAsia="ko-KR"/>
        </w:rPr>
        <w:t>km ($95.5/nm) – 64% of BESp100 costs</w:t>
      </w:r>
      <w:r w:rsidRPr="008A725C" w:rsidDel="002D35B9">
        <w:rPr>
          <w:lang w:eastAsia="ko-KR"/>
        </w:rPr>
        <w:t xml:space="preserve"> </w:t>
      </w:r>
      <w:r w:rsidRPr="008A725C">
        <w:rPr>
          <w:lang w:eastAsia="ko-KR"/>
        </w:rPr>
        <w:t>–</w:t>
      </w:r>
      <w:r>
        <w:rPr>
          <w:lang w:eastAsia="ko-KR"/>
        </w:rPr>
        <w:t xml:space="preserve"> </w:t>
      </w:r>
      <w:r w:rsidRPr="008A725C">
        <w:rPr>
          <w:lang w:eastAsia="ko-KR"/>
        </w:rPr>
        <w:t xml:space="preserve">whereas </w:t>
      </w:r>
      <w:r>
        <w:rPr>
          <w:lang w:eastAsia="ko-KR"/>
        </w:rPr>
        <w:t>for</w:t>
      </w:r>
      <w:r w:rsidRPr="008A725C">
        <w:rPr>
          <w:lang w:eastAsia="ko-KR"/>
        </w:rPr>
        <w:t xml:space="preserve"> BESp90 this cost is significantly lower at $12.3/km ($22.8/nm). Reimbursements from SLBs substantially alleviate the burden of battery cost, making </w:t>
      </w:r>
      <w:r>
        <w:rPr>
          <w:lang w:eastAsia="ko-KR"/>
        </w:rPr>
        <w:t>BESs</w:t>
      </w:r>
      <w:r w:rsidRPr="008A725C">
        <w:rPr>
          <w:lang w:eastAsia="ko-KR"/>
        </w:rPr>
        <w:t xml:space="preserve"> more</w:t>
      </w:r>
      <w:r w:rsidRPr="00022BA7">
        <w:rPr>
          <w:lang w:eastAsia="ko-KR"/>
        </w:rPr>
        <w:t xml:space="preserve"> economically viable. Initially, battery cost represented a substantial portion of the total LCOT, ranging from 1</w:t>
      </w:r>
      <w:r>
        <w:rPr>
          <w:lang w:eastAsia="ko-KR"/>
        </w:rPr>
        <w:t>2</w:t>
      </w:r>
      <w:r w:rsidR="00732028">
        <w:rPr>
          <w:lang w:eastAsia="ko-KR"/>
        </w:rPr>
        <w:t>1</w:t>
      </w:r>
      <w:r w:rsidRPr="00022BA7">
        <w:rPr>
          <w:lang w:eastAsia="ko-KR"/>
        </w:rPr>
        <w:t xml:space="preserve">% to </w:t>
      </w:r>
      <w:r w:rsidR="00732028">
        <w:rPr>
          <w:lang w:eastAsia="ko-KR"/>
        </w:rPr>
        <w:t>68</w:t>
      </w:r>
      <w:r w:rsidRPr="00022BA7">
        <w:rPr>
          <w:lang w:eastAsia="ko-KR"/>
        </w:rPr>
        <w:t xml:space="preserve">%. However, after factoring in </w:t>
      </w:r>
      <w:r>
        <w:rPr>
          <w:lang w:eastAsia="ko-KR"/>
        </w:rPr>
        <w:t>SLB</w:t>
      </w:r>
      <w:r w:rsidRPr="00022BA7">
        <w:rPr>
          <w:lang w:eastAsia="ko-KR"/>
        </w:rPr>
        <w:t xml:space="preserve"> reimbursements, this proportion decreases to a range of </w:t>
      </w:r>
      <w:r>
        <w:rPr>
          <w:lang w:eastAsia="ko-KR"/>
        </w:rPr>
        <w:t>71</w:t>
      </w:r>
      <w:r w:rsidRPr="00022BA7">
        <w:rPr>
          <w:lang w:eastAsia="ko-KR"/>
        </w:rPr>
        <w:t>% to 3</w:t>
      </w:r>
      <w:r>
        <w:rPr>
          <w:lang w:eastAsia="ko-KR"/>
        </w:rPr>
        <w:t>8</w:t>
      </w:r>
      <w:r w:rsidRPr="00022BA7">
        <w:rPr>
          <w:lang w:eastAsia="ko-KR"/>
        </w:rPr>
        <w:t>%, where SLB values account for approximately 42% to 4</w:t>
      </w:r>
      <w:r>
        <w:rPr>
          <w:lang w:eastAsia="ko-KR"/>
        </w:rPr>
        <w:t>6</w:t>
      </w:r>
      <w:r w:rsidRPr="00022BA7">
        <w:rPr>
          <w:lang w:eastAsia="ko-KR"/>
        </w:rPr>
        <w:t xml:space="preserve">% of the battery </w:t>
      </w:r>
      <w:r>
        <w:rPr>
          <w:lang w:eastAsia="ko-KR"/>
        </w:rPr>
        <w:t xml:space="preserve">system </w:t>
      </w:r>
      <w:r w:rsidRPr="00022BA7">
        <w:rPr>
          <w:lang w:eastAsia="ko-KR"/>
        </w:rPr>
        <w:t>cost. The variation in the proportion of SLB values to battery cost is attributed to the fact that lower capacity tiers tend to have shorter lifespans, resulting in less</w:t>
      </w:r>
      <w:r>
        <w:rPr>
          <w:lang w:eastAsia="ko-KR"/>
        </w:rPr>
        <w:t xml:space="preserve"> of a decrease in</w:t>
      </w:r>
      <w:r w:rsidRPr="00022BA7">
        <w:rPr>
          <w:lang w:eastAsia="ko-KR"/>
        </w:rPr>
        <w:t xml:space="preserve"> battery system </w:t>
      </w:r>
      <w:r>
        <w:rPr>
          <w:lang w:eastAsia="ko-KR"/>
        </w:rPr>
        <w:t>costs</w:t>
      </w:r>
      <w:r w:rsidRPr="00022BA7">
        <w:rPr>
          <w:lang w:eastAsia="ko-KR"/>
        </w:rPr>
        <w:t xml:space="preserve"> </w:t>
      </w:r>
      <w:r>
        <w:rPr>
          <w:lang w:eastAsia="ko-KR"/>
        </w:rPr>
        <w:t>(</w:t>
      </w:r>
      <w:r w:rsidRPr="00022BA7">
        <w:rPr>
          <w:lang w:eastAsia="ko-KR"/>
        </w:rPr>
        <w:t>and higher SLB values</w:t>
      </w:r>
      <w:r>
        <w:rPr>
          <w:lang w:eastAsia="ko-KR"/>
        </w:rPr>
        <w:t>)</w:t>
      </w:r>
      <w:r w:rsidRPr="00022BA7">
        <w:rPr>
          <w:lang w:eastAsia="ko-KR"/>
        </w:rPr>
        <w:t>. As the capacity tier decreases, other costs such as CO</w:t>
      </w:r>
      <w:r w:rsidRPr="006A57F6">
        <w:rPr>
          <w:vertAlign w:val="subscript"/>
          <w:lang w:eastAsia="ko-KR"/>
        </w:rPr>
        <w:t>2</w:t>
      </w:r>
      <w:r w:rsidRPr="00022BA7">
        <w:rPr>
          <w:lang w:eastAsia="ko-KR"/>
        </w:rPr>
        <w:t xml:space="preserve">e social cost, electricity cost, and O&amp;M cost do not vary significantly since they are proportional to energy consumption, which remains relatively constant on a per-kilometer basis. </w:t>
      </w:r>
      <w:r>
        <w:rPr>
          <w:lang w:eastAsia="ko-KR"/>
        </w:rPr>
        <w:t>Further, as the capacity tier decreases, o</w:t>
      </w:r>
      <w:r w:rsidRPr="00022BA7">
        <w:rPr>
          <w:lang w:eastAsia="ko-KR"/>
        </w:rPr>
        <w:t xml:space="preserve">verall </w:t>
      </w:r>
      <w:r>
        <w:rPr>
          <w:lang w:eastAsia="ko-KR"/>
        </w:rPr>
        <w:t xml:space="preserve">BES </w:t>
      </w:r>
      <w:r w:rsidRPr="00022BA7">
        <w:rPr>
          <w:lang w:eastAsia="ko-KR"/>
        </w:rPr>
        <w:t>cost</w:t>
      </w:r>
      <w:r>
        <w:rPr>
          <w:lang w:eastAsia="ko-KR"/>
        </w:rPr>
        <w:t>s</w:t>
      </w:r>
      <w:r w:rsidRPr="00022BA7">
        <w:rPr>
          <w:lang w:eastAsia="ko-KR"/>
        </w:rPr>
        <w:t xml:space="preserve"> </w:t>
      </w:r>
      <w:r>
        <w:rPr>
          <w:lang w:eastAsia="ko-KR"/>
        </w:rPr>
        <w:t xml:space="preserve">decline, and </w:t>
      </w:r>
      <w:r w:rsidRPr="00022BA7">
        <w:rPr>
          <w:lang w:eastAsia="ko-KR"/>
        </w:rPr>
        <w:t>the</w:t>
      </w:r>
      <w:r>
        <w:rPr>
          <w:lang w:eastAsia="ko-KR"/>
        </w:rPr>
        <w:t xml:space="preserve"> above-mentioned</w:t>
      </w:r>
      <w:r w:rsidRPr="00022BA7">
        <w:rPr>
          <w:lang w:eastAsia="ko-KR"/>
        </w:rPr>
        <w:t xml:space="preserve"> costs</w:t>
      </w:r>
      <w:r>
        <w:rPr>
          <w:lang w:eastAsia="ko-KR"/>
        </w:rPr>
        <w:t xml:space="preserve"> represent</w:t>
      </w:r>
      <w:r w:rsidRPr="00022BA7">
        <w:rPr>
          <w:lang w:eastAsia="ko-KR"/>
        </w:rPr>
        <w:t xml:space="preserve"> a</w:t>
      </w:r>
      <w:r>
        <w:rPr>
          <w:lang w:eastAsia="ko-KR"/>
        </w:rPr>
        <w:t>n</w:t>
      </w:r>
      <w:r w:rsidRPr="00022BA7">
        <w:rPr>
          <w:lang w:eastAsia="ko-KR"/>
        </w:rPr>
        <w:t xml:space="preserve"> </w:t>
      </w:r>
      <w:r>
        <w:rPr>
          <w:lang w:eastAsia="ko-KR"/>
        </w:rPr>
        <w:t xml:space="preserve">increasingly larger </w:t>
      </w:r>
      <w:r w:rsidRPr="00022BA7">
        <w:rPr>
          <w:lang w:eastAsia="ko-KR"/>
        </w:rPr>
        <w:t>proportion of total LCOT.</w:t>
      </w:r>
      <w:r w:rsidR="000761FB">
        <w:rPr>
          <w:color w:val="1F497D" w:themeColor="text2"/>
        </w:rPr>
        <w:br w:type="page"/>
      </w:r>
    </w:p>
    <w:p w14:paraId="1F9BB8C6" w14:textId="56D99AFE" w:rsidR="000761FB" w:rsidRDefault="000761FB" w:rsidP="000761FB">
      <w:pPr>
        <w:keepNext/>
      </w:pPr>
      <w:r w:rsidRPr="00927575">
        <w:rPr>
          <w:noProof/>
        </w:rPr>
        <w:t xml:space="preserve"> </w:t>
      </w:r>
      <w:r w:rsidR="0053407C">
        <w:rPr>
          <w:noProof/>
        </w:rPr>
        <w:drawing>
          <wp:inline distT="0" distB="0" distL="0" distR="0" wp14:anchorId="6259DA83" wp14:editId="2ADAD079">
            <wp:extent cx="4572000" cy="4051788"/>
            <wp:effectExtent l="0" t="0" r="0" b="6350"/>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96DAC541-7B7A-43D3-8B79-37D633B846F1}">
                          <asvg:svgBlip xmlns:asvg="http://schemas.microsoft.com/office/drawing/2016/SVG/main" r:embed="rId57"/>
                        </a:ext>
                      </a:extLst>
                    </a:blip>
                    <a:stretch>
                      <a:fillRect/>
                    </a:stretch>
                  </pic:blipFill>
                  <pic:spPr>
                    <a:xfrm>
                      <a:off x="0" y="0"/>
                      <a:ext cx="4572000" cy="4051788"/>
                    </a:xfrm>
                    <a:prstGeom prst="rect">
                      <a:avLst/>
                    </a:prstGeom>
                  </pic:spPr>
                </pic:pic>
              </a:graphicData>
            </a:graphic>
          </wp:inline>
        </w:drawing>
      </w:r>
    </w:p>
    <w:p w14:paraId="340C457E" w14:textId="751BE9E5" w:rsidR="000761FB" w:rsidRDefault="000761FB" w:rsidP="000761FB">
      <w:pPr>
        <w:keepNext/>
      </w:pPr>
    </w:p>
    <w:p w14:paraId="12A198FA" w14:textId="69903833" w:rsidR="000761FB" w:rsidRDefault="005C16B2" w:rsidP="000761FB">
      <w:pPr>
        <w:pStyle w:val="Caption"/>
        <w:rPr>
          <w:lang w:eastAsia="ko-KR"/>
        </w:rPr>
      </w:pPr>
      <w:bookmarkStart w:id="184" w:name="_Ref141672317"/>
      <w:bookmarkStart w:id="185" w:name="_Toc145792545"/>
      <w:bookmarkStart w:id="186" w:name="_Toc148444204"/>
      <w:r>
        <w:t xml:space="preserve">Supplementary </w:t>
      </w:r>
      <w:r w:rsidR="000761FB" w:rsidRPr="00022BA7">
        <w:t xml:space="preserve">Figure </w:t>
      </w:r>
      <w:r w:rsidR="00590C69">
        <w:fldChar w:fldCharType="begin"/>
      </w:r>
      <w:r w:rsidR="00590C69">
        <w:instrText xml:space="preserve"> SEQ Figure \* ARABIC \s 1 </w:instrText>
      </w:r>
      <w:r w:rsidR="00590C69">
        <w:fldChar w:fldCharType="separate"/>
      </w:r>
      <w:r w:rsidR="00C661AC">
        <w:rPr>
          <w:noProof/>
        </w:rPr>
        <w:t>23</w:t>
      </w:r>
      <w:r w:rsidR="00590C69">
        <w:rPr>
          <w:noProof/>
        </w:rPr>
        <w:fldChar w:fldCharType="end"/>
      </w:r>
      <w:bookmarkEnd w:id="184"/>
      <w:r w:rsidR="000761FB" w:rsidRPr="00022BA7">
        <w:t xml:space="preserve">. Average </w:t>
      </w:r>
      <w:r w:rsidR="000761FB">
        <w:t xml:space="preserve">LCOT for </w:t>
      </w:r>
      <w:r w:rsidR="000761FB" w:rsidRPr="002154B6">
        <w:t xml:space="preserve">ICE Ships and BESs in 2035 under </w:t>
      </w:r>
      <w:r w:rsidR="000761FB">
        <w:t xml:space="preserve">a </w:t>
      </w:r>
      <w:r w:rsidR="000761FB" w:rsidRPr="002154B6">
        <w:t xml:space="preserve">95% Electricity Decarbonization by 2050 (DEC) Emission Scenario and INT </w:t>
      </w:r>
      <w:r w:rsidR="000761FB">
        <w:t>Cost</w:t>
      </w:r>
      <w:r w:rsidR="000761FB" w:rsidRPr="002154B6">
        <w:t xml:space="preserve"> Scenario</w:t>
      </w:r>
      <w:r w:rsidR="002E2EE3">
        <w:t xml:space="preserve"> </w:t>
      </w:r>
      <w:proofErr w:type="gramStart"/>
      <w:r w:rsidR="000761FB">
        <w:t>B</w:t>
      </w:r>
      <w:r w:rsidR="000761FB" w:rsidRPr="002154B6">
        <w:t>y</w:t>
      </w:r>
      <w:proofErr w:type="gramEnd"/>
      <w:r w:rsidR="000761FB" w:rsidRPr="002154B6">
        <w:t xml:space="preserve"> Capacity Tier</w:t>
      </w:r>
      <w:bookmarkEnd w:id="185"/>
      <w:bookmarkEnd w:id="186"/>
    </w:p>
    <w:p w14:paraId="2C56E0A3" w14:textId="77777777" w:rsidR="0064749D" w:rsidRDefault="0064749D">
      <w:pPr>
        <w:widowControl/>
        <w:spacing w:line="240" w:lineRule="auto"/>
        <w:rPr>
          <w:color w:val="1F497D" w:themeColor="text2"/>
        </w:rPr>
      </w:pPr>
    </w:p>
    <w:p w14:paraId="1BF49C57" w14:textId="184C55C6" w:rsidR="0064749D" w:rsidRPr="00022BA7" w:rsidRDefault="0064749D" w:rsidP="0064749D">
      <w:pPr>
        <w:rPr>
          <w:lang w:eastAsia="ko-KR"/>
        </w:rPr>
      </w:pPr>
      <w:r>
        <w:fldChar w:fldCharType="begin"/>
      </w:r>
      <w:r>
        <w:instrText xml:space="preserve"> REF _Ref141672317 \h </w:instrText>
      </w:r>
      <w:r>
        <w:fldChar w:fldCharType="separate"/>
      </w:r>
      <w:r w:rsidR="00C661AC">
        <w:t xml:space="preserve">Supplementary </w:t>
      </w:r>
      <w:r w:rsidR="00C661AC" w:rsidRPr="00022BA7">
        <w:t xml:space="preserve">Figure </w:t>
      </w:r>
      <w:r w:rsidR="00C661AC">
        <w:rPr>
          <w:noProof/>
        </w:rPr>
        <w:t>23</w:t>
      </w:r>
      <w:r>
        <w:fldChar w:fldCharType="end"/>
      </w:r>
      <w:r w:rsidRPr="00022BA7">
        <w:t xml:space="preserve"> illustrates the LCOT comparison between ICE</w:t>
      </w:r>
      <w:r>
        <w:t>s</w:t>
      </w:r>
      <w:r w:rsidRPr="00022BA7">
        <w:t xml:space="preserve"> and BES</w:t>
      </w:r>
      <w:r>
        <w:t>s</w:t>
      </w:r>
      <w:r w:rsidRPr="00022BA7">
        <w:t xml:space="preserve"> </w:t>
      </w:r>
      <w:r>
        <w:t>in 2035 under</w:t>
      </w:r>
      <w:r w:rsidRPr="00022BA7">
        <w:t xml:space="preserve"> the </w:t>
      </w:r>
      <w:r>
        <w:t>INT</w:t>
      </w:r>
      <w:r w:rsidRPr="00022BA7">
        <w:t xml:space="preserve"> </w:t>
      </w:r>
      <w:r>
        <w:t xml:space="preserve">cost scenario </w:t>
      </w:r>
      <w:r w:rsidRPr="00022BA7">
        <w:t xml:space="preserve">and </w:t>
      </w:r>
      <w:r>
        <w:t xml:space="preserve">the </w:t>
      </w:r>
      <w:r w:rsidRPr="00022BA7">
        <w:t>95</w:t>
      </w:r>
      <w:r w:rsidRPr="00022BA7">
        <w:rPr>
          <w:lang w:eastAsia="ko-KR"/>
        </w:rPr>
        <w:t xml:space="preserve">% Electricity Decarbonization by 2050 </w:t>
      </w:r>
      <w:r>
        <w:rPr>
          <w:lang w:eastAsia="ko-KR"/>
        </w:rPr>
        <w:t>s</w:t>
      </w:r>
      <w:r w:rsidRPr="00022BA7">
        <w:rPr>
          <w:lang w:eastAsia="ko-KR"/>
        </w:rPr>
        <w:t>cenario. In 2035, all BES</w:t>
      </w:r>
      <w:r>
        <w:rPr>
          <w:lang w:eastAsia="ko-KR"/>
        </w:rPr>
        <w:t xml:space="preserve"> </w:t>
      </w:r>
      <w:r w:rsidRPr="008677FB">
        <w:rPr>
          <w:lang w:eastAsia="ko-KR"/>
        </w:rPr>
        <w:t>capacity tiers</w:t>
      </w:r>
      <w:r w:rsidRPr="00022BA7">
        <w:rPr>
          <w:lang w:eastAsia="ko-KR"/>
        </w:rPr>
        <w:t>, except for BESp100, showed lower costs than ICE</w:t>
      </w:r>
      <w:r>
        <w:rPr>
          <w:lang w:eastAsia="ko-KR"/>
        </w:rPr>
        <w:t>s in average</w:t>
      </w:r>
      <w:r w:rsidRPr="00022BA7">
        <w:rPr>
          <w:lang w:eastAsia="ko-KR"/>
        </w:rPr>
        <w:t xml:space="preserve">. Compared to 2022, ICE </w:t>
      </w:r>
      <w:r>
        <w:rPr>
          <w:lang w:eastAsia="ko-KR"/>
        </w:rPr>
        <w:t xml:space="preserve">average </w:t>
      </w:r>
      <w:r w:rsidRPr="00022BA7">
        <w:rPr>
          <w:lang w:eastAsia="ko-KR"/>
        </w:rPr>
        <w:t>cost</w:t>
      </w:r>
      <w:r>
        <w:rPr>
          <w:lang w:eastAsia="ko-KR"/>
        </w:rPr>
        <w:t>s</w:t>
      </w:r>
      <w:r w:rsidRPr="00022BA7">
        <w:rPr>
          <w:lang w:eastAsia="ko-KR"/>
        </w:rPr>
        <w:t xml:space="preserve"> increased by $4.9/km</w:t>
      </w:r>
      <w:r>
        <w:rPr>
          <w:lang w:eastAsia="ko-KR"/>
        </w:rPr>
        <w:t xml:space="preserve"> ($9.1/nm)</w:t>
      </w:r>
      <w:r w:rsidRPr="00022BA7">
        <w:rPr>
          <w:lang w:eastAsia="ko-KR"/>
        </w:rPr>
        <w:t>, with the most significant driver being CO</w:t>
      </w:r>
      <w:r w:rsidRPr="008677FB">
        <w:rPr>
          <w:vertAlign w:val="subscript"/>
          <w:lang w:eastAsia="ko-KR"/>
        </w:rPr>
        <w:t>2</w:t>
      </w:r>
      <w:r w:rsidRPr="00022BA7">
        <w:rPr>
          <w:lang w:eastAsia="ko-KR"/>
        </w:rPr>
        <w:t>e social cost</w:t>
      </w:r>
      <w:r>
        <w:rPr>
          <w:lang w:eastAsia="ko-KR"/>
        </w:rPr>
        <w:t>s</w:t>
      </w:r>
      <w:r w:rsidRPr="00022BA7">
        <w:rPr>
          <w:lang w:eastAsia="ko-KR"/>
        </w:rPr>
        <w:t xml:space="preserve">. However, </w:t>
      </w:r>
      <w:r w:rsidR="00B56CEC">
        <w:rPr>
          <w:lang w:eastAsia="ko-KR"/>
        </w:rPr>
        <w:t xml:space="preserve">ICE’s </w:t>
      </w:r>
      <w:r w:rsidRPr="00022BA7">
        <w:rPr>
          <w:lang w:eastAsia="ko-KR"/>
        </w:rPr>
        <w:t xml:space="preserve">air pollution costs decreased due to </w:t>
      </w:r>
      <w:r>
        <w:rPr>
          <w:lang w:eastAsia="ko-KR"/>
        </w:rPr>
        <w:t xml:space="preserve">an </w:t>
      </w:r>
      <w:r w:rsidRPr="00022BA7">
        <w:rPr>
          <w:lang w:eastAsia="ko-KR"/>
        </w:rPr>
        <w:t>assumed 65% reduction in NO</w:t>
      </w:r>
      <w:r w:rsidRPr="008677FB">
        <w:rPr>
          <w:vertAlign w:val="subscript"/>
          <w:lang w:eastAsia="ko-KR"/>
        </w:rPr>
        <w:t>x</w:t>
      </w:r>
      <w:r w:rsidRPr="00022BA7">
        <w:rPr>
          <w:lang w:eastAsia="ko-KR"/>
        </w:rPr>
        <w:t xml:space="preserve"> emissions and </w:t>
      </w:r>
      <w:r>
        <w:rPr>
          <w:lang w:eastAsia="ko-KR"/>
        </w:rPr>
        <w:t>zero</w:t>
      </w:r>
      <w:r w:rsidRPr="00022BA7">
        <w:rPr>
          <w:lang w:eastAsia="ko-KR"/>
        </w:rPr>
        <w:t xml:space="preserve"> SO</w:t>
      </w:r>
      <w:r w:rsidRPr="008677FB">
        <w:rPr>
          <w:vertAlign w:val="subscript"/>
          <w:lang w:eastAsia="ko-KR"/>
        </w:rPr>
        <w:t>x</w:t>
      </w:r>
      <w:r w:rsidRPr="00022BA7">
        <w:rPr>
          <w:lang w:eastAsia="ko-KR"/>
        </w:rPr>
        <w:t xml:space="preserve"> emissions in 2035. On the other hand, BES costs decreased across the board, with BESp100, BESp99, BESp95, and BESp90 </w:t>
      </w:r>
      <w:r>
        <w:rPr>
          <w:lang w:eastAsia="ko-KR"/>
        </w:rPr>
        <w:t xml:space="preserve">cost reductions of </w:t>
      </w:r>
      <w:r w:rsidRPr="00753584">
        <w:rPr>
          <w:lang w:eastAsia="ko-KR"/>
        </w:rPr>
        <w:t>$</w:t>
      </w:r>
      <w:r w:rsidR="00322B49">
        <w:rPr>
          <w:lang w:eastAsia="ko-KR"/>
        </w:rPr>
        <w:t>18.7</w:t>
      </w:r>
      <w:r w:rsidRPr="00753584">
        <w:rPr>
          <w:lang w:eastAsia="ko-KR"/>
        </w:rPr>
        <w:t>/km ($</w:t>
      </w:r>
      <w:r w:rsidR="00322B49">
        <w:rPr>
          <w:lang w:eastAsia="ko-KR"/>
        </w:rPr>
        <w:t>34.7</w:t>
      </w:r>
      <w:r w:rsidRPr="00753584">
        <w:rPr>
          <w:lang w:eastAsia="ko-KR"/>
        </w:rPr>
        <w:t>/nm), $</w:t>
      </w:r>
      <w:r w:rsidR="00322B49">
        <w:rPr>
          <w:lang w:eastAsia="ko-KR"/>
        </w:rPr>
        <w:t>9.0</w:t>
      </w:r>
      <w:r w:rsidRPr="00753584">
        <w:rPr>
          <w:lang w:eastAsia="ko-KR"/>
        </w:rPr>
        <w:t>/km ($</w:t>
      </w:r>
      <w:r w:rsidR="00322B49">
        <w:rPr>
          <w:lang w:eastAsia="ko-KR"/>
        </w:rPr>
        <w:t>16.6</w:t>
      </w:r>
      <w:r w:rsidRPr="00753584">
        <w:rPr>
          <w:lang w:eastAsia="ko-KR"/>
        </w:rPr>
        <w:t>/nm), $</w:t>
      </w:r>
      <w:r w:rsidR="001E0711">
        <w:rPr>
          <w:lang w:eastAsia="ko-KR"/>
        </w:rPr>
        <w:t>6.6</w:t>
      </w:r>
      <w:r w:rsidRPr="00753584">
        <w:rPr>
          <w:lang w:eastAsia="ko-KR"/>
        </w:rPr>
        <w:t>/km ($</w:t>
      </w:r>
      <w:r w:rsidR="001E0711">
        <w:rPr>
          <w:lang w:eastAsia="ko-KR"/>
        </w:rPr>
        <w:t>12.2</w:t>
      </w:r>
      <w:r w:rsidRPr="00753584">
        <w:rPr>
          <w:lang w:eastAsia="ko-KR"/>
        </w:rPr>
        <w:t>/nm), and $</w:t>
      </w:r>
      <w:r w:rsidR="001E0711">
        <w:rPr>
          <w:lang w:eastAsia="ko-KR"/>
        </w:rPr>
        <w:t>5.9</w:t>
      </w:r>
      <w:r w:rsidRPr="00753584">
        <w:rPr>
          <w:lang w:eastAsia="ko-KR"/>
        </w:rPr>
        <w:t>/km ($</w:t>
      </w:r>
      <w:r w:rsidR="001E0711">
        <w:rPr>
          <w:lang w:eastAsia="ko-KR"/>
        </w:rPr>
        <w:t>10.9</w:t>
      </w:r>
      <w:r w:rsidRPr="00753584">
        <w:rPr>
          <w:lang w:eastAsia="ko-KR"/>
        </w:rPr>
        <w:t>/nm)</w:t>
      </w:r>
      <w:r w:rsidRPr="00022BA7">
        <w:rPr>
          <w:lang w:eastAsia="ko-KR"/>
        </w:rPr>
        <w:t xml:space="preserve">, respectively. </w:t>
      </w:r>
    </w:p>
    <w:p w14:paraId="121E8841" w14:textId="77777777" w:rsidR="0064749D" w:rsidRPr="00022BA7" w:rsidRDefault="0064749D" w:rsidP="0064749D">
      <w:pPr>
        <w:rPr>
          <w:lang w:eastAsia="ko-KR"/>
        </w:rPr>
      </w:pPr>
    </w:p>
    <w:p w14:paraId="385DE681" w14:textId="77777777" w:rsidR="0064749D" w:rsidRPr="00022BA7" w:rsidRDefault="0064749D" w:rsidP="0064749D">
      <w:pPr>
        <w:rPr>
          <w:lang w:eastAsia="ko-KR"/>
        </w:rPr>
      </w:pPr>
      <w:r w:rsidRPr="00022BA7">
        <w:rPr>
          <w:lang w:eastAsia="ko-KR"/>
        </w:rPr>
        <w:t>Interestingly, other costs, excluding the battery cost, remained stable at around $20/km</w:t>
      </w:r>
      <w:r>
        <w:rPr>
          <w:lang w:eastAsia="ko-KR"/>
        </w:rPr>
        <w:t xml:space="preserve"> </w:t>
      </w:r>
      <w:r w:rsidRPr="008677FB">
        <w:rPr>
          <w:lang w:eastAsia="ko-KR"/>
        </w:rPr>
        <w:t>($37/nm)</w:t>
      </w:r>
      <w:r w:rsidRPr="00022BA7">
        <w:rPr>
          <w:lang w:eastAsia="ko-KR"/>
        </w:rPr>
        <w:t xml:space="preserve">, indicating minimal variation across different </w:t>
      </w:r>
      <w:r>
        <w:rPr>
          <w:lang w:eastAsia="ko-KR"/>
        </w:rPr>
        <w:t xml:space="preserve">BES </w:t>
      </w:r>
      <w:r w:rsidRPr="00022BA7">
        <w:rPr>
          <w:lang w:eastAsia="ko-KR"/>
        </w:rPr>
        <w:t>capacity tiers and no significant deviation from the 2022 scenario</w:t>
      </w:r>
      <w:r>
        <w:rPr>
          <w:lang w:eastAsia="ko-KR"/>
        </w:rPr>
        <w:t xml:space="preserve"> by 2035</w:t>
      </w:r>
      <w:r w:rsidRPr="00022BA7">
        <w:rPr>
          <w:lang w:eastAsia="ko-KR"/>
        </w:rPr>
        <w:t>. Despite a 30% increase in CO</w:t>
      </w:r>
      <w:r w:rsidRPr="008677FB">
        <w:rPr>
          <w:vertAlign w:val="subscript"/>
          <w:lang w:eastAsia="ko-KR"/>
        </w:rPr>
        <w:t>2</w:t>
      </w:r>
      <w:r w:rsidRPr="00022BA7">
        <w:rPr>
          <w:lang w:eastAsia="ko-KR"/>
        </w:rPr>
        <w:t>e social cost</w:t>
      </w:r>
      <w:r>
        <w:rPr>
          <w:lang w:eastAsia="ko-KR"/>
        </w:rPr>
        <w:t>s</w:t>
      </w:r>
      <w:r w:rsidRPr="00022BA7">
        <w:rPr>
          <w:lang w:eastAsia="ko-KR"/>
        </w:rPr>
        <w:t xml:space="preserve">, the overall impact was modest due to a substantial 59% reduction in </w:t>
      </w:r>
      <w:r>
        <w:rPr>
          <w:lang w:eastAsia="ko-KR"/>
        </w:rPr>
        <w:t xml:space="preserve">the </w:t>
      </w:r>
      <w:r w:rsidRPr="00022BA7">
        <w:rPr>
          <w:lang w:eastAsia="ko-KR"/>
        </w:rPr>
        <w:t>emission factor in the 2035 DEC scenario</w:t>
      </w:r>
      <w:r>
        <w:rPr>
          <w:lang w:eastAsia="ko-KR"/>
        </w:rPr>
        <w:t>,</w:t>
      </w:r>
      <w:r w:rsidRPr="00022BA7">
        <w:rPr>
          <w:lang w:eastAsia="ko-KR"/>
        </w:rPr>
        <w:t xml:space="preserve"> compared to 2022. Notably, </w:t>
      </w:r>
      <w:r>
        <w:rPr>
          <w:lang w:eastAsia="ko-KR"/>
        </w:rPr>
        <w:t xml:space="preserve">even </w:t>
      </w:r>
      <w:r w:rsidRPr="00022BA7">
        <w:rPr>
          <w:lang w:eastAsia="ko-KR"/>
        </w:rPr>
        <w:t xml:space="preserve">under BAU, the emission factor decreased by 69% </w:t>
      </w:r>
      <w:r>
        <w:rPr>
          <w:lang w:eastAsia="ko-KR"/>
        </w:rPr>
        <w:t xml:space="preserve">in 2035 </w:t>
      </w:r>
      <w:r w:rsidRPr="00022BA7">
        <w:rPr>
          <w:lang w:eastAsia="ko-KR"/>
        </w:rPr>
        <w:t>compared to 2022</w:t>
      </w:r>
      <w:r>
        <w:rPr>
          <w:lang w:eastAsia="ko-KR"/>
        </w:rPr>
        <w:t xml:space="preserve">, </w:t>
      </w:r>
      <w:r w:rsidRPr="00022BA7">
        <w:rPr>
          <w:lang w:eastAsia="ko-KR"/>
        </w:rPr>
        <w:t>suggest</w:t>
      </w:r>
      <w:r>
        <w:rPr>
          <w:lang w:eastAsia="ko-KR"/>
        </w:rPr>
        <w:t>ing</w:t>
      </w:r>
      <w:r w:rsidRPr="00022BA7">
        <w:rPr>
          <w:lang w:eastAsia="ko-KR"/>
        </w:rPr>
        <w:t xml:space="preserve"> that BES</w:t>
      </w:r>
      <w:r>
        <w:rPr>
          <w:lang w:eastAsia="ko-KR"/>
        </w:rPr>
        <w:t>s</w:t>
      </w:r>
      <w:r w:rsidRPr="00022BA7">
        <w:rPr>
          <w:lang w:eastAsia="ko-KR"/>
        </w:rPr>
        <w:t xml:space="preserve"> can offset increasing social costs</w:t>
      </w:r>
      <w:r>
        <w:rPr>
          <w:lang w:eastAsia="ko-KR"/>
        </w:rPr>
        <w:t xml:space="preserve"> of carbon</w:t>
      </w:r>
      <w:r w:rsidRPr="00022BA7">
        <w:rPr>
          <w:lang w:eastAsia="ko-KR"/>
        </w:rPr>
        <w:t xml:space="preserve"> through improvements in grid </w:t>
      </w:r>
      <w:r>
        <w:rPr>
          <w:lang w:eastAsia="ko-KR"/>
        </w:rPr>
        <w:t xml:space="preserve">carbon emissions </w:t>
      </w:r>
      <w:r w:rsidRPr="00022BA7">
        <w:rPr>
          <w:lang w:eastAsia="ko-KR"/>
        </w:rPr>
        <w:t>intensity.</w:t>
      </w:r>
    </w:p>
    <w:p w14:paraId="28E2C2F9" w14:textId="65709D7E" w:rsidR="00EB39F2" w:rsidRDefault="00EB39F2">
      <w:pPr>
        <w:widowControl/>
        <w:spacing w:line="240" w:lineRule="auto"/>
        <w:rPr>
          <w:color w:val="1F497D" w:themeColor="text2"/>
        </w:rPr>
      </w:pPr>
      <w:r>
        <w:rPr>
          <w:color w:val="1F497D" w:themeColor="text2"/>
        </w:rPr>
        <w:br w:type="page"/>
      </w:r>
    </w:p>
    <w:p w14:paraId="237EBC18" w14:textId="5BA69219" w:rsidR="00EB39F2" w:rsidRDefault="00EB39F2" w:rsidP="00EB39F2">
      <w:pPr>
        <w:keepNext/>
      </w:pPr>
    </w:p>
    <w:p w14:paraId="0F6FFE03" w14:textId="43835828" w:rsidR="00EB39F2" w:rsidRDefault="00EB39F2" w:rsidP="00EB39F2">
      <w:pPr>
        <w:keepNext/>
        <w:rPr>
          <w:noProof/>
        </w:rPr>
      </w:pPr>
      <w:r w:rsidRPr="00927575">
        <w:rPr>
          <w:noProof/>
        </w:rPr>
        <w:t xml:space="preserve"> </w:t>
      </w:r>
      <w:r w:rsidR="0053407C">
        <w:rPr>
          <w:noProof/>
        </w:rPr>
        <w:drawing>
          <wp:inline distT="0" distB="0" distL="0" distR="0" wp14:anchorId="5F8B38A1" wp14:editId="38D572FF">
            <wp:extent cx="4572000" cy="4051788"/>
            <wp:effectExtent l="0" t="0" r="0" b="6350"/>
            <wp:docPr id="26" name="Graphic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96DAC541-7B7A-43D3-8B79-37D633B846F1}">
                          <asvg:svgBlip xmlns:asvg="http://schemas.microsoft.com/office/drawing/2016/SVG/main" r:embed="rId59"/>
                        </a:ext>
                      </a:extLst>
                    </a:blip>
                    <a:stretch>
                      <a:fillRect/>
                    </a:stretch>
                  </pic:blipFill>
                  <pic:spPr>
                    <a:xfrm>
                      <a:off x="0" y="0"/>
                      <a:ext cx="4572000" cy="4051788"/>
                    </a:xfrm>
                    <a:prstGeom prst="rect">
                      <a:avLst/>
                    </a:prstGeom>
                  </pic:spPr>
                </pic:pic>
              </a:graphicData>
            </a:graphic>
          </wp:inline>
        </w:drawing>
      </w:r>
    </w:p>
    <w:p w14:paraId="567065D2" w14:textId="20D9DE76" w:rsidR="00EB39F2" w:rsidRDefault="00EB39F2" w:rsidP="00EB39F2">
      <w:pPr>
        <w:keepNext/>
      </w:pPr>
    </w:p>
    <w:p w14:paraId="44AE9D90" w14:textId="56C07BC5" w:rsidR="00EB39F2" w:rsidRDefault="005C16B2" w:rsidP="00EB39F2">
      <w:pPr>
        <w:pStyle w:val="Caption"/>
        <w:rPr>
          <w:lang w:eastAsia="ko-KR"/>
        </w:rPr>
      </w:pPr>
      <w:bookmarkStart w:id="187" w:name="_Ref146618320"/>
      <w:bookmarkStart w:id="188" w:name="_Toc148444205"/>
      <w:r>
        <w:t xml:space="preserve">Supplementary </w:t>
      </w:r>
      <w:r w:rsidR="00EB39F2" w:rsidRPr="00022BA7">
        <w:t>Figure</w:t>
      </w:r>
      <w:r w:rsidR="00B94347">
        <w:t xml:space="preserve"> </w:t>
      </w:r>
      <w:r w:rsidR="00590C69">
        <w:fldChar w:fldCharType="begin"/>
      </w:r>
      <w:r w:rsidR="00590C69">
        <w:instrText xml:space="preserve"> SEQ Figure \* ARABIC \s 1 </w:instrText>
      </w:r>
      <w:r w:rsidR="00590C69">
        <w:fldChar w:fldCharType="separate"/>
      </w:r>
      <w:r w:rsidR="00C661AC">
        <w:rPr>
          <w:noProof/>
        </w:rPr>
        <w:t>24</w:t>
      </w:r>
      <w:r w:rsidR="00590C69">
        <w:rPr>
          <w:noProof/>
        </w:rPr>
        <w:fldChar w:fldCharType="end"/>
      </w:r>
      <w:bookmarkEnd w:id="187"/>
      <w:r w:rsidR="00EB39F2" w:rsidRPr="00022BA7">
        <w:t xml:space="preserve">. Average </w:t>
      </w:r>
      <w:r w:rsidR="00EB39F2">
        <w:t xml:space="preserve">LCOT for </w:t>
      </w:r>
      <w:r w:rsidR="00EB39F2" w:rsidRPr="002154B6">
        <w:t xml:space="preserve">ICE Ships and BESs in 2035 under </w:t>
      </w:r>
      <w:r w:rsidR="00EB39F2">
        <w:t xml:space="preserve">a </w:t>
      </w:r>
      <w:r w:rsidR="00EB39F2" w:rsidRPr="002154B6">
        <w:t xml:space="preserve">95% Electricity Decarbonization by 2050 (DEC) Emission Scenario and INT </w:t>
      </w:r>
      <w:r w:rsidR="00EB39F2">
        <w:t>Cost</w:t>
      </w:r>
      <w:r w:rsidR="00EB39F2" w:rsidRPr="002154B6">
        <w:t xml:space="preserve"> Scenario </w:t>
      </w:r>
      <w:proofErr w:type="gramStart"/>
      <w:r w:rsidR="00EB39F2">
        <w:t>B</w:t>
      </w:r>
      <w:r w:rsidR="00EB39F2" w:rsidRPr="002154B6">
        <w:t>y</w:t>
      </w:r>
      <w:proofErr w:type="gramEnd"/>
      <w:r w:rsidR="00EB39F2" w:rsidRPr="002154B6">
        <w:t xml:space="preserve"> Ship Type for BES</w:t>
      </w:r>
      <w:r w:rsidR="00EB39F2">
        <w:t>s</w:t>
      </w:r>
      <w:r w:rsidR="00EB39F2" w:rsidRPr="002154B6">
        <w:t xml:space="preserve"> with Capacity Tier p99 (BESp99)</w:t>
      </w:r>
      <w:bookmarkEnd w:id="188"/>
    </w:p>
    <w:p w14:paraId="68DDE3F2" w14:textId="77777777" w:rsidR="000761FB" w:rsidRDefault="000761FB">
      <w:pPr>
        <w:widowControl/>
        <w:spacing w:line="240" w:lineRule="auto"/>
        <w:rPr>
          <w:color w:val="1F497D" w:themeColor="text2"/>
        </w:rPr>
      </w:pPr>
    </w:p>
    <w:p w14:paraId="53F7CE4E" w14:textId="242BD7D5" w:rsidR="00DA0F69" w:rsidRDefault="00DA0F69" w:rsidP="00DA0F69">
      <w:pPr>
        <w:rPr>
          <w:lang w:eastAsia="ko-KR"/>
        </w:rPr>
      </w:pPr>
      <w:r w:rsidRPr="00022BA7">
        <w:rPr>
          <w:lang w:eastAsia="ko-KR"/>
        </w:rPr>
        <w:t xml:space="preserve">In 2035, different cost trends were observed among ship types </w:t>
      </w:r>
      <w:r w:rsidRPr="00022BA7">
        <w:rPr>
          <w:rFonts w:hint="eastAsia"/>
          <w:lang w:eastAsia="ko-KR"/>
        </w:rPr>
        <w:t>i</w:t>
      </w:r>
      <w:r w:rsidRPr="00022BA7">
        <w:rPr>
          <w:lang w:eastAsia="ko-KR"/>
        </w:rPr>
        <w:t>n</w:t>
      </w:r>
      <w:r w:rsidR="004D08C5">
        <w:rPr>
          <w:lang w:eastAsia="ko-KR"/>
        </w:rPr>
        <w:t xml:space="preserve"> </w:t>
      </w:r>
      <w:r w:rsidR="004D08C5">
        <w:rPr>
          <w:lang w:eastAsia="ko-KR"/>
        </w:rPr>
        <w:fldChar w:fldCharType="begin"/>
      </w:r>
      <w:r w:rsidR="004D08C5">
        <w:rPr>
          <w:lang w:eastAsia="ko-KR"/>
        </w:rPr>
        <w:instrText xml:space="preserve"> REF _Ref146618320 \h </w:instrText>
      </w:r>
      <w:r w:rsidR="004D08C5">
        <w:rPr>
          <w:lang w:eastAsia="ko-KR"/>
        </w:rPr>
      </w:r>
      <w:r w:rsidR="004D08C5">
        <w:rPr>
          <w:lang w:eastAsia="ko-KR"/>
        </w:rPr>
        <w:fldChar w:fldCharType="separate"/>
      </w:r>
      <w:r w:rsidR="00C661AC">
        <w:t xml:space="preserve">Supplementary </w:t>
      </w:r>
      <w:r w:rsidR="00C661AC" w:rsidRPr="00022BA7">
        <w:t>Figure</w:t>
      </w:r>
      <w:r w:rsidR="00C661AC">
        <w:t xml:space="preserve"> </w:t>
      </w:r>
      <w:r w:rsidR="00C661AC">
        <w:rPr>
          <w:noProof/>
        </w:rPr>
        <w:t>24</w:t>
      </w:r>
      <w:r w:rsidR="004D08C5">
        <w:rPr>
          <w:lang w:eastAsia="ko-KR"/>
        </w:rPr>
        <w:fldChar w:fldCharType="end"/>
      </w:r>
      <w:r w:rsidRPr="00022BA7">
        <w:rPr>
          <w:lang w:eastAsia="ko-KR"/>
        </w:rPr>
        <w:t>. ICE costs were lowest for Passenger ships, followed by Tug (Inland-Push Boats), Tug (Coastal-Harbor), and Tug (ATB). Tug (ATB) had the highest costs at $77.6/km</w:t>
      </w:r>
      <w:r>
        <w:rPr>
          <w:lang w:eastAsia="ko-KR"/>
        </w:rPr>
        <w:t xml:space="preserve"> </w:t>
      </w:r>
      <w:r w:rsidRPr="008677FB">
        <w:rPr>
          <w:lang w:eastAsia="ko-KR"/>
        </w:rPr>
        <w:t>($143.7/nm)</w:t>
      </w:r>
      <w:r w:rsidRPr="00022BA7">
        <w:rPr>
          <w:lang w:eastAsia="ko-KR"/>
        </w:rPr>
        <w:t>, which w</w:t>
      </w:r>
      <w:r>
        <w:rPr>
          <w:lang w:eastAsia="ko-KR"/>
        </w:rPr>
        <w:t>ere</w:t>
      </w:r>
      <w:r w:rsidRPr="00022BA7">
        <w:rPr>
          <w:lang w:eastAsia="ko-KR"/>
        </w:rPr>
        <w:t xml:space="preserve"> four times higher than the $19.0/km </w:t>
      </w:r>
      <w:r w:rsidRPr="00753584">
        <w:rPr>
          <w:lang w:eastAsia="ko-KR"/>
        </w:rPr>
        <w:t xml:space="preserve">($35.1/nm) </w:t>
      </w:r>
      <w:r w:rsidRPr="00022BA7">
        <w:rPr>
          <w:lang w:eastAsia="ko-KR"/>
        </w:rPr>
        <w:t>for Passenger ICE</w:t>
      </w:r>
      <w:r>
        <w:rPr>
          <w:lang w:eastAsia="ko-KR"/>
        </w:rPr>
        <w:t>s</w:t>
      </w:r>
      <w:r w:rsidRPr="00022BA7">
        <w:rPr>
          <w:lang w:eastAsia="ko-KR"/>
        </w:rPr>
        <w:t xml:space="preserve">. This difference can be attributed </w:t>
      </w:r>
      <w:r>
        <w:rPr>
          <w:lang w:eastAsia="ko-KR"/>
        </w:rPr>
        <w:t>to</w:t>
      </w:r>
      <w:r w:rsidRPr="00022BA7">
        <w:rPr>
          <w:lang w:eastAsia="ko-KR"/>
        </w:rPr>
        <w:t xml:space="preserve"> larger ships consum</w:t>
      </w:r>
      <w:r>
        <w:rPr>
          <w:lang w:eastAsia="ko-KR"/>
        </w:rPr>
        <w:t>ing</w:t>
      </w:r>
      <w:r w:rsidRPr="00022BA7">
        <w:rPr>
          <w:lang w:eastAsia="ko-KR"/>
        </w:rPr>
        <w:t xml:space="preserve"> more energy per traveled distance. Despite variations among ship types, emission cost</w:t>
      </w:r>
      <w:r>
        <w:rPr>
          <w:lang w:eastAsia="ko-KR"/>
        </w:rPr>
        <w:t>s</w:t>
      </w:r>
      <w:r w:rsidRPr="00022BA7">
        <w:rPr>
          <w:lang w:eastAsia="ko-KR"/>
        </w:rPr>
        <w:t xml:space="preserve"> accounted for approximately </w:t>
      </w:r>
      <w:r w:rsidR="000C7BDE">
        <w:rPr>
          <w:lang w:eastAsia="ko-KR"/>
        </w:rPr>
        <w:t>64-</w:t>
      </w:r>
      <w:r w:rsidRPr="00022BA7">
        <w:rPr>
          <w:lang w:eastAsia="ko-KR"/>
        </w:rPr>
        <w:t>65% of total costs for all ship types, while fuel cost</w:t>
      </w:r>
      <w:r>
        <w:rPr>
          <w:lang w:eastAsia="ko-KR"/>
        </w:rPr>
        <w:t>s</w:t>
      </w:r>
      <w:r w:rsidRPr="00022BA7">
        <w:rPr>
          <w:lang w:eastAsia="ko-KR"/>
        </w:rPr>
        <w:t xml:space="preserve"> represented </w:t>
      </w:r>
      <w:r w:rsidR="000C7BDE">
        <w:rPr>
          <w:lang w:eastAsia="ko-KR"/>
        </w:rPr>
        <w:t>32-</w:t>
      </w:r>
      <w:r w:rsidRPr="00022BA7">
        <w:rPr>
          <w:lang w:eastAsia="ko-KR"/>
        </w:rPr>
        <w:t>33% of total cost</w:t>
      </w:r>
      <w:r>
        <w:rPr>
          <w:lang w:eastAsia="ko-KR"/>
        </w:rPr>
        <w:t>s</w:t>
      </w:r>
      <w:r w:rsidRPr="00022BA7">
        <w:rPr>
          <w:lang w:eastAsia="ko-KR"/>
        </w:rPr>
        <w:t>. This is because</w:t>
      </w:r>
      <w:r>
        <w:rPr>
          <w:lang w:eastAsia="ko-KR"/>
        </w:rPr>
        <w:t xml:space="preserve"> </w:t>
      </w:r>
      <w:r w:rsidRPr="00022BA7">
        <w:rPr>
          <w:lang w:eastAsia="ko-KR"/>
        </w:rPr>
        <w:t xml:space="preserve">most cost items are proportional to energy consumption, except </w:t>
      </w:r>
      <w:r>
        <w:rPr>
          <w:lang w:eastAsia="ko-KR"/>
        </w:rPr>
        <w:t>in cases of</w:t>
      </w:r>
      <w:r w:rsidRPr="00022BA7">
        <w:rPr>
          <w:lang w:eastAsia="ko-KR"/>
        </w:rPr>
        <w:t xml:space="preserve"> low load factors.</w:t>
      </w:r>
    </w:p>
    <w:p w14:paraId="64B26C29" w14:textId="77777777" w:rsidR="00DA0F69" w:rsidRDefault="00DA0F69" w:rsidP="00DA0F69">
      <w:pPr>
        <w:rPr>
          <w:lang w:eastAsia="ko-KR"/>
        </w:rPr>
      </w:pPr>
    </w:p>
    <w:p w14:paraId="2BEC5B54" w14:textId="167BCEA1" w:rsidR="00DA0F69" w:rsidRPr="00022BA7" w:rsidRDefault="00DA0F69" w:rsidP="00DA0F69">
      <w:pPr>
        <w:rPr>
          <w:lang w:eastAsia="ko-KR"/>
        </w:rPr>
      </w:pPr>
      <w:r w:rsidRPr="00022BA7">
        <w:rPr>
          <w:lang w:eastAsia="ko-KR"/>
        </w:rPr>
        <w:t>Comparing BESp99</w:t>
      </w:r>
      <w:r>
        <w:rPr>
          <w:lang w:eastAsia="ko-KR"/>
        </w:rPr>
        <w:t>s</w:t>
      </w:r>
      <w:r w:rsidRPr="00022BA7">
        <w:rPr>
          <w:lang w:eastAsia="ko-KR"/>
        </w:rPr>
        <w:t xml:space="preserve"> </w:t>
      </w:r>
      <w:r>
        <w:rPr>
          <w:lang w:eastAsia="ko-KR"/>
        </w:rPr>
        <w:t xml:space="preserve">to ICEs </w:t>
      </w:r>
      <w:r w:rsidRPr="00022BA7">
        <w:rPr>
          <w:lang w:eastAsia="ko-KR"/>
        </w:rPr>
        <w:t xml:space="preserve">for each ship type, Tug (ATB) </w:t>
      </w:r>
      <w:r>
        <w:rPr>
          <w:lang w:eastAsia="ko-KR"/>
        </w:rPr>
        <w:t xml:space="preserve">and </w:t>
      </w:r>
      <w:r w:rsidRPr="00022BA7">
        <w:rPr>
          <w:lang w:eastAsia="ko-KR"/>
        </w:rPr>
        <w:t xml:space="preserve">Tug (Coastal-Harbor) showed </w:t>
      </w:r>
      <w:r>
        <w:rPr>
          <w:lang w:eastAsia="ko-KR"/>
        </w:rPr>
        <w:t>19</w:t>
      </w:r>
      <w:r w:rsidRPr="00022BA7">
        <w:rPr>
          <w:lang w:eastAsia="ko-KR"/>
        </w:rPr>
        <w:t xml:space="preserve">% </w:t>
      </w:r>
      <w:r>
        <w:rPr>
          <w:lang w:eastAsia="ko-KR"/>
        </w:rPr>
        <w:t xml:space="preserve">and </w:t>
      </w:r>
      <w:r w:rsidR="004A51AE">
        <w:rPr>
          <w:lang w:eastAsia="ko-KR"/>
        </w:rPr>
        <w:t>5</w:t>
      </w:r>
      <w:r>
        <w:rPr>
          <w:lang w:eastAsia="ko-KR"/>
        </w:rPr>
        <w:t xml:space="preserve">% </w:t>
      </w:r>
      <w:r w:rsidRPr="00022BA7">
        <w:rPr>
          <w:lang w:eastAsia="ko-KR"/>
        </w:rPr>
        <w:t>increase</w:t>
      </w:r>
      <w:r>
        <w:rPr>
          <w:lang w:eastAsia="ko-KR"/>
        </w:rPr>
        <w:t>s</w:t>
      </w:r>
      <w:r w:rsidRPr="00022BA7">
        <w:rPr>
          <w:lang w:eastAsia="ko-KR"/>
        </w:rPr>
        <w:t xml:space="preserve"> in LCOT,</w:t>
      </w:r>
      <w:r>
        <w:rPr>
          <w:lang w:eastAsia="ko-KR"/>
        </w:rPr>
        <w:t xml:space="preserve"> respectively. On the other hand</w:t>
      </w:r>
      <w:r w:rsidRPr="00022BA7">
        <w:rPr>
          <w:lang w:eastAsia="ko-KR"/>
        </w:rPr>
        <w:t xml:space="preserve">, Passenger and Tug (Inland-Push Boats) experienced reductions </w:t>
      </w:r>
      <w:r>
        <w:rPr>
          <w:lang w:eastAsia="ko-KR"/>
        </w:rPr>
        <w:t xml:space="preserve">of </w:t>
      </w:r>
      <w:r w:rsidR="004A51AE">
        <w:rPr>
          <w:lang w:eastAsia="ko-KR"/>
        </w:rPr>
        <w:t>12</w:t>
      </w:r>
      <w:r>
        <w:rPr>
          <w:lang w:eastAsia="ko-KR"/>
        </w:rPr>
        <w:t>% and 15%, respectively,</w:t>
      </w:r>
      <w:r w:rsidRPr="00022BA7">
        <w:rPr>
          <w:lang w:eastAsia="ko-KR"/>
        </w:rPr>
        <w:t xml:space="preserve"> </w:t>
      </w:r>
      <w:r>
        <w:rPr>
          <w:lang w:eastAsia="ko-KR"/>
        </w:rPr>
        <w:t xml:space="preserve">below the </w:t>
      </w:r>
      <w:r w:rsidRPr="00022BA7">
        <w:rPr>
          <w:lang w:eastAsia="ko-KR"/>
        </w:rPr>
        <w:t>LCOT</w:t>
      </w:r>
      <w:r>
        <w:rPr>
          <w:lang w:eastAsia="ko-KR"/>
        </w:rPr>
        <w:t xml:space="preserve"> of ICE ships</w:t>
      </w:r>
      <w:r w:rsidRPr="00022BA7">
        <w:rPr>
          <w:lang w:eastAsia="ko-KR"/>
        </w:rPr>
        <w:t xml:space="preserve">. Based on ship-to-ship comparisons, </w:t>
      </w:r>
      <w:r>
        <w:rPr>
          <w:lang w:eastAsia="ko-KR"/>
        </w:rPr>
        <w:t>90</w:t>
      </w:r>
      <w:r w:rsidRPr="00022BA7">
        <w:rPr>
          <w:lang w:eastAsia="ko-KR"/>
        </w:rPr>
        <w:t xml:space="preserve">%, </w:t>
      </w:r>
      <w:r>
        <w:rPr>
          <w:lang w:eastAsia="ko-KR"/>
        </w:rPr>
        <w:t>76</w:t>
      </w:r>
      <w:r w:rsidRPr="00022BA7">
        <w:rPr>
          <w:lang w:eastAsia="ko-KR"/>
        </w:rPr>
        <w:t xml:space="preserve">%, </w:t>
      </w:r>
      <w:r>
        <w:rPr>
          <w:lang w:eastAsia="ko-KR"/>
        </w:rPr>
        <w:t>89</w:t>
      </w:r>
      <w:r w:rsidRPr="00022BA7">
        <w:rPr>
          <w:lang w:eastAsia="ko-KR"/>
        </w:rPr>
        <w:t xml:space="preserve">%, and </w:t>
      </w:r>
      <w:r w:rsidR="004A51AE">
        <w:rPr>
          <w:lang w:eastAsia="ko-KR"/>
        </w:rPr>
        <w:t>44</w:t>
      </w:r>
      <w:r w:rsidRPr="00022BA7">
        <w:rPr>
          <w:lang w:eastAsia="ko-KR"/>
        </w:rPr>
        <w:t>% of BESp99s in Passenger, Tug (Coastal-Harbor), Tug (Inland-Push Boats), and Tug (ATB), respectively, are cost-effective compared to ICE</w:t>
      </w:r>
      <w:r>
        <w:rPr>
          <w:lang w:eastAsia="ko-KR"/>
        </w:rPr>
        <w:t>s</w:t>
      </w:r>
      <w:r w:rsidRPr="00022BA7">
        <w:rPr>
          <w:lang w:eastAsia="ko-KR"/>
        </w:rPr>
        <w:t>. Notably, despite higher average cost</w:t>
      </w:r>
      <w:r>
        <w:rPr>
          <w:lang w:eastAsia="ko-KR"/>
        </w:rPr>
        <w:t>s</w:t>
      </w:r>
      <w:r w:rsidRPr="00022BA7">
        <w:rPr>
          <w:lang w:eastAsia="ko-KR"/>
        </w:rPr>
        <w:t xml:space="preserve"> compared to ICE</w:t>
      </w:r>
      <w:r>
        <w:rPr>
          <w:lang w:eastAsia="ko-KR"/>
        </w:rPr>
        <w:t>s</w:t>
      </w:r>
      <w:r w:rsidRPr="00022BA7">
        <w:rPr>
          <w:lang w:eastAsia="ko-KR"/>
        </w:rPr>
        <w:t xml:space="preserve">, </w:t>
      </w:r>
      <w:r w:rsidR="004A51AE">
        <w:rPr>
          <w:lang w:eastAsia="ko-KR"/>
        </w:rPr>
        <w:t>44</w:t>
      </w:r>
      <w:r w:rsidRPr="00022BA7">
        <w:rPr>
          <w:lang w:eastAsia="ko-KR"/>
        </w:rPr>
        <w:t>% of BESp99 of Tug (ATB) are considered cost-effective. This highlights the importance of finding ships with higher BES potential through ship-to-ship comparisons.</w:t>
      </w:r>
    </w:p>
    <w:p w14:paraId="257877B7" w14:textId="77777777" w:rsidR="00DA0F69" w:rsidRPr="00022BA7" w:rsidRDefault="00DA0F69" w:rsidP="00DA0F69">
      <w:pPr>
        <w:rPr>
          <w:lang w:eastAsia="ko-KR"/>
        </w:rPr>
      </w:pPr>
    </w:p>
    <w:p w14:paraId="199564ED" w14:textId="26B2C35E" w:rsidR="00DA0F69" w:rsidRPr="00022BA7" w:rsidRDefault="00DA0F69" w:rsidP="00DA0F69">
      <w:pPr>
        <w:rPr>
          <w:lang w:eastAsia="ko-KR"/>
        </w:rPr>
      </w:pPr>
      <w:r>
        <w:rPr>
          <w:lang w:eastAsia="ko-KR"/>
        </w:rPr>
        <w:t>W</w:t>
      </w:r>
      <w:r w:rsidRPr="00022BA7">
        <w:rPr>
          <w:lang w:eastAsia="ko-KR"/>
        </w:rPr>
        <w:t xml:space="preserve">hen </w:t>
      </w:r>
      <w:r>
        <w:rPr>
          <w:lang w:eastAsia="ko-KR"/>
        </w:rPr>
        <w:t xml:space="preserve">comparing </w:t>
      </w:r>
      <w:r w:rsidRPr="00022BA7">
        <w:rPr>
          <w:lang w:eastAsia="ko-KR"/>
        </w:rPr>
        <w:t>BES</w:t>
      </w:r>
      <w:r>
        <w:rPr>
          <w:lang w:eastAsia="ko-KR"/>
        </w:rPr>
        <w:t>s</w:t>
      </w:r>
      <w:r w:rsidRPr="00022BA7">
        <w:rPr>
          <w:lang w:eastAsia="ko-KR"/>
        </w:rPr>
        <w:t xml:space="preserve"> with capacity tier p99, cost shares varied among ship types. Tug (Inland-Push Boats) had the lowest </w:t>
      </w:r>
      <w:r w:rsidRPr="00753584">
        <w:rPr>
          <w:lang w:eastAsia="ko-KR"/>
        </w:rPr>
        <w:t xml:space="preserve">average </w:t>
      </w:r>
      <w:r w:rsidRPr="00022BA7">
        <w:rPr>
          <w:lang w:eastAsia="ko-KR"/>
        </w:rPr>
        <w:t xml:space="preserve">battery system cost share at </w:t>
      </w:r>
      <w:r>
        <w:rPr>
          <w:lang w:eastAsia="ko-KR"/>
        </w:rPr>
        <w:t>63</w:t>
      </w:r>
      <w:r w:rsidRPr="00022BA7">
        <w:rPr>
          <w:lang w:eastAsia="ko-KR"/>
        </w:rPr>
        <w:t xml:space="preserve">%, followed by Passenger with </w:t>
      </w:r>
      <w:r w:rsidR="004A51AE">
        <w:rPr>
          <w:lang w:eastAsia="ko-KR"/>
        </w:rPr>
        <w:t>68</w:t>
      </w:r>
      <w:r w:rsidRPr="00022BA7">
        <w:rPr>
          <w:lang w:eastAsia="ko-KR"/>
        </w:rPr>
        <w:t xml:space="preserve">%, Tug (Coastal-Harbor) with </w:t>
      </w:r>
      <w:r>
        <w:rPr>
          <w:lang w:eastAsia="ko-KR"/>
        </w:rPr>
        <w:t>82</w:t>
      </w:r>
      <w:r w:rsidRPr="00022BA7">
        <w:rPr>
          <w:lang w:eastAsia="ko-KR"/>
        </w:rPr>
        <w:t xml:space="preserve">%, and Tug (ATB) with </w:t>
      </w:r>
      <w:r>
        <w:rPr>
          <w:lang w:eastAsia="ko-KR"/>
        </w:rPr>
        <w:t>92</w:t>
      </w:r>
      <w:r w:rsidRPr="00022BA7">
        <w:rPr>
          <w:lang w:eastAsia="ko-KR"/>
        </w:rPr>
        <w:t>%. Conversely, electricity cost shares were lowest for Tug (ATB) at 2</w:t>
      </w:r>
      <w:r>
        <w:rPr>
          <w:lang w:eastAsia="ko-KR"/>
        </w:rPr>
        <w:t>5</w:t>
      </w:r>
      <w:r w:rsidRPr="00022BA7">
        <w:rPr>
          <w:lang w:eastAsia="ko-KR"/>
        </w:rPr>
        <w:t xml:space="preserve">%, followed by Tug (Coastal-Harbor), Passenger, and Tug (Inland-Push Boats). This indicates that Tug (ATB) in capacity tier p99 had relatively lower electricity usage compared to its significant battery </w:t>
      </w:r>
      <w:r>
        <w:rPr>
          <w:lang w:eastAsia="ko-KR"/>
        </w:rPr>
        <w:t>size</w:t>
      </w:r>
      <w:r w:rsidRPr="00022BA7">
        <w:rPr>
          <w:lang w:eastAsia="ko-KR"/>
        </w:rPr>
        <w:t xml:space="preserve">. Conversely, this </w:t>
      </w:r>
      <w:r>
        <w:rPr>
          <w:lang w:eastAsia="ko-KR"/>
        </w:rPr>
        <w:t xml:space="preserve">also </w:t>
      </w:r>
      <w:r w:rsidRPr="00022BA7">
        <w:rPr>
          <w:lang w:eastAsia="ko-KR"/>
        </w:rPr>
        <w:t xml:space="preserve">implies that Passenger and Tug (Inland-Push Boats) have higher battery utilization rates. </w:t>
      </w:r>
    </w:p>
    <w:p w14:paraId="327327A4" w14:textId="06C48AB6" w:rsidR="00026E20" w:rsidRDefault="00026E20">
      <w:pPr>
        <w:widowControl/>
        <w:spacing w:line="240" w:lineRule="auto"/>
        <w:rPr>
          <w:color w:val="1F497D" w:themeColor="text2"/>
        </w:rPr>
      </w:pPr>
    </w:p>
    <w:p w14:paraId="3D0A0A36" w14:textId="33B9FA25" w:rsidR="00BB7531" w:rsidRDefault="00BB7531">
      <w:pPr>
        <w:widowControl/>
        <w:spacing w:line="240" w:lineRule="auto"/>
        <w:rPr>
          <w:color w:val="1F497D" w:themeColor="text2"/>
        </w:rPr>
      </w:pPr>
      <w:r>
        <w:rPr>
          <w:color w:val="1F497D" w:themeColor="text2"/>
        </w:rPr>
        <w:br w:type="page"/>
      </w:r>
    </w:p>
    <w:p w14:paraId="2B678FC5" w14:textId="32FDAE90" w:rsidR="007D52DB" w:rsidRDefault="002B3DEB" w:rsidP="003E1F79">
      <w:pPr>
        <w:keepNext/>
      </w:pPr>
      <w:r>
        <w:rPr>
          <w:noProof/>
        </w:rPr>
        <w:drawing>
          <wp:inline distT="0" distB="0" distL="0" distR="0" wp14:anchorId="4BB04BB7" wp14:editId="004337A6">
            <wp:extent cx="3108794" cy="2107096"/>
            <wp:effectExtent l="0" t="0" r="0" b="7620"/>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96DAC541-7B7A-43D3-8B79-37D633B846F1}">
                          <asvg:svgBlip xmlns:asvg="http://schemas.microsoft.com/office/drawing/2016/SVG/main" r:embed="rId61"/>
                        </a:ext>
                      </a:extLst>
                    </a:blip>
                    <a:srcRect b="23241"/>
                    <a:stretch/>
                  </pic:blipFill>
                  <pic:spPr bwMode="auto">
                    <a:xfrm>
                      <a:off x="0" y="0"/>
                      <a:ext cx="3108960" cy="2107209"/>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71E7FE4C" w14:textId="0F196180" w:rsidR="003E1F79" w:rsidRDefault="007D52DB" w:rsidP="00035F66">
      <w:pPr>
        <w:keepNext/>
        <w:ind w:left="2160"/>
      </w:pPr>
      <w:r>
        <w:t xml:space="preserve">    </w:t>
      </w:r>
      <w:r w:rsidR="003E1F79">
        <w:t>(a)</w:t>
      </w:r>
    </w:p>
    <w:p w14:paraId="26D138D7" w14:textId="3B2BC5BA" w:rsidR="007D52DB" w:rsidRDefault="002B3DEB" w:rsidP="003E1F79">
      <w:pPr>
        <w:keepNext/>
        <w:rPr>
          <w:noProof/>
        </w:rPr>
      </w:pPr>
      <w:r>
        <w:rPr>
          <w:noProof/>
        </w:rPr>
        <w:drawing>
          <wp:inline distT="0" distB="0" distL="0" distR="0" wp14:anchorId="614585C3" wp14:editId="3A0234EB">
            <wp:extent cx="3108960" cy="2755548"/>
            <wp:effectExtent l="0" t="0" r="0" b="6985"/>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96DAC541-7B7A-43D3-8B79-37D633B846F1}">
                          <asvg:svgBlip xmlns:asvg="http://schemas.microsoft.com/office/drawing/2016/SVG/main" r:embed="rId63"/>
                        </a:ext>
                      </a:extLst>
                    </a:blip>
                    <a:stretch>
                      <a:fillRect/>
                    </a:stretch>
                  </pic:blipFill>
                  <pic:spPr>
                    <a:xfrm>
                      <a:off x="0" y="0"/>
                      <a:ext cx="3108960" cy="2755548"/>
                    </a:xfrm>
                    <a:prstGeom prst="rect">
                      <a:avLst/>
                    </a:prstGeom>
                  </pic:spPr>
                </pic:pic>
              </a:graphicData>
            </a:graphic>
          </wp:inline>
        </w:drawing>
      </w:r>
      <w:r w:rsidR="003E1F79" w:rsidRPr="001F4077">
        <w:rPr>
          <w:noProof/>
        </w:rPr>
        <w:t xml:space="preserve"> </w:t>
      </w:r>
    </w:p>
    <w:p w14:paraId="456FB009" w14:textId="194D549B" w:rsidR="003E1F79" w:rsidRPr="00022BA7" w:rsidRDefault="007D52DB" w:rsidP="00035F66">
      <w:pPr>
        <w:keepNext/>
        <w:ind w:left="1440" w:firstLine="720"/>
      </w:pPr>
      <w:r>
        <w:t xml:space="preserve">    </w:t>
      </w:r>
      <w:r w:rsidR="003E1F79">
        <w:t>(b)</w:t>
      </w:r>
    </w:p>
    <w:p w14:paraId="68C12D99" w14:textId="30628265" w:rsidR="003E1F79" w:rsidRPr="00022BA7" w:rsidRDefault="005C16B2" w:rsidP="003E1F79">
      <w:pPr>
        <w:pStyle w:val="Caption"/>
      </w:pPr>
      <w:bookmarkStart w:id="189" w:name="_Ref141126379"/>
      <w:bookmarkStart w:id="190" w:name="_Toc145792546"/>
      <w:bookmarkStart w:id="191" w:name="_Toc148444206"/>
      <w:r>
        <w:t xml:space="preserve">Supplementary </w:t>
      </w:r>
      <w:r w:rsidR="003E1F79" w:rsidRPr="00022BA7">
        <w:t xml:space="preserve">Figure </w:t>
      </w:r>
      <w:r w:rsidR="00590C69">
        <w:fldChar w:fldCharType="begin"/>
      </w:r>
      <w:r w:rsidR="00590C69">
        <w:instrText xml:space="preserve"> SEQ Figure \* ARABIC \s 1 </w:instrText>
      </w:r>
      <w:r w:rsidR="00590C69">
        <w:fldChar w:fldCharType="separate"/>
      </w:r>
      <w:r w:rsidR="00C661AC">
        <w:rPr>
          <w:noProof/>
        </w:rPr>
        <w:t>25</w:t>
      </w:r>
      <w:r w:rsidR="00590C69">
        <w:rPr>
          <w:noProof/>
        </w:rPr>
        <w:fldChar w:fldCharType="end"/>
      </w:r>
      <w:bookmarkEnd w:id="189"/>
      <w:r w:rsidR="003E1F79" w:rsidRPr="00022BA7">
        <w:t xml:space="preserve">. </w:t>
      </w:r>
      <w:r w:rsidR="003E1F79" w:rsidRPr="00CB4574">
        <w:t xml:space="preserve">Average </w:t>
      </w:r>
      <w:r w:rsidR="003E1F79">
        <w:t xml:space="preserve">LCOT </w:t>
      </w:r>
      <w:r w:rsidR="003E1F79" w:rsidRPr="00CB4574">
        <w:t>of I</w:t>
      </w:r>
      <w:r w:rsidR="003E1F79">
        <w:t>CE</w:t>
      </w:r>
      <w:r w:rsidR="003E1F79" w:rsidRPr="00CB4574">
        <w:t xml:space="preserve"> Ships and B</w:t>
      </w:r>
      <w:r w:rsidR="003E1F79">
        <w:t>ES</w:t>
      </w:r>
      <w:r w:rsidR="003E1F79" w:rsidRPr="00CB4574">
        <w:t xml:space="preserve">s in 2050 under </w:t>
      </w:r>
      <w:r w:rsidR="003E1F79">
        <w:t xml:space="preserve">a </w:t>
      </w:r>
      <w:r w:rsidR="003E1F79" w:rsidRPr="00CB4574">
        <w:t xml:space="preserve">95% Electricity Decarbonization by 2050 (DEC) Emission Scenario </w:t>
      </w:r>
      <w:r w:rsidR="003E1F79">
        <w:t>with (a)</w:t>
      </w:r>
      <w:r w:rsidR="003E1F79" w:rsidRPr="00CB4574">
        <w:t xml:space="preserve"> </w:t>
      </w:r>
      <w:r w:rsidR="003E1F79">
        <w:t>Intermediate (</w:t>
      </w:r>
      <w:r w:rsidR="003E1F79" w:rsidRPr="00CB4574">
        <w:t>INT</w:t>
      </w:r>
      <w:r w:rsidR="003E1F79">
        <w:t>)</w:t>
      </w:r>
      <w:r w:rsidR="003E1F79" w:rsidRPr="00CB4574">
        <w:t xml:space="preserve"> </w:t>
      </w:r>
      <w:r w:rsidR="003E1F79">
        <w:t>and (b) Optimistic (OPT)</w:t>
      </w:r>
      <w:r w:rsidR="003E1F79" w:rsidRPr="00CB4574">
        <w:t xml:space="preserve"> </w:t>
      </w:r>
      <w:r w:rsidR="003E1F79">
        <w:t>Cost</w:t>
      </w:r>
      <w:r w:rsidR="003E1F79" w:rsidDel="00521A4B">
        <w:t xml:space="preserve"> </w:t>
      </w:r>
      <w:r w:rsidR="003E1F79">
        <w:t>Assumptions</w:t>
      </w:r>
      <w:bookmarkEnd w:id="190"/>
      <w:bookmarkEnd w:id="191"/>
    </w:p>
    <w:p w14:paraId="00BE2D65" w14:textId="07F5A000" w:rsidR="00026E20" w:rsidRDefault="00026E20">
      <w:pPr>
        <w:widowControl/>
        <w:spacing w:line="240" w:lineRule="auto"/>
        <w:rPr>
          <w:color w:val="1F497D" w:themeColor="text2"/>
        </w:rPr>
      </w:pPr>
    </w:p>
    <w:p w14:paraId="553A638F" w14:textId="43E1AE62" w:rsidR="004434A0" w:rsidRDefault="004434A0" w:rsidP="004434A0">
      <w:pPr>
        <w:rPr>
          <w:lang w:eastAsia="ko-KR"/>
        </w:rPr>
      </w:pPr>
      <w:r>
        <w:rPr>
          <w:lang w:eastAsia="ko-KR"/>
        </w:rPr>
        <w:fldChar w:fldCharType="begin"/>
      </w:r>
      <w:r>
        <w:rPr>
          <w:lang w:eastAsia="ko-KR"/>
        </w:rPr>
        <w:instrText xml:space="preserve"> REF _Ref141126379 \h </w:instrText>
      </w:r>
      <w:r>
        <w:rPr>
          <w:lang w:eastAsia="ko-KR"/>
        </w:rPr>
      </w:r>
      <w:r>
        <w:rPr>
          <w:lang w:eastAsia="ko-KR"/>
        </w:rPr>
        <w:fldChar w:fldCharType="separate"/>
      </w:r>
      <w:r w:rsidR="00C661AC">
        <w:t xml:space="preserve">Supplementary </w:t>
      </w:r>
      <w:r w:rsidR="00C661AC" w:rsidRPr="00022BA7">
        <w:t xml:space="preserve">Figure </w:t>
      </w:r>
      <w:r w:rsidR="00C661AC">
        <w:rPr>
          <w:noProof/>
        </w:rPr>
        <w:t>25</w:t>
      </w:r>
      <w:r>
        <w:rPr>
          <w:lang w:eastAsia="ko-KR"/>
        </w:rPr>
        <w:fldChar w:fldCharType="end"/>
      </w:r>
      <w:r>
        <w:rPr>
          <w:lang w:eastAsia="ko-KR"/>
        </w:rPr>
        <w:t xml:space="preserve"> </w:t>
      </w:r>
      <w:bookmarkStart w:id="192" w:name="_Hlk141670172"/>
      <w:r>
        <w:rPr>
          <w:lang w:eastAsia="ko-KR"/>
        </w:rPr>
        <w:t>(a)</w:t>
      </w:r>
      <w:bookmarkEnd w:id="192"/>
      <w:r>
        <w:rPr>
          <w:lang w:eastAsia="ko-KR"/>
        </w:rPr>
        <w:t xml:space="preserve"> and (b) </w:t>
      </w:r>
      <w:r w:rsidRPr="00344F51">
        <w:rPr>
          <w:lang w:eastAsia="ko-KR"/>
        </w:rPr>
        <w:t>illustrate the trends in average costs for ICE</w:t>
      </w:r>
      <w:r>
        <w:rPr>
          <w:lang w:eastAsia="ko-KR"/>
        </w:rPr>
        <w:t>s</w:t>
      </w:r>
      <w:r w:rsidRPr="00344F51">
        <w:rPr>
          <w:lang w:eastAsia="ko-KR"/>
        </w:rPr>
        <w:t xml:space="preserve"> and BES</w:t>
      </w:r>
      <w:r>
        <w:rPr>
          <w:lang w:eastAsia="ko-KR"/>
        </w:rPr>
        <w:t>s under a 95% Electricity Decarbonization by 2050 (DEC) Scenario and both Intermediate (INT) and Optimistic (OPT) cost assumptions. Average costs for ICEs increase from $35.1/km ($</w:t>
      </w:r>
      <w:r w:rsidRPr="0027128A">
        <w:rPr>
          <w:lang w:eastAsia="ko-KR"/>
        </w:rPr>
        <w:t xml:space="preserve">65/nm) to $39.8/km ($73.7/nm), </w:t>
      </w:r>
      <w:r>
        <w:rPr>
          <w:lang w:eastAsia="ko-KR"/>
        </w:rPr>
        <w:t xml:space="preserve">a 13.4% increase from 2035 levels. This can be attributed to a 24% increase in the per </w:t>
      </w:r>
      <w:r w:rsidRPr="00022BA7">
        <w:t>CO</w:t>
      </w:r>
      <w:r w:rsidRPr="00022BA7">
        <w:rPr>
          <w:vertAlign w:val="subscript"/>
        </w:rPr>
        <w:t>2</w:t>
      </w:r>
      <w:r w:rsidRPr="00542DF8">
        <w:t>e</w:t>
      </w:r>
      <w:r>
        <w:t xml:space="preserve"> </w:t>
      </w:r>
      <w:r>
        <w:rPr>
          <w:lang w:eastAsia="ko-KR"/>
        </w:rPr>
        <w:t>emission cost between 2035 and 2050.</w:t>
      </w:r>
    </w:p>
    <w:p w14:paraId="3C0A3AF8" w14:textId="77777777" w:rsidR="004434A0" w:rsidRDefault="004434A0" w:rsidP="004434A0">
      <w:pPr>
        <w:rPr>
          <w:lang w:eastAsia="ko-KR"/>
        </w:rPr>
      </w:pPr>
    </w:p>
    <w:p w14:paraId="6F8503A6" w14:textId="2A98EA94" w:rsidR="004434A0" w:rsidRDefault="004434A0" w:rsidP="004434A0">
      <w:pPr>
        <w:rPr>
          <w:lang w:eastAsia="ko-KR"/>
        </w:rPr>
      </w:pPr>
      <w:r>
        <w:rPr>
          <w:lang w:eastAsia="ko-KR"/>
        </w:rPr>
        <w:t xml:space="preserve">In 2050, the average cost of BESp100 is still higher than ICEs under the INT scenario, but it falls below ICE costs under the OPT scenario. </w:t>
      </w:r>
      <w:r w:rsidRPr="004E30DF">
        <w:rPr>
          <w:lang w:eastAsia="ko-KR"/>
        </w:rPr>
        <w:t xml:space="preserve">Specifically, the average cost </w:t>
      </w:r>
      <w:r>
        <w:rPr>
          <w:lang w:eastAsia="ko-KR"/>
        </w:rPr>
        <w:t xml:space="preserve">for BESp100 under the OPT scenario is </w:t>
      </w:r>
      <w:r w:rsidRPr="004E30DF">
        <w:rPr>
          <w:lang w:eastAsia="ko-KR"/>
        </w:rPr>
        <w:t xml:space="preserve">$36.2/km ($67.0/nm), </w:t>
      </w:r>
      <w:r>
        <w:rPr>
          <w:lang w:eastAsia="ko-KR"/>
        </w:rPr>
        <w:t>or</w:t>
      </w:r>
      <w:r w:rsidRPr="004E30DF">
        <w:rPr>
          <w:lang w:eastAsia="ko-KR"/>
        </w:rPr>
        <w:t xml:space="preserve"> 9% </w:t>
      </w:r>
      <w:r>
        <w:rPr>
          <w:lang w:eastAsia="ko-KR"/>
        </w:rPr>
        <w:t xml:space="preserve">below </w:t>
      </w:r>
      <w:r w:rsidRPr="004E30DF">
        <w:rPr>
          <w:lang w:eastAsia="ko-KR"/>
        </w:rPr>
        <w:t>the average cost</w:t>
      </w:r>
      <w:r>
        <w:rPr>
          <w:lang w:eastAsia="ko-KR"/>
        </w:rPr>
        <w:t xml:space="preserve"> for ICEs. This highlights the improved cost-effectiveness of BES in Optimistic scenario, making BESp100 potentially cost-competitive with ICEs without needing to lower the capacity tier. It is essential to consider the reimbursement from the value of SLB in this context, as it plays a vital role in making BES more economically viable. If this value is not factored in, the average cost of BESp100 would be significantly higher under the Optimistic scenario – $50.1/km ($92.8/nm) more expensive than ICEs – while BESp99 or lower capacity tiers would demonstrate lower costs than ICE. Hence, capturing the value of SLBs after their initial use in BESs is crucial for enhancing BES cost-competitiveness.</w:t>
      </w:r>
    </w:p>
    <w:p w14:paraId="476BE663" w14:textId="11724DC4" w:rsidR="004B3713" w:rsidRDefault="004B3713">
      <w:pPr>
        <w:widowControl/>
        <w:spacing w:line="240" w:lineRule="auto"/>
        <w:rPr>
          <w:lang w:eastAsia="ko-KR"/>
        </w:rPr>
      </w:pPr>
      <w:r>
        <w:rPr>
          <w:lang w:eastAsia="ko-KR"/>
        </w:rPr>
        <w:br w:type="page"/>
      </w:r>
    </w:p>
    <w:p w14:paraId="5C21489E" w14:textId="77777777" w:rsidR="00E9006F" w:rsidRPr="00022BA7" w:rsidRDefault="00E9006F" w:rsidP="00E9006F">
      <w:pPr>
        <w:keepNext/>
      </w:pPr>
      <w:r>
        <w:rPr>
          <w:noProof/>
        </w:rPr>
        <w:drawing>
          <wp:inline distT="0" distB="0" distL="0" distR="0" wp14:anchorId="05B3FD05" wp14:editId="64FE6D4D">
            <wp:extent cx="5486400" cy="4352193"/>
            <wp:effectExtent l="0" t="0" r="0" b="0"/>
            <wp:docPr id="1656170158" name="Graphic 165617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96DAC541-7B7A-43D3-8B79-37D633B846F1}">
                          <asvg:svgBlip xmlns:asvg="http://schemas.microsoft.com/office/drawing/2016/SVG/main" r:embed="rId65"/>
                        </a:ext>
                      </a:extLst>
                    </a:blip>
                    <a:stretch>
                      <a:fillRect/>
                    </a:stretch>
                  </pic:blipFill>
                  <pic:spPr>
                    <a:xfrm>
                      <a:off x="0" y="0"/>
                      <a:ext cx="5486400" cy="4352193"/>
                    </a:xfrm>
                    <a:prstGeom prst="rect">
                      <a:avLst/>
                    </a:prstGeom>
                  </pic:spPr>
                </pic:pic>
              </a:graphicData>
            </a:graphic>
          </wp:inline>
        </w:drawing>
      </w:r>
    </w:p>
    <w:p w14:paraId="03EBBCBB" w14:textId="6EBBB09F" w:rsidR="00E9006F" w:rsidRPr="00022BA7" w:rsidRDefault="00610389" w:rsidP="00E9006F">
      <w:pPr>
        <w:pStyle w:val="Caption"/>
      </w:pPr>
      <w:bookmarkStart w:id="193" w:name="_Ref141443029"/>
      <w:bookmarkStart w:id="194" w:name="_Toc145792547"/>
      <w:bookmarkStart w:id="195" w:name="_Toc148444207"/>
      <w:r>
        <w:t xml:space="preserve">Supplementary </w:t>
      </w:r>
      <w:r w:rsidR="00E9006F" w:rsidRPr="00022BA7">
        <w:t xml:space="preserve">Figure </w:t>
      </w:r>
      <w:r w:rsidR="00590C69">
        <w:fldChar w:fldCharType="begin"/>
      </w:r>
      <w:r w:rsidR="00590C69">
        <w:instrText xml:space="preserve"> SEQ Figure \* ARABIC \s</w:instrText>
      </w:r>
      <w:r w:rsidR="00590C69">
        <w:instrText xml:space="preserve"> 1 </w:instrText>
      </w:r>
      <w:r w:rsidR="00590C69">
        <w:fldChar w:fldCharType="separate"/>
      </w:r>
      <w:r w:rsidR="00C661AC">
        <w:rPr>
          <w:noProof/>
        </w:rPr>
        <w:t>26</w:t>
      </w:r>
      <w:r w:rsidR="00590C69">
        <w:rPr>
          <w:noProof/>
        </w:rPr>
        <w:fldChar w:fldCharType="end"/>
      </w:r>
      <w:bookmarkEnd w:id="193"/>
      <w:r w:rsidR="00E9006F" w:rsidRPr="00022BA7">
        <w:t xml:space="preserve">. Ratio of </w:t>
      </w:r>
      <w:r w:rsidR="00E9006F">
        <w:t>BES</w:t>
      </w:r>
      <w:r w:rsidR="00E9006F" w:rsidRPr="00022BA7">
        <w:t xml:space="preserve"> Weight </w:t>
      </w:r>
      <w:r w:rsidR="00E9006F">
        <w:t>to</w:t>
      </w:r>
      <w:r w:rsidR="00E9006F" w:rsidRPr="00022BA7">
        <w:t xml:space="preserve"> ICE Weight by BES Capacity Tier</w:t>
      </w:r>
      <w:bookmarkEnd w:id="194"/>
      <w:bookmarkEnd w:id="195"/>
    </w:p>
    <w:p w14:paraId="691E1DF6" w14:textId="77777777" w:rsidR="004B3713" w:rsidRDefault="004B3713" w:rsidP="004434A0">
      <w:pPr>
        <w:rPr>
          <w:lang w:eastAsia="ko-KR"/>
        </w:rPr>
      </w:pPr>
    </w:p>
    <w:p w14:paraId="0E045EA3" w14:textId="3D1A0B4E" w:rsidR="00E9006F" w:rsidRDefault="00E9006F" w:rsidP="00E9006F">
      <w:r w:rsidRPr="00022BA7">
        <w:t xml:space="preserve">As shown </w:t>
      </w:r>
      <w:r>
        <w:t>i</w:t>
      </w:r>
      <w:r w:rsidRPr="00022BA7">
        <w:t>n</w:t>
      </w:r>
      <w:r>
        <w:t xml:space="preserve"> </w:t>
      </w:r>
      <w:r>
        <w:fldChar w:fldCharType="begin"/>
      </w:r>
      <w:r>
        <w:instrText xml:space="preserve"> REF _Ref141443029 \h </w:instrText>
      </w:r>
      <w:r>
        <w:fldChar w:fldCharType="separate"/>
      </w:r>
      <w:r w:rsidR="00C661AC">
        <w:t xml:space="preserve">Supplementary </w:t>
      </w:r>
      <w:r w:rsidR="00C661AC" w:rsidRPr="00022BA7">
        <w:t xml:space="preserve">Figure </w:t>
      </w:r>
      <w:r w:rsidR="00C661AC">
        <w:rPr>
          <w:noProof/>
        </w:rPr>
        <w:t>26</w:t>
      </w:r>
      <w:r>
        <w:fldChar w:fldCharType="end"/>
      </w:r>
      <w:r w:rsidRPr="00022BA7">
        <w:t xml:space="preserve">, </w:t>
      </w:r>
      <w:r>
        <w:t xml:space="preserve">the </w:t>
      </w:r>
      <w:r w:rsidRPr="00022BA7">
        <w:t xml:space="preserve">weight increase </w:t>
      </w:r>
      <w:r>
        <w:t xml:space="preserve">of BESs relative to their ICE counterparts </w:t>
      </w:r>
      <w:r w:rsidRPr="00022BA7">
        <w:t xml:space="preserve">tends </w:t>
      </w:r>
      <w:r>
        <w:t xml:space="preserve">to </w:t>
      </w:r>
      <w:r w:rsidRPr="00022BA7">
        <w:t xml:space="preserve">exhibit variations among different capacity tiers, with a decreasing trend observed for lower capacity tiers. The median </w:t>
      </w:r>
      <w:r>
        <w:t xml:space="preserve">BES weight </w:t>
      </w:r>
      <w:r w:rsidRPr="00022BA7">
        <w:t>increase</w:t>
      </w:r>
      <w:r>
        <w:t>s</w:t>
      </w:r>
      <w:r w:rsidRPr="00022BA7">
        <w:t xml:space="preserve"> are 137%, 30%, 8%, and 2% for capacity tiers </w:t>
      </w:r>
      <w:r w:rsidR="00A83979" w:rsidRPr="00A83979">
        <w:t>BESp100, BESp99, BESp95, and BESp90</w:t>
      </w:r>
      <w:r w:rsidRPr="00022BA7">
        <w:t xml:space="preserve">, respectively. </w:t>
      </w:r>
      <w:r>
        <w:t>F</w:t>
      </w:r>
      <w:r w:rsidRPr="00022BA7">
        <w:t>or BESp100, 41% of vessels had a weight increase of over 100%</w:t>
      </w:r>
      <w:r>
        <w:t xml:space="preserve"> (i.e., were more than twice as heavy as their ICE counterparts)</w:t>
      </w:r>
      <w:r w:rsidRPr="00022BA7">
        <w:t xml:space="preserve">, highlighting significant </w:t>
      </w:r>
      <w:r>
        <w:t xml:space="preserve">weight </w:t>
      </w:r>
      <w:r w:rsidRPr="00022BA7">
        <w:t xml:space="preserve">increases for a considerable portion of these ships. In contrast, BESp99 showed more modest </w:t>
      </w:r>
      <w:r>
        <w:t xml:space="preserve">weight </w:t>
      </w:r>
      <w:r w:rsidRPr="00022BA7">
        <w:t>impact</w:t>
      </w:r>
      <w:r>
        <w:t>s</w:t>
      </w:r>
      <w:r w:rsidRPr="00022BA7">
        <w:t>, with 65% of vessels having a weight increase of 50% or less</w:t>
      </w:r>
      <w:r>
        <w:t xml:space="preserve"> relative to ICEs</w:t>
      </w:r>
      <w:r w:rsidRPr="00022BA7">
        <w:t xml:space="preserve">. </w:t>
      </w:r>
      <w:r>
        <w:t>For</w:t>
      </w:r>
      <w:r w:rsidRPr="00022BA7">
        <w:t xml:space="preserve"> BESp95, 69% of vessels had a weight increase of 20% or less, </w:t>
      </w:r>
      <w:r>
        <w:t xml:space="preserve">while </w:t>
      </w:r>
      <w:r w:rsidRPr="00022BA7">
        <w:t>BESp90</w:t>
      </w:r>
      <w:r>
        <w:t xml:space="preserve"> had</w:t>
      </w:r>
      <w:r w:rsidRPr="00022BA7">
        <w:t xml:space="preserve"> a striking 91% of vessels </w:t>
      </w:r>
      <w:r>
        <w:t>with</w:t>
      </w:r>
      <w:r w:rsidRPr="00022BA7">
        <w:t xml:space="preserve"> a weight increase of 20% or less, </w:t>
      </w:r>
      <w:r>
        <w:t>highlighting the</w:t>
      </w:r>
      <w:r w:rsidRPr="00022BA7">
        <w:t xml:space="preserve"> weight </w:t>
      </w:r>
      <w:r>
        <w:t xml:space="preserve">reduction </w:t>
      </w:r>
      <w:r w:rsidRPr="00022BA7">
        <w:t xml:space="preserve">trend </w:t>
      </w:r>
      <w:r>
        <w:t>seen in</w:t>
      </w:r>
      <w:r w:rsidRPr="00022BA7">
        <w:t xml:space="preserve"> lower capacity tiers. </w:t>
      </w:r>
      <w:r w:rsidR="00663056" w:rsidRPr="00663056">
        <w:t xml:space="preserve">This result indicates that adopting battery-electric propulsion systems </w:t>
      </w:r>
      <w:r w:rsidR="006462D7">
        <w:t>with</w:t>
      </w:r>
      <w:r w:rsidR="00663056" w:rsidRPr="00663056">
        <w:t xml:space="preserve"> lower capacity tiers can lead to modest increase of weights, making them potentially attractive options from a weight perspective.</w:t>
      </w:r>
    </w:p>
    <w:p w14:paraId="7C8D9D15" w14:textId="38056583" w:rsidR="00DF4797" w:rsidRDefault="00DF4797">
      <w:pPr>
        <w:widowControl/>
        <w:spacing w:line="240" w:lineRule="auto"/>
        <w:rPr>
          <w:lang w:eastAsia="ko-KR"/>
        </w:rPr>
      </w:pPr>
      <w:r>
        <w:rPr>
          <w:lang w:eastAsia="ko-KR"/>
        </w:rPr>
        <w:br w:type="page"/>
      </w:r>
    </w:p>
    <w:p w14:paraId="1BE5597E" w14:textId="77777777" w:rsidR="009117B8" w:rsidRPr="00022BA7" w:rsidRDefault="009117B8" w:rsidP="009117B8">
      <w:pPr>
        <w:keepNext/>
        <w:rPr>
          <w:lang w:eastAsia="ko-KR"/>
        </w:rPr>
      </w:pPr>
      <w:r>
        <w:rPr>
          <w:noProof/>
        </w:rPr>
        <w:drawing>
          <wp:inline distT="0" distB="0" distL="0" distR="0" wp14:anchorId="67A1E6FD" wp14:editId="492766F4">
            <wp:extent cx="5486400" cy="4352192"/>
            <wp:effectExtent l="0" t="0" r="0" b="0"/>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5486400" cy="4352192"/>
                    </a:xfrm>
                    <a:prstGeom prst="rect">
                      <a:avLst/>
                    </a:prstGeom>
                  </pic:spPr>
                </pic:pic>
              </a:graphicData>
            </a:graphic>
          </wp:inline>
        </w:drawing>
      </w:r>
    </w:p>
    <w:p w14:paraId="48A7017A" w14:textId="3A67E9DE" w:rsidR="009117B8" w:rsidRPr="00022BA7" w:rsidRDefault="00B271FE" w:rsidP="009117B8">
      <w:pPr>
        <w:pStyle w:val="Caption"/>
      </w:pPr>
      <w:bookmarkStart w:id="196" w:name="_Ref134617997"/>
      <w:bookmarkStart w:id="197" w:name="_Toc145792548"/>
      <w:bookmarkStart w:id="198" w:name="_Toc148444208"/>
      <w:r>
        <w:t xml:space="preserve">Supplementary </w:t>
      </w:r>
      <w:r w:rsidR="009117B8" w:rsidRPr="00022BA7">
        <w:t xml:space="preserve">Figure </w:t>
      </w:r>
      <w:r w:rsidR="00590C69">
        <w:fldChar w:fldCharType="begin"/>
      </w:r>
      <w:r w:rsidR="00590C69">
        <w:instrText xml:space="preserve"> SEQ Figure \* ARABIC \s 1 </w:instrText>
      </w:r>
      <w:r w:rsidR="00590C69">
        <w:fldChar w:fldCharType="separate"/>
      </w:r>
      <w:r w:rsidR="00C661AC">
        <w:rPr>
          <w:noProof/>
        </w:rPr>
        <w:t>27</w:t>
      </w:r>
      <w:r w:rsidR="00590C69">
        <w:rPr>
          <w:noProof/>
        </w:rPr>
        <w:fldChar w:fldCharType="end"/>
      </w:r>
      <w:bookmarkEnd w:id="196"/>
      <w:r w:rsidR="009117B8" w:rsidRPr="00022BA7">
        <w:t xml:space="preserve">. Ratio of </w:t>
      </w:r>
      <w:r w:rsidR="009117B8">
        <w:t>BES</w:t>
      </w:r>
      <w:r w:rsidR="009117B8" w:rsidRPr="00022BA7">
        <w:t xml:space="preserve"> </w:t>
      </w:r>
      <w:r w:rsidR="009117B8">
        <w:t xml:space="preserve">p99 </w:t>
      </w:r>
      <w:r w:rsidR="009117B8" w:rsidRPr="00022BA7">
        <w:t xml:space="preserve">Weight </w:t>
      </w:r>
      <w:r w:rsidR="009117B8">
        <w:t>to</w:t>
      </w:r>
      <w:r w:rsidR="009117B8" w:rsidRPr="00022BA7">
        <w:t xml:space="preserve"> ICE Weight by Ship Type</w:t>
      </w:r>
      <w:bookmarkEnd w:id="197"/>
      <w:bookmarkEnd w:id="198"/>
    </w:p>
    <w:p w14:paraId="49F082D5" w14:textId="77777777" w:rsidR="009117B8" w:rsidRDefault="009117B8" w:rsidP="009117B8"/>
    <w:p w14:paraId="2AD7F33B" w14:textId="52FFE138" w:rsidR="009117B8" w:rsidRDefault="009117B8" w:rsidP="009117B8">
      <w:pPr>
        <w:rPr>
          <w:lang w:eastAsia="ko-KR"/>
        </w:rPr>
      </w:pPr>
      <w:r>
        <w:t>Beyond capacity tiers, t</w:t>
      </w:r>
      <w:r w:rsidRPr="00022BA7">
        <w:t xml:space="preserve">he analysis </w:t>
      </w:r>
      <w:r>
        <w:t xml:space="preserve">also </w:t>
      </w:r>
      <w:r w:rsidRPr="00022BA7">
        <w:t>reveals significant variations in weight increase trends depending on ship type</w:t>
      </w:r>
      <w:r>
        <w:t xml:space="preserve"> (</w:t>
      </w:r>
      <w:r>
        <w:fldChar w:fldCharType="begin"/>
      </w:r>
      <w:r>
        <w:instrText xml:space="preserve"> REF _Ref134617997 \h </w:instrText>
      </w:r>
      <w:r>
        <w:fldChar w:fldCharType="separate"/>
      </w:r>
      <w:r w:rsidR="00C661AC">
        <w:t xml:space="preserve">Supplementary </w:t>
      </w:r>
      <w:r w:rsidR="00C661AC" w:rsidRPr="00022BA7">
        <w:t xml:space="preserve">Figure </w:t>
      </w:r>
      <w:r w:rsidR="00C661AC">
        <w:rPr>
          <w:noProof/>
        </w:rPr>
        <w:t>27</w:t>
      </w:r>
      <w:r>
        <w:fldChar w:fldCharType="end"/>
      </w:r>
      <w:r>
        <w:t>)</w:t>
      </w:r>
      <w:r w:rsidRPr="00022BA7">
        <w:t xml:space="preserve">. Specifically, for BESp99, we found that passenger ships displayed the least weight increase, </w:t>
      </w:r>
      <w:r>
        <w:t xml:space="preserve">with </w:t>
      </w:r>
      <w:r w:rsidRPr="00CA2849">
        <w:t xml:space="preserve">94% </w:t>
      </w:r>
      <w:r>
        <w:t xml:space="preserve">having a weight ratio of 1.5 or less compared to </w:t>
      </w:r>
      <w:r w:rsidRPr="00CA2849">
        <w:t>ICE</w:t>
      </w:r>
      <w:r>
        <w:t>s</w:t>
      </w:r>
      <w:r w:rsidRPr="00CA2849">
        <w:t>.</w:t>
      </w:r>
      <w:r>
        <w:t xml:space="preserve"> </w:t>
      </w:r>
      <w:r w:rsidRPr="00022BA7">
        <w:t xml:space="preserve">In contrast, for </w:t>
      </w:r>
      <w:r>
        <w:t xml:space="preserve">two types of </w:t>
      </w:r>
      <w:r w:rsidRPr="00022BA7">
        <w:t>tug</w:t>
      </w:r>
      <w:r>
        <w:t>s,</w:t>
      </w:r>
      <w:r w:rsidRPr="00022BA7">
        <w:t xml:space="preserve"> coastal-harbor and inland-push boats, 60% and 69% experienced </w:t>
      </w:r>
      <w:r>
        <w:t>a weight ratio of 1.5 or less</w:t>
      </w:r>
      <w:r w:rsidRPr="00022BA7">
        <w:t xml:space="preserve">, respectively, compared to ICE ships. </w:t>
      </w:r>
      <w:r>
        <w:t xml:space="preserve">ATB </w:t>
      </w:r>
      <w:r w:rsidRPr="00022BA7">
        <w:t>tug</w:t>
      </w:r>
      <w:r>
        <w:t>s</w:t>
      </w:r>
      <w:r w:rsidRPr="00022BA7">
        <w:t xml:space="preserve"> exhibited the largest weight increase, with only 10% of ships experiencing </w:t>
      </w:r>
      <w:r>
        <w:t>a weight ratio of 1.5 or less</w:t>
      </w:r>
      <w:r w:rsidRPr="00022BA7">
        <w:t xml:space="preserve">. </w:t>
      </w:r>
      <w:r>
        <w:t>Given</w:t>
      </w:r>
      <w:r w:rsidRPr="00022BA7">
        <w:t xml:space="preserve"> the patterns of weight increase based on ship type</w:t>
      </w:r>
      <w:r>
        <w:t>s</w:t>
      </w:r>
      <w:r w:rsidRPr="00022BA7">
        <w:t xml:space="preserve">, it is crucial to </w:t>
      </w:r>
      <w:r>
        <w:t>consider</w:t>
      </w:r>
      <w:r w:rsidRPr="00022BA7">
        <w:t xml:space="preserve"> the specific ship type when contemplating retrofitting ICE to BES.</w:t>
      </w:r>
    </w:p>
    <w:p w14:paraId="399AEDB5" w14:textId="77777777" w:rsidR="009117B8" w:rsidRDefault="009117B8" w:rsidP="009117B8"/>
    <w:p w14:paraId="079E1957" w14:textId="77777777" w:rsidR="009117B8" w:rsidRDefault="009117B8" w:rsidP="009117B8"/>
    <w:p w14:paraId="573ED740" w14:textId="77777777" w:rsidR="009117B8" w:rsidRDefault="009117B8" w:rsidP="009117B8">
      <w:pPr>
        <w:widowControl/>
        <w:spacing w:line="240" w:lineRule="auto"/>
      </w:pPr>
      <w:r>
        <w:br w:type="page"/>
      </w:r>
    </w:p>
    <w:p w14:paraId="20D49861" w14:textId="77777777" w:rsidR="009117B8" w:rsidRPr="00022BA7" w:rsidRDefault="009117B8" w:rsidP="009117B8">
      <w:pPr>
        <w:keepNext/>
        <w:rPr>
          <w:noProof/>
        </w:rPr>
      </w:pPr>
      <w:r>
        <w:rPr>
          <w:noProof/>
        </w:rPr>
        <w:drawing>
          <wp:inline distT="0" distB="0" distL="0" distR="0" wp14:anchorId="07A57FD4" wp14:editId="73258BAE">
            <wp:extent cx="5486400" cy="4341642"/>
            <wp:effectExtent l="0" t="0" r="0" b="1905"/>
            <wp:docPr id="1656170161" name="Graphic 165617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96DAC541-7B7A-43D3-8B79-37D633B846F1}">
                          <asvg:svgBlip xmlns:asvg="http://schemas.microsoft.com/office/drawing/2016/SVG/main" r:embed="rId69"/>
                        </a:ext>
                      </a:extLst>
                    </a:blip>
                    <a:stretch>
                      <a:fillRect/>
                    </a:stretch>
                  </pic:blipFill>
                  <pic:spPr>
                    <a:xfrm>
                      <a:off x="0" y="0"/>
                      <a:ext cx="5486400" cy="4341642"/>
                    </a:xfrm>
                    <a:prstGeom prst="rect">
                      <a:avLst/>
                    </a:prstGeom>
                  </pic:spPr>
                </pic:pic>
              </a:graphicData>
            </a:graphic>
          </wp:inline>
        </w:drawing>
      </w:r>
    </w:p>
    <w:p w14:paraId="16E68AD2" w14:textId="01413F31" w:rsidR="009117B8" w:rsidRPr="00022BA7" w:rsidRDefault="009117B8" w:rsidP="009117B8">
      <w:pPr>
        <w:pStyle w:val="Caption"/>
      </w:pPr>
      <w:bookmarkStart w:id="199" w:name="_Hlk146624628"/>
      <w:bookmarkStart w:id="200" w:name="_Ref141112965"/>
      <w:bookmarkStart w:id="201" w:name="_Toc145792549"/>
      <w:bookmarkStart w:id="202" w:name="_Toc148444209"/>
      <w:r>
        <w:t xml:space="preserve">Supplementary </w:t>
      </w:r>
      <w:bookmarkEnd w:id="199"/>
      <w:r w:rsidRPr="00022BA7">
        <w:t xml:space="preserve">Figure </w:t>
      </w:r>
      <w:r w:rsidR="00590C69">
        <w:fldChar w:fldCharType="begin"/>
      </w:r>
      <w:r w:rsidR="00590C69">
        <w:instrText xml:space="preserve"> SEQ Figure \* ARABIC \s 1 </w:instrText>
      </w:r>
      <w:r w:rsidR="00590C69">
        <w:fldChar w:fldCharType="separate"/>
      </w:r>
      <w:r w:rsidR="00C661AC">
        <w:rPr>
          <w:noProof/>
        </w:rPr>
        <w:t>28</w:t>
      </w:r>
      <w:r w:rsidR="00590C69">
        <w:rPr>
          <w:noProof/>
        </w:rPr>
        <w:fldChar w:fldCharType="end"/>
      </w:r>
      <w:bookmarkEnd w:id="200"/>
      <w:r w:rsidRPr="00022BA7">
        <w:t xml:space="preserve">. Ratio of BES </w:t>
      </w:r>
      <w:r>
        <w:t xml:space="preserve">p99 </w:t>
      </w:r>
      <w:r w:rsidRPr="00022BA7">
        <w:t xml:space="preserve">Weight </w:t>
      </w:r>
      <w:r>
        <w:t xml:space="preserve">to </w:t>
      </w:r>
      <w:r w:rsidRPr="00022BA7">
        <w:t xml:space="preserve">ICE Weight by Ship Type under Multiple Battery </w:t>
      </w:r>
      <w:r>
        <w:t>Weight Reduction</w:t>
      </w:r>
      <w:r w:rsidRPr="00022BA7">
        <w:t xml:space="preserve"> Scenarios</w:t>
      </w:r>
      <w:bookmarkEnd w:id="201"/>
      <w:bookmarkEnd w:id="202"/>
    </w:p>
    <w:p w14:paraId="25685C01" w14:textId="77777777" w:rsidR="009117B8" w:rsidRPr="00022BA7" w:rsidRDefault="009117B8" w:rsidP="009117B8"/>
    <w:p w14:paraId="2F9E514E" w14:textId="5F194BC3" w:rsidR="009117B8" w:rsidRPr="00022BA7" w:rsidRDefault="009117B8" w:rsidP="009117B8">
      <w:pPr>
        <w:rPr>
          <w:lang w:eastAsia="ko-KR"/>
        </w:rPr>
      </w:pPr>
      <w:r w:rsidRPr="00022BA7">
        <w:rPr>
          <w:lang w:eastAsia="ko-KR"/>
        </w:rPr>
        <w:fldChar w:fldCharType="begin"/>
      </w:r>
      <w:r w:rsidRPr="00022BA7">
        <w:rPr>
          <w:lang w:eastAsia="ko-KR"/>
        </w:rPr>
        <w:instrText xml:space="preserve"> REF _Ref141112965 \h </w:instrText>
      </w:r>
      <w:r>
        <w:rPr>
          <w:lang w:eastAsia="ko-KR"/>
        </w:rPr>
        <w:instrText xml:space="preserve"> \* MERGEFORMAT </w:instrText>
      </w:r>
      <w:r w:rsidRPr="00022BA7">
        <w:rPr>
          <w:lang w:eastAsia="ko-KR"/>
        </w:rPr>
      </w:r>
      <w:r w:rsidRPr="00022BA7">
        <w:rPr>
          <w:lang w:eastAsia="ko-KR"/>
        </w:rPr>
        <w:fldChar w:fldCharType="separate"/>
      </w:r>
      <w:r w:rsidR="00C661AC">
        <w:t xml:space="preserve">Supplementary </w:t>
      </w:r>
      <w:r w:rsidR="00C661AC" w:rsidRPr="00022BA7">
        <w:rPr>
          <w:noProof/>
        </w:rPr>
        <w:t>Figure</w:t>
      </w:r>
      <w:r w:rsidR="00C661AC" w:rsidRPr="00022BA7">
        <w:t xml:space="preserve"> </w:t>
      </w:r>
      <w:r w:rsidR="00C661AC">
        <w:rPr>
          <w:noProof/>
        </w:rPr>
        <w:t>28</w:t>
      </w:r>
      <w:r w:rsidRPr="00022BA7">
        <w:rPr>
          <w:lang w:eastAsia="ko-KR"/>
        </w:rPr>
        <w:fldChar w:fldCharType="end"/>
      </w:r>
      <w:r w:rsidRPr="00022BA7">
        <w:rPr>
          <w:lang w:eastAsia="ko-KR"/>
        </w:rPr>
        <w:t xml:space="preserve"> shows that improvements in battery system weight can reduce the BES-to-ICE weight ratio. The figure shows th</w:t>
      </w:r>
      <w:r>
        <w:rPr>
          <w:lang w:eastAsia="ko-KR"/>
        </w:rPr>
        <w:t>is</w:t>
      </w:r>
      <w:r w:rsidRPr="00022BA7">
        <w:rPr>
          <w:lang w:eastAsia="ko-KR"/>
        </w:rPr>
        <w:t xml:space="preserve"> ratio </w:t>
      </w:r>
      <w:r>
        <w:rPr>
          <w:lang w:eastAsia="ko-KR"/>
        </w:rPr>
        <w:t>using</w:t>
      </w:r>
      <w:r w:rsidRPr="00022BA7">
        <w:rPr>
          <w:lang w:eastAsia="ko-KR"/>
        </w:rPr>
        <w:t xml:space="preserve"> </w:t>
      </w:r>
      <w:r>
        <w:rPr>
          <w:lang w:eastAsia="ko-KR"/>
        </w:rPr>
        <w:t xml:space="preserve">the BESp99 </w:t>
      </w:r>
      <w:r w:rsidRPr="00022BA7">
        <w:rPr>
          <w:lang w:eastAsia="ko-KR"/>
        </w:rPr>
        <w:t xml:space="preserve">capacity tier. Using the assumed 20.4 kg/kWh </w:t>
      </w:r>
      <w:r>
        <w:rPr>
          <w:lang w:eastAsia="ko-KR"/>
        </w:rPr>
        <w:t xml:space="preserve">battery weight </w:t>
      </w:r>
      <w:r w:rsidRPr="00022BA7">
        <w:rPr>
          <w:lang w:eastAsia="ko-KR"/>
        </w:rPr>
        <w:t>as baseline, BES-to-ICE weight ratio</w:t>
      </w:r>
      <w:r>
        <w:rPr>
          <w:lang w:eastAsia="ko-KR"/>
        </w:rPr>
        <w:t>s</w:t>
      </w:r>
      <w:r w:rsidRPr="00022BA7">
        <w:rPr>
          <w:lang w:eastAsia="ko-KR"/>
        </w:rPr>
        <w:t xml:space="preserve"> are calculated for </w:t>
      </w:r>
      <w:r>
        <w:rPr>
          <w:lang w:eastAsia="ko-KR"/>
        </w:rPr>
        <w:t xml:space="preserve">per kWh battery system weight </w:t>
      </w:r>
      <w:r w:rsidRPr="00022BA7">
        <w:rPr>
          <w:lang w:eastAsia="ko-KR"/>
        </w:rPr>
        <w:t xml:space="preserve">reductions of </w:t>
      </w:r>
      <w:r>
        <w:rPr>
          <w:lang w:eastAsia="ko-KR"/>
        </w:rPr>
        <w:t xml:space="preserve">0% (baseline), </w:t>
      </w:r>
      <w:r w:rsidRPr="00022BA7">
        <w:rPr>
          <w:lang w:eastAsia="ko-KR"/>
        </w:rPr>
        <w:t xml:space="preserve">25%, 50%, and 75%. The median </w:t>
      </w:r>
      <w:r>
        <w:t xml:space="preserve">weight ratio </w:t>
      </w:r>
      <w:r w:rsidRPr="00022BA7">
        <w:rPr>
          <w:lang w:eastAsia="ko-KR"/>
        </w:rPr>
        <w:t xml:space="preserve">for each </w:t>
      </w:r>
      <w:r>
        <w:rPr>
          <w:lang w:eastAsia="ko-KR"/>
        </w:rPr>
        <w:t xml:space="preserve">battery weight reduction </w:t>
      </w:r>
      <w:r w:rsidRPr="00022BA7">
        <w:rPr>
          <w:lang w:eastAsia="ko-KR"/>
        </w:rPr>
        <w:t xml:space="preserve">scenario are </w:t>
      </w:r>
      <w:r>
        <w:rPr>
          <w:lang w:eastAsia="ko-KR"/>
        </w:rPr>
        <w:t>1.3</w:t>
      </w:r>
      <w:r w:rsidRPr="00022BA7">
        <w:rPr>
          <w:lang w:eastAsia="ko-KR"/>
        </w:rPr>
        <w:t xml:space="preserve">0, </w:t>
      </w:r>
      <w:r>
        <w:rPr>
          <w:lang w:eastAsia="ko-KR"/>
        </w:rPr>
        <w:t>1.</w:t>
      </w:r>
      <w:r w:rsidRPr="00022BA7">
        <w:rPr>
          <w:lang w:eastAsia="ko-KR"/>
        </w:rPr>
        <w:t xml:space="preserve">21, </w:t>
      </w:r>
      <w:r>
        <w:rPr>
          <w:lang w:eastAsia="ko-KR"/>
        </w:rPr>
        <w:t>1.</w:t>
      </w:r>
      <w:r w:rsidRPr="00022BA7">
        <w:rPr>
          <w:lang w:eastAsia="ko-KR"/>
        </w:rPr>
        <w:t xml:space="preserve">13, and </w:t>
      </w:r>
      <w:r>
        <w:rPr>
          <w:lang w:eastAsia="ko-KR"/>
        </w:rPr>
        <w:t>1.0</w:t>
      </w:r>
      <w:r w:rsidRPr="00022BA7">
        <w:rPr>
          <w:lang w:eastAsia="ko-KR"/>
        </w:rPr>
        <w:t xml:space="preserve">4. </w:t>
      </w:r>
      <w:r>
        <w:rPr>
          <w:lang w:eastAsia="ko-KR"/>
        </w:rPr>
        <w:t>Among all BESs</w:t>
      </w:r>
      <w:r w:rsidRPr="00022BA7">
        <w:rPr>
          <w:lang w:eastAsia="ko-KR"/>
        </w:rPr>
        <w:t xml:space="preserve">, 39%, 48%, 63%, and 84%, respectively, have </w:t>
      </w:r>
      <w:r>
        <w:t>a weight ratio of 1.2 or less</w:t>
      </w:r>
      <w:r w:rsidRPr="00022BA7">
        <w:rPr>
          <w:lang w:eastAsia="ko-KR"/>
        </w:rPr>
        <w:t xml:space="preserve"> under </w:t>
      </w:r>
      <w:r>
        <w:rPr>
          <w:lang w:eastAsia="ko-KR"/>
        </w:rPr>
        <w:t>each respective battery weight reduction scenario</w:t>
      </w:r>
      <w:r w:rsidRPr="00022BA7">
        <w:rPr>
          <w:lang w:eastAsia="ko-KR"/>
        </w:rPr>
        <w:t xml:space="preserve">. Passenger vessels show </w:t>
      </w:r>
      <w:r>
        <w:rPr>
          <w:lang w:eastAsia="ko-KR"/>
        </w:rPr>
        <w:t>the most</w:t>
      </w:r>
      <w:r w:rsidRPr="00022BA7">
        <w:rPr>
          <w:lang w:eastAsia="ko-KR"/>
        </w:rPr>
        <w:t xml:space="preserve"> significant </w:t>
      </w:r>
      <w:r>
        <w:rPr>
          <w:lang w:eastAsia="ko-KR"/>
        </w:rPr>
        <w:t xml:space="preserve">weight </w:t>
      </w:r>
      <w:r w:rsidRPr="00022BA7">
        <w:rPr>
          <w:lang w:eastAsia="ko-KR"/>
        </w:rPr>
        <w:t>improvements. For BESp99, the median</w:t>
      </w:r>
      <w:r>
        <w:rPr>
          <w:lang w:eastAsia="ko-KR"/>
        </w:rPr>
        <w:t xml:space="preserve"> </w:t>
      </w:r>
      <w:r>
        <w:t>weight ratio</w:t>
      </w:r>
      <w:r w:rsidRPr="00022BA7">
        <w:rPr>
          <w:lang w:eastAsia="ko-KR"/>
        </w:rPr>
        <w:t xml:space="preserve"> under each </w:t>
      </w:r>
      <w:r>
        <w:rPr>
          <w:lang w:eastAsia="ko-KR"/>
        </w:rPr>
        <w:t xml:space="preserve">battery weight reduction </w:t>
      </w:r>
      <w:r w:rsidRPr="00022BA7">
        <w:rPr>
          <w:lang w:eastAsia="ko-KR"/>
        </w:rPr>
        <w:t xml:space="preserve">scenario is </w:t>
      </w:r>
      <w:r>
        <w:rPr>
          <w:lang w:eastAsia="ko-KR"/>
        </w:rPr>
        <w:t>1.08</w:t>
      </w:r>
      <w:r w:rsidRPr="00022BA7">
        <w:rPr>
          <w:lang w:eastAsia="ko-KR"/>
        </w:rPr>
        <w:t xml:space="preserve">, </w:t>
      </w:r>
      <w:r>
        <w:rPr>
          <w:lang w:eastAsia="ko-KR"/>
        </w:rPr>
        <w:t>1.0</w:t>
      </w:r>
      <w:r w:rsidRPr="00022BA7">
        <w:rPr>
          <w:lang w:eastAsia="ko-KR"/>
        </w:rPr>
        <w:t>4, 1</w:t>
      </w:r>
      <w:r>
        <w:rPr>
          <w:lang w:eastAsia="ko-KR"/>
        </w:rPr>
        <w:t>.00</w:t>
      </w:r>
      <w:r w:rsidRPr="00022BA7">
        <w:rPr>
          <w:lang w:eastAsia="ko-KR"/>
        </w:rPr>
        <w:t xml:space="preserve">, and </w:t>
      </w:r>
      <w:r>
        <w:rPr>
          <w:lang w:eastAsia="ko-KR"/>
        </w:rPr>
        <w:t>0.99</w:t>
      </w:r>
      <w:r w:rsidRPr="00022BA7">
        <w:rPr>
          <w:lang w:eastAsia="ko-KR"/>
        </w:rPr>
        <w:t>, indicating that battery weight improvements lead to overall weight improvements, with potentially more significant effects in certain vessel types.</w:t>
      </w:r>
    </w:p>
    <w:p w14:paraId="42142BE8" w14:textId="19CF4D5C" w:rsidR="003A2F1D" w:rsidRDefault="003A2F1D">
      <w:pPr>
        <w:widowControl/>
        <w:spacing w:line="240" w:lineRule="auto"/>
        <w:rPr>
          <w:lang w:eastAsia="ko-KR"/>
        </w:rPr>
      </w:pPr>
      <w:r>
        <w:rPr>
          <w:lang w:eastAsia="ko-KR"/>
        </w:rPr>
        <w:br w:type="page"/>
      </w:r>
    </w:p>
    <w:p w14:paraId="04356EF0" w14:textId="77777777" w:rsidR="00C40B81" w:rsidRPr="00022BA7" w:rsidRDefault="00C40B81" w:rsidP="00C40B81">
      <w:pPr>
        <w:keepNext/>
      </w:pPr>
      <w:r>
        <w:rPr>
          <w:noProof/>
        </w:rPr>
        <w:drawing>
          <wp:inline distT="0" distB="0" distL="0" distR="0" wp14:anchorId="05EBFA6F" wp14:editId="48F33909">
            <wp:extent cx="5486400" cy="4345158"/>
            <wp:effectExtent l="0" t="0" r="0" b="0"/>
            <wp:docPr id="30" name="Graphic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96DAC541-7B7A-43D3-8B79-37D633B846F1}">
                          <asvg:svgBlip xmlns:asvg="http://schemas.microsoft.com/office/drawing/2016/SVG/main" r:embed="rId71"/>
                        </a:ext>
                      </a:extLst>
                    </a:blip>
                    <a:stretch>
                      <a:fillRect/>
                    </a:stretch>
                  </pic:blipFill>
                  <pic:spPr>
                    <a:xfrm>
                      <a:off x="0" y="0"/>
                      <a:ext cx="5486400" cy="4345158"/>
                    </a:xfrm>
                    <a:prstGeom prst="rect">
                      <a:avLst/>
                    </a:prstGeom>
                  </pic:spPr>
                </pic:pic>
              </a:graphicData>
            </a:graphic>
          </wp:inline>
        </w:drawing>
      </w:r>
    </w:p>
    <w:p w14:paraId="10ED97FA" w14:textId="4C7D287F" w:rsidR="00C40B81" w:rsidRDefault="00B16268" w:rsidP="00C40B81">
      <w:pPr>
        <w:pStyle w:val="Caption"/>
        <w:rPr>
          <w:b w:val="0"/>
        </w:rPr>
      </w:pPr>
      <w:bookmarkStart w:id="203" w:name="_Ref141148668"/>
      <w:bookmarkStart w:id="204" w:name="_Toc145792556"/>
      <w:bookmarkStart w:id="205" w:name="_Toc148444210"/>
      <w:r>
        <w:t xml:space="preserve">Supplementary </w:t>
      </w:r>
      <w:r w:rsidR="00C40B81" w:rsidRPr="00022BA7">
        <w:t xml:space="preserve">Figure </w:t>
      </w:r>
      <w:r w:rsidR="00590C69">
        <w:fldChar w:fldCharType="begin"/>
      </w:r>
      <w:r w:rsidR="00590C69">
        <w:instrText xml:space="preserve"> SEQ Figure \* ARABIC \s 1 </w:instrText>
      </w:r>
      <w:r w:rsidR="00590C69">
        <w:fldChar w:fldCharType="separate"/>
      </w:r>
      <w:r w:rsidR="00C661AC">
        <w:rPr>
          <w:noProof/>
        </w:rPr>
        <w:t>29</w:t>
      </w:r>
      <w:r w:rsidR="00590C69">
        <w:rPr>
          <w:noProof/>
        </w:rPr>
        <w:fldChar w:fldCharType="end"/>
      </w:r>
      <w:bookmarkEnd w:id="203"/>
      <w:r w:rsidR="00C40B81" w:rsidRPr="00022BA7">
        <w:t xml:space="preserve">. </w:t>
      </w:r>
      <w:r w:rsidR="00C40B81" w:rsidRPr="00532D33">
        <w:t xml:space="preserve">Distribution of </w:t>
      </w:r>
      <w:r w:rsidR="00C40B81">
        <w:t xml:space="preserve">the </w:t>
      </w:r>
      <w:r w:rsidR="00C40B81" w:rsidRPr="00532D33">
        <w:t>Ratio of CO</w:t>
      </w:r>
      <w:r w:rsidR="00C40B81" w:rsidRPr="00123BF0">
        <w:rPr>
          <w:vertAlign w:val="subscript"/>
        </w:rPr>
        <w:t>2</w:t>
      </w:r>
      <w:r w:rsidR="00C40B81" w:rsidRPr="00532D33">
        <w:t xml:space="preserve">e Emission Decrease </w:t>
      </w:r>
      <w:r w:rsidR="00C40B81">
        <w:t>vs.</w:t>
      </w:r>
      <w:r w:rsidR="00C40B81" w:rsidRPr="00532D33">
        <w:t xml:space="preserve"> ICE </w:t>
      </w:r>
      <w:r w:rsidR="00C40B81">
        <w:t xml:space="preserve">Ships </w:t>
      </w:r>
      <w:r w:rsidR="00C40B81" w:rsidRPr="00532D33">
        <w:t xml:space="preserve">with </w:t>
      </w:r>
      <w:r w:rsidR="00C40B81">
        <w:t xml:space="preserve">a </w:t>
      </w:r>
      <w:r w:rsidR="00C40B81" w:rsidRPr="00532D33">
        <w:t xml:space="preserve">Factor </w:t>
      </w:r>
      <w:r w:rsidR="00C40B81">
        <w:t xml:space="preserve">of </w:t>
      </w:r>
      <w:r w:rsidR="00C40B81" w:rsidRPr="00532D33">
        <w:t xml:space="preserve">2 for Unserved Trips </w:t>
      </w:r>
      <w:r w:rsidR="00C40B81">
        <w:t xml:space="preserve">in 2035 </w:t>
      </w:r>
      <w:r w:rsidR="00C40B81" w:rsidRPr="00532D33">
        <w:t xml:space="preserve">under </w:t>
      </w:r>
      <w:r w:rsidR="00C40B81">
        <w:t xml:space="preserve">a </w:t>
      </w:r>
      <w:r w:rsidR="00C40B81" w:rsidRPr="00532D33">
        <w:t>95% Decarbonization by 2050 (DEC)</w:t>
      </w:r>
      <w:r w:rsidR="00C40B81">
        <w:t xml:space="preserve"> Scenario</w:t>
      </w:r>
      <w:bookmarkEnd w:id="204"/>
      <w:bookmarkEnd w:id="205"/>
    </w:p>
    <w:p w14:paraId="35B352EA" w14:textId="675748AE" w:rsidR="00E306E6" w:rsidRDefault="00E306E6" w:rsidP="004434A0">
      <w:pPr>
        <w:rPr>
          <w:lang w:eastAsia="ko-KR"/>
        </w:rPr>
      </w:pPr>
    </w:p>
    <w:p w14:paraId="107CC6EF" w14:textId="31B65682" w:rsidR="00C40B81" w:rsidRPr="00022BA7" w:rsidRDefault="00C40B81" w:rsidP="00C40B81">
      <w:r w:rsidRPr="00022BA7">
        <w:rPr>
          <w:lang w:eastAsia="ko-KR"/>
        </w:rPr>
        <w:t xml:space="preserve">As the capacity tier decreases and the battery size becomes smaller, </w:t>
      </w:r>
      <w:r>
        <w:rPr>
          <w:lang w:eastAsia="ko-KR"/>
        </w:rPr>
        <w:t xml:space="preserve">more </w:t>
      </w:r>
      <w:r w:rsidRPr="00022BA7">
        <w:rPr>
          <w:lang w:eastAsia="ko-KR"/>
        </w:rPr>
        <w:t xml:space="preserve">unserved trips occur. However, these unserved trips can be addressed </w:t>
      </w:r>
      <w:r>
        <w:rPr>
          <w:lang w:eastAsia="ko-KR"/>
        </w:rPr>
        <w:t>by</w:t>
      </w:r>
      <w:r w:rsidRPr="00022BA7">
        <w:rPr>
          <w:lang w:eastAsia="ko-KR"/>
        </w:rPr>
        <w:t xml:space="preserve"> dividing them into smaller trips, which can be beneficial from an emission</w:t>
      </w:r>
      <w:r>
        <w:rPr>
          <w:lang w:eastAsia="ko-KR"/>
        </w:rPr>
        <w:t>s</w:t>
      </w:r>
      <w:r w:rsidRPr="00022BA7">
        <w:rPr>
          <w:lang w:eastAsia="ko-KR"/>
        </w:rPr>
        <w:t xml:space="preserve"> perspective.</w:t>
      </w:r>
      <w:r>
        <w:rPr>
          <w:lang w:eastAsia="ko-KR"/>
        </w:rPr>
        <w:t xml:space="preserve"> To figure out this beneficial, we estimated emissions including the emissions from unserved trips</w:t>
      </w:r>
      <w:r w:rsidRPr="00F72AA5">
        <w:rPr>
          <w:lang w:eastAsia="ko-KR"/>
        </w:rPr>
        <w:t xml:space="preserve"> </w:t>
      </w:r>
      <w:r w:rsidRPr="00022BA7">
        <w:rPr>
          <w:lang w:eastAsia="ko-KR"/>
        </w:rPr>
        <w:t xml:space="preserve">that were not </w:t>
      </w:r>
      <w:r>
        <w:rPr>
          <w:lang w:eastAsia="ko-KR"/>
        </w:rPr>
        <w:t xml:space="preserve">included in prior analysis. Assuming </w:t>
      </w:r>
      <w:r w:rsidRPr="00022BA7">
        <w:rPr>
          <w:lang w:eastAsia="ko-KR"/>
        </w:rPr>
        <w:t xml:space="preserve">vessels with lower capacity tiers </w:t>
      </w:r>
      <w:r>
        <w:rPr>
          <w:lang w:eastAsia="ko-KR"/>
        </w:rPr>
        <w:t xml:space="preserve">could perform </w:t>
      </w:r>
      <w:r w:rsidRPr="00022BA7">
        <w:rPr>
          <w:lang w:eastAsia="ko-KR"/>
        </w:rPr>
        <w:t xml:space="preserve">the unserved trips </w:t>
      </w:r>
      <w:r>
        <w:rPr>
          <w:lang w:eastAsia="ko-KR"/>
        </w:rPr>
        <w:t xml:space="preserve">with the factor of 2 to </w:t>
      </w:r>
      <w:r>
        <w:t>CO</w:t>
      </w:r>
      <w:r w:rsidRPr="00123BF0">
        <w:rPr>
          <w:vertAlign w:val="subscript"/>
        </w:rPr>
        <w:t>2</w:t>
      </w:r>
      <w:r>
        <w:t xml:space="preserve">e </w:t>
      </w:r>
      <w:r>
        <w:rPr>
          <w:lang w:eastAsia="ko-KR"/>
        </w:rPr>
        <w:t>emissions</w:t>
      </w:r>
      <w:r w:rsidRPr="00022BA7">
        <w:rPr>
          <w:lang w:eastAsia="ko-KR"/>
        </w:rPr>
        <w:t>.</w:t>
      </w:r>
      <w:r>
        <w:rPr>
          <w:lang w:eastAsia="ko-KR"/>
        </w:rPr>
        <w:t xml:space="preserve"> </w:t>
      </w:r>
      <w:r>
        <w:rPr>
          <w:lang w:eastAsia="ko-KR"/>
        </w:rPr>
        <w:fldChar w:fldCharType="begin"/>
      </w:r>
      <w:r>
        <w:rPr>
          <w:lang w:eastAsia="ko-KR"/>
        </w:rPr>
        <w:instrText xml:space="preserve"> REF _Ref141148668 \h </w:instrText>
      </w:r>
      <w:r>
        <w:rPr>
          <w:lang w:eastAsia="ko-KR"/>
        </w:rPr>
      </w:r>
      <w:r>
        <w:rPr>
          <w:lang w:eastAsia="ko-KR"/>
        </w:rPr>
        <w:fldChar w:fldCharType="separate"/>
      </w:r>
      <w:r w:rsidR="00C661AC">
        <w:t xml:space="preserve">Supplementary </w:t>
      </w:r>
      <w:r w:rsidR="00C661AC" w:rsidRPr="00022BA7">
        <w:t xml:space="preserve">Figure </w:t>
      </w:r>
      <w:r w:rsidR="00C661AC">
        <w:rPr>
          <w:noProof/>
        </w:rPr>
        <w:t>29</w:t>
      </w:r>
      <w:r>
        <w:rPr>
          <w:lang w:eastAsia="ko-KR"/>
        </w:rPr>
        <w:fldChar w:fldCharType="end"/>
      </w:r>
      <w:r>
        <w:rPr>
          <w:lang w:eastAsia="ko-KR"/>
        </w:rPr>
        <w:t xml:space="preserve"> shows the d</w:t>
      </w:r>
      <w:r w:rsidRPr="00882E5C">
        <w:rPr>
          <w:lang w:eastAsia="ko-KR"/>
        </w:rPr>
        <w:t xml:space="preserve">istribution of the </w:t>
      </w:r>
      <w:r>
        <w:rPr>
          <w:lang w:eastAsia="ko-KR"/>
        </w:rPr>
        <w:t>r</w:t>
      </w:r>
      <w:r w:rsidRPr="00882E5C">
        <w:rPr>
          <w:lang w:eastAsia="ko-KR"/>
        </w:rPr>
        <w:t xml:space="preserve">atio of </w:t>
      </w:r>
      <w:r>
        <w:t>CO</w:t>
      </w:r>
      <w:r w:rsidRPr="00123BF0">
        <w:rPr>
          <w:vertAlign w:val="subscript"/>
        </w:rPr>
        <w:t>2</w:t>
      </w:r>
      <w:r>
        <w:t xml:space="preserve">e </w:t>
      </w:r>
      <w:r>
        <w:rPr>
          <w:lang w:eastAsia="ko-KR"/>
        </w:rPr>
        <w:t>e</w:t>
      </w:r>
      <w:r w:rsidRPr="00882E5C">
        <w:rPr>
          <w:lang w:eastAsia="ko-KR"/>
        </w:rPr>
        <w:t xml:space="preserve">mission </w:t>
      </w:r>
      <w:r>
        <w:rPr>
          <w:lang w:eastAsia="ko-KR"/>
        </w:rPr>
        <w:t>d</w:t>
      </w:r>
      <w:r w:rsidRPr="00882E5C">
        <w:rPr>
          <w:lang w:eastAsia="ko-KR"/>
        </w:rPr>
        <w:t>ecrease</w:t>
      </w:r>
      <w:r>
        <w:rPr>
          <w:lang w:eastAsia="ko-KR"/>
        </w:rPr>
        <w:t xml:space="preserve"> by capacity tiers</w:t>
      </w:r>
      <w:r w:rsidRPr="00022BA7">
        <w:rPr>
          <w:lang w:eastAsia="ko-KR"/>
        </w:rPr>
        <w:t xml:space="preserve">. Despite the </w:t>
      </w:r>
      <w:r>
        <w:rPr>
          <w:lang w:eastAsia="ko-KR"/>
        </w:rPr>
        <w:t>applied factor</w:t>
      </w:r>
      <w:r w:rsidRPr="00022BA7">
        <w:rPr>
          <w:lang w:eastAsia="ko-KR"/>
        </w:rPr>
        <w:t>, it is observed that almost all vessels with lower capacity tiers showed a decrease in CO</w:t>
      </w:r>
      <w:r w:rsidRPr="0001344A">
        <w:rPr>
          <w:vertAlign w:val="subscript"/>
          <w:lang w:eastAsia="ko-KR"/>
        </w:rPr>
        <w:t>2</w:t>
      </w:r>
      <w:r w:rsidRPr="00022BA7">
        <w:rPr>
          <w:lang w:eastAsia="ko-KR"/>
        </w:rPr>
        <w:t>e emissions compared to ICE</w:t>
      </w:r>
      <w:r>
        <w:rPr>
          <w:lang w:eastAsia="ko-KR"/>
        </w:rPr>
        <w:t>s</w:t>
      </w:r>
      <w:r w:rsidRPr="00022BA7">
        <w:rPr>
          <w:lang w:eastAsia="ko-KR"/>
        </w:rPr>
        <w:t xml:space="preserve">. The average reduction rates are 40%, 38%, 26%, and 18% for p100, p99, p95, and p90, respectively. </w:t>
      </w:r>
      <w:r>
        <w:t>Therefore, dividing longer trips into multiple shorter trips may offer CO</w:t>
      </w:r>
      <w:r w:rsidRPr="00123BF0">
        <w:rPr>
          <w:vertAlign w:val="subscript"/>
        </w:rPr>
        <w:t>2</w:t>
      </w:r>
      <w:r>
        <w:t>e emission benefits compared to traditional ICE ships.</w:t>
      </w:r>
    </w:p>
    <w:p w14:paraId="1A8C393E" w14:textId="148B3742" w:rsidR="00041AF7" w:rsidRDefault="00041AF7">
      <w:pPr>
        <w:widowControl/>
        <w:spacing w:line="240" w:lineRule="auto"/>
        <w:rPr>
          <w:lang w:eastAsia="ko-KR"/>
        </w:rPr>
      </w:pPr>
      <w:r>
        <w:rPr>
          <w:lang w:eastAsia="ko-KR"/>
        </w:rPr>
        <w:br w:type="page"/>
      </w:r>
    </w:p>
    <w:p w14:paraId="5E2CD5B8" w14:textId="77777777" w:rsidR="0016047D" w:rsidRPr="00022BA7" w:rsidRDefault="0016047D" w:rsidP="0016047D">
      <w:pPr>
        <w:keepNext/>
      </w:pPr>
      <w:r>
        <w:rPr>
          <w:noProof/>
        </w:rPr>
        <w:drawing>
          <wp:inline distT="0" distB="0" distL="0" distR="0" wp14:anchorId="72F88EB4" wp14:editId="44877D03">
            <wp:extent cx="5486400" cy="4127109"/>
            <wp:effectExtent l="0" t="0" r="0" b="6985"/>
            <wp:docPr id="1656170128" name="Graphic 165617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96DAC541-7B7A-43D3-8B79-37D633B846F1}">
                          <asvg:svgBlip xmlns:asvg="http://schemas.microsoft.com/office/drawing/2016/SVG/main" r:embed="rId73"/>
                        </a:ext>
                      </a:extLst>
                    </a:blip>
                    <a:stretch>
                      <a:fillRect/>
                    </a:stretch>
                  </pic:blipFill>
                  <pic:spPr>
                    <a:xfrm>
                      <a:off x="0" y="0"/>
                      <a:ext cx="5486400" cy="4127109"/>
                    </a:xfrm>
                    <a:prstGeom prst="rect">
                      <a:avLst/>
                    </a:prstGeom>
                  </pic:spPr>
                </pic:pic>
              </a:graphicData>
            </a:graphic>
          </wp:inline>
        </w:drawing>
      </w:r>
    </w:p>
    <w:p w14:paraId="790FECB3" w14:textId="0EFCA893" w:rsidR="0016047D" w:rsidRPr="00022BA7" w:rsidRDefault="00AB6C4C" w:rsidP="0016047D">
      <w:pPr>
        <w:pStyle w:val="Caption"/>
      </w:pPr>
      <w:bookmarkStart w:id="206" w:name="_Ref140952114"/>
      <w:bookmarkStart w:id="207" w:name="_Toc145792536"/>
      <w:bookmarkStart w:id="208" w:name="_Toc148444211"/>
      <w:r>
        <w:t xml:space="preserve">Supplementary </w:t>
      </w:r>
      <w:r w:rsidR="0016047D" w:rsidRPr="00022BA7">
        <w:t xml:space="preserve">Figure </w:t>
      </w:r>
      <w:r w:rsidR="00590C69">
        <w:fldChar w:fldCharType="begin"/>
      </w:r>
      <w:r w:rsidR="00590C69">
        <w:instrText xml:space="preserve"> SEQ Figure \* ARABIC \s 1 </w:instrText>
      </w:r>
      <w:r w:rsidR="00590C69">
        <w:fldChar w:fldCharType="separate"/>
      </w:r>
      <w:r w:rsidR="00C661AC">
        <w:rPr>
          <w:noProof/>
        </w:rPr>
        <w:t>30</w:t>
      </w:r>
      <w:r w:rsidR="00590C69">
        <w:rPr>
          <w:noProof/>
        </w:rPr>
        <w:fldChar w:fldCharType="end"/>
      </w:r>
      <w:bookmarkEnd w:id="206"/>
      <w:r w:rsidR="0016047D" w:rsidRPr="00022BA7">
        <w:t xml:space="preserve">. Ratio of Supplied Charging Demand under </w:t>
      </w:r>
      <w:r w:rsidR="0016047D">
        <w:t>Historical Activity-Based Charging (</w:t>
      </w:r>
      <w:r w:rsidR="0016047D" w:rsidRPr="00022BA7">
        <w:t>HA</w:t>
      </w:r>
      <w:r w:rsidR="0016047D">
        <w:t xml:space="preserve">C) </w:t>
      </w:r>
      <w:r w:rsidR="0016047D" w:rsidRPr="00022BA7">
        <w:t xml:space="preserve">and </w:t>
      </w:r>
      <w:r w:rsidR="0016047D">
        <w:t>Trip-Based Charging (</w:t>
      </w:r>
      <w:r w:rsidR="0016047D" w:rsidRPr="00022BA7">
        <w:t>TBC</w:t>
      </w:r>
      <w:r w:rsidR="0016047D">
        <w:t xml:space="preserve">) </w:t>
      </w:r>
      <w:r w:rsidR="0016047D" w:rsidRPr="00022BA7">
        <w:t>at the Illinois International Port</w:t>
      </w:r>
      <w:bookmarkEnd w:id="207"/>
      <w:bookmarkEnd w:id="208"/>
      <w:r w:rsidR="0016047D">
        <w:t xml:space="preserve"> </w:t>
      </w:r>
    </w:p>
    <w:p w14:paraId="3BD3A6C2" w14:textId="77777777" w:rsidR="00C40B81" w:rsidRDefault="00C40B81" w:rsidP="004434A0">
      <w:pPr>
        <w:rPr>
          <w:lang w:eastAsia="ko-KR"/>
        </w:rPr>
      </w:pPr>
    </w:p>
    <w:p w14:paraId="74011951" w14:textId="77777777" w:rsidR="0016047D" w:rsidRPr="00022BA7" w:rsidRDefault="0016047D" w:rsidP="0016047D">
      <w:r>
        <w:t>A</w:t>
      </w:r>
      <w:r w:rsidRPr="00022BA7">
        <w:t xml:space="preserve">dditional electricity demand varies by state, but in most </w:t>
      </w:r>
      <w:proofErr w:type="gramStart"/>
      <w:r w:rsidRPr="00022BA7">
        <w:t>cases</w:t>
      </w:r>
      <w:proofErr w:type="gramEnd"/>
      <w:r w:rsidRPr="00022BA7">
        <w:t xml:space="preserve"> it is less than 1% of 2021 statewide electricity demand, indicating that this is an achievable expansion of electricity supply. However, the concentrated charging needs for BESs at specific port locations is likely to create a significant burden on ports</w:t>
      </w:r>
      <w:r>
        <w:t>’</w:t>
      </w:r>
      <w:r w:rsidRPr="00022BA7">
        <w:t xml:space="preserve"> existing power systems. For example, according to a recent survey by GSGP</w:t>
      </w:r>
      <w:r w:rsidRPr="00022BA7" w:rsidDel="00F00EA4">
        <w:t xml:space="preserve"> </w:t>
      </w:r>
      <w:r w:rsidRPr="00022BA7">
        <w:t xml:space="preserve">and ABS (2022), the existing power capacity at the Illinois International Port, </w:t>
      </w:r>
      <w:r>
        <w:t>a</w:t>
      </w:r>
      <w:r w:rsidRPr="00022BA7">
        <w:t xml:space="preserve"> </w:t>
      </w:r>
      <w:r>
        <w:t>large</w:t>
      </w:r>
      <w:r w:rsidRPr="00022BA7">
        <w:t xml:space="preserve"> port in the Great Lakes region, is 700 kW</w:t>
      </w:r>
      <w:r>
        <w:t>,</w:t>
      </w:r>
      <w:r w:rsidRPr="00022BA7">
        <w:t xml:space="preserve"> </w:t>
      </w:r>
      <w:r>
        <w:t xml:space="preserve">perhaps suggesting </w:t>
      </w:r>
      <w:r w:rsidRPr="00022BA7">
        <w:t>that existing power facilit</w:t>
      </w:r>
      <w:r>
        <w:t>ies</w:t>
      </w:r>
      <w:r w:rsidRPr="00022BA7">
        <w:t xml:space="preserve"> </w:t>
      </w:r>
      <w:r>
        <w:t>could be sufficient to</w:t>
      </w:r>
      <w:r w:rsidRPr="00022BA7">
        <w:t xml:space="preserve"> power BES</w:t>
      </w:r>
      <w:r>
        <w:t xml:space="preserve"> charging</w:t>
      </w:r>
      <w:r w:rsidRPr="00022BA7">
        <w:t xml:space="preserve">. </w:t>
      </w:r>
      <w:r>
        <w:t>Using</w:t>
      </w:r>
      <w:r w:rsidRPr="00022BA7">
        <w:t xml:space="preserve"> a simple calculation (700 kW </w:t>
      </w:r>
      <m:oMath>
        <m:r>
          <m:rPr>
            <m:sty m:val="p"/>
          </m:rPr>
          <w:rPr>
            <w:rFonts w:ascii="Cambria Math" w:hAnsi="Cambria Math"/>
          </w:rPr>
          <m:t>×</m:t>
        </m:r>
      </m:oMath>
      <w:r w:rsidRPr="00022BA7">
        <w:t xml:space="preserve"> 24 h </w:t>
      </w:r>
      <m:oMath>
        <m:r>
          <m:rPr>
            <m:sty m:val="p"/>
          </m:rPr>
          <w:rPr>
            <w:rFonts w:ascii="Cambria Math" w:hAnsi="Cambria Math"/>
          </w:rPr>
          <m:t>×</m:t>
        </m:r>
      </m:oMath>
      <w:r w:rsidRPr="00022BA7">
        <w:t xml:space="preserve"> 365 days), </w:t>
      </w:r>
      <w:r>
        <w:t xml:space="preserve">we see that </w:t>
      </w:r>
      <w:r w:rsidRPr="00022BA7">
        <w:t>th</w:t>
      </w:r>
      <w:r>
        <w:t>is</w:t>
      </w:r>
      <w:r w:rsidRPr="00022BA7">
        <w:t xml:space="preserve"> port can consume 6.1 GWh</w:t>
      </w:r>
      <w:r>
        <w:t xml:space="preserve"> annually</w:t>
      </w:r>
      <w:r w:rsidRPr="00022BA7">
        <w:t>. However, th</w:t>
      </w:r>
      <w:r>
        <w:t>e port’s</w:t>
      </w:r>
      <w:r w:rsidRPr="00022BA7">
        <w:t xml:space="preserve"> SPC capacity is 300 A with 480</w:t>
      </w:r>
      <w:r>
        <w:t xml:space="preserve"> </w:t>
      </w:r>
      <w:r w:rsidRPr="00022BA7">
        <w:t>V, which is 144 kW</w:t>
      </w:r>
      <w:r>
        <w:t>,</w:t>
      </w:r>
      <w:r w:rsidRPr="00022BA7">
        <w:t xml:space="preserve"> and </w:t>
      </w:r>
      <w:r>
        <w:t xml:space="preserve">thus the port’s SPC </w:t>
      </w:r>
      <w:r w:rsidRPr="00022BA7">
        <w:t>can only supply a maximum of 1.3 GWh per year.</w:t>
      </w:r>
    </w:p>
    <w:p w14:paraId="69352E96" w14:textId="77777777" w:rsidR="0016047D" w:rsidRPr="00022BA7" w:rsidRDefault="0016047D" w:rsidP="0016047D"/>
    <w:p w14:paraId="38491B91" w14:textId="77777777" w:rsidR="0016047D" w:rsidRPr="00022BA7" w:rsidRDefault="0016047D" w:rsidP="0016047D">
      <w:r w:rsidRPr="00022BA7">
        <w:t xml:space="preserve">Based on our analysis, charging demand at this port will be </w:t>
      </w:r>
      <w:r>
        <w:t>15.4</w:t>
      </w:r>
      <w:r w:rsidRPr="00022BA7">
        <w:t xml:space="preserve"> GWh per year, which is 2.</w:t>
      </w:r>
      <w:r>
        <w:t>5</w:t>
      </w:r>
      <w:r w:rsidRPr="00022BA7">
        <w:t xml:space="preserve"> times its theoretical maximum consumption of 6.1 GWh and 1</w:t>
      </w:r>
      <w:r>
        <w:t>2</w:t>
      </w:r>
      <w:r w:rsidRPr="00022BA7">
        <w:t xml:space="preserve"> times its actual maximum supply of 1.3 GWh. This indicates that the port will require significant additional capacity</w:t>
      </w:r>
      <w:r>
        <w:t>,</w:t>
      </w:r>
      <w:r w:rsidRPr="00022BA7">
        <w:t xml:space="preserve"> </w:t>
      </w:r>
      <w:r>
        <w:t xml:space="preserve">both </w:t>
      </w:r>
      <w:r w:rsidRPr="00022BA7">
        <w:t>in terms of power and charging facilities</w:t>
      </w:r>
      <w:r>
        <w:t>,</w:t>
      </w:r>
      <w:r w:rsidRPr="00022BA7">
        <w:t xml:space="preserve"> to supply electrified ships. While this need may vary by port, our analysis reveals that there are 7</w:t>
      </w:r>
      <w:r>
        <w:t>6</w:t>
      </w:r>
      <w:r w:rsidRPr="00022BA7">
        <w:t xml:space="preserve"> ports with even greater charging requirements than the Illinois International Port.</w:t>
      </w:r>
    </w:p>
    <w:p w14:paraId="67B352CE" w14:textId="77777777" w:rsidR="0016047D" w:rsidRPr="00022BA7" w:rsidRDefault="0016047D" w:rsidP="0016047D"/>
    <w:p w14:paraId="657C8D76" w14:textId="2EB2662D" w:rsidR="0016047D" w:rsidRDefault="0016047D" w:rsidP="0016047D">
      <w:r w:rsidRPr="00022BA7">
        <w:fldChar w:fldCharType="begin"/>
      </w:r>
      <w:r w:rsidRPr="00022BA7">
        <w:instrText xml:space="preserve"> REF _Ref140952114 \h  \* MERGEFORMAT </w:instrText>
      </w:r>
      <w:r w:rsidRPr="00022BA7">
        <w:fldChar w:fldCharType="separate"/>
      </w:r>
      <w:r w:rsidR="00C661AC">
        <w:t xml:space="preserve">Supplementary </w:t>
      </w:r>
      <w:r w:rsidR="00C661AC" w:rsidRPr="00022BA7">
        <w:t xml:space="preserve">Figure </w:t>
      </w:r>
      <w:r w:rsidR="00C661AC">
        <w:rPr>
          <w:noProof/>
        </w:rPr>
        <w:t>30</w:t>
      </w:r>
      <w:r w:rsidRPr="00022BA7">
        <w:fldChar w:fldCharType="end"/>
      </w:r>
      <w:r w:rsidRPr="00022BA7">
        <w:t xml:space="preserve"> shows the ratio of supplied electricity at the Illinois International Port under </w:t>
      </w:r>
      <w:r w:rsidRPr="00022BA7">
        <w:rPr>
          <w:lang w:eastAsia="ko-KR"/>
        </w:rPr>
        <w:t xml:space="preserve">Historical Activity-based Charging </w:t>
      </w:r>
      <w:r w:rsidRPr="00022BA7">
        <w:t xml:space="preserve">and </w:t>
      </w:r>
      <w:r>
        <w:t xml:space="preserve">Trip-Based Charging </w:t>
      </w:r>
      <w:r w:rsidRPr="00022BA7">
        <w:t xml:space="preserve">by charging capacity. </w:t>
      </w:r>
      <w:r>
        <w:t xml:space="preserve">Again, </w:t>
      </w:r>
      <w:r w:rsidRPr="00022BA7">
        <w:rPr>
          <w:lang w:eastAsia="ko-KR"/>
        </w:rPr>
        <w:t xml:space="preserve">Historical Activity-based Charging </w:t>
      </w:r>
      <w:r w:rsidRPr="00022BA7">
        <w:t>is a charging strategy that aligns with each ship</w:t>
      </w:r>
      <w:r>
        <w:t>’</w:t>
      </w:r>
      <w:r w:rsidRPr="00022BA7">
        <w:t xml:space="preserve">s historical activity, while </w:t>
      </w:r>
      <w:r>
        <w:t xml:space="preserve">Trip-Based Charging </w:t>
      </w:r>
      <w:r w:rsidRPr="00022BA7">
        <w:t>involves charging for a longer duration than the ship actually stayed at port</w:t>
      </w:r>
      <w:r w:rsidR="003455C2">
        <w:t>.</w:t>
      </w:r>
      <w:r w:rsidRPr="00022BA7">
        <w:t xml:space="preserve"> It is shown that the existing 114 kW of its SPC could only cover 0.3% of charging </w:t>
      </w:r>
      <w:r>
        <w:t>demand,</w:t>
      </w:r>
      <w:r w:rsidRPr="00022BA7">
        <w:t xml:space="preserve"> which</w:t>
      </w:r>
      <w:r>
        <w:t xml:space="preserve"> </w:t>
      </w:r>
      <w:r w:rsidRPr="00022BA7">
        <w:t>is 52 MWh</w:t>
      </w:r>
      <w:r>
        <w:t xml:space="preserve"> under </w:t>
      </w:r>
      <w:r w:rsidRPr="00022BA7">
        <w:rPr>
          <w:lang w:eastAsia="ko-KR"/>
        </w:rPr>
        <w:t>Historical Activity-based Charging</w:t>
      </w:r>
      <w:r w:rsidRPr="00022BA7">
        <w:t xml:space="preserve">. To meet 50% of charging demand </w:t>
      </w:r>
      <w:r>
        <w:t xml:space="preserve">under </w:t>
      </w:r>
      <w:r w:rsidRPr="00022BA7">
        <w:rPr>
          <w:lang w:eastAsia="ko-KR"/>
        </w:rPr>
        <w:t>Historical Activity-based Charging</w:t>
      </w:r>
      <w:r w:rsidRPr="00022BA7">
        <w:t>, a substantial</w:t>
      </w:r>
      <w:r>
        <w:t>ly greater</w:t>
      </w:r>
      <w:r w:rsidRPr="00022BA7">
        <w:t xml:space="preserve"> power capacity of </w:t>
      </w:r>
      <w:r>
        <w:t>17</w:t>
      </w:r>
      <w:r w:rsidRPr="00022BA7">
        <w:t xml:space="preserve"> MW is required. However, this requirement can be significantly alleviated with the implementation of </w:t>
      </w:r>
      <w:r>
        <w:t xml:space="preserve">Trip-Based Charging, which only needs </w:t>
      </w:r>
      <w:r w:rsidRPr="00022BA7">
        <w:t>4.9 MW</w:t>
      </w:r>
      <w:r>
        <w:t xml:space="preserve"> of capacity</w:t>
      </w:r>
      <w:r w:rsidRPr="00022BA7">
        <w:t xml:space="preserve">. </w:t>
      </w:r>
    </w:p>
    <w:p w14:paraId="764BE5E5" w14:textId="77777777" w:rsidR="0016047D" w:rsidRDefault="0016047D" w:rsidP="0016047D"/>
    <w:p w14:paraId="58BF6FF6" w14:textId="00FB614A" w:rsidR="0016047D" w:rsidRPr="00022BA7" w:rsidRDefault="0016047D" w:rsidP="0016047D">
      <w:r>
        <w:t>W</w:t>
      </w:r>
      <w:r w:rsidRPr="00022BA7">
        <w:t>ith a capacity of 10.8 MW, 95% of charging needs</w:t>
      </w:r>
      <w:r>
        <w:t xml:space="preserve"> can be met under Trip-Based Charging</w:t>
      </w:r>
      <w:r w:rsidRPr="00022BA7">
        <w:t xml:space="preserve">, whereas only 33.8% </w:t>
      </w:r>
      <w:r>
        <w:t xml:space="preserve">of needs are met </w:t>
      </w:r>
      <w:r w:rsidRPr="00022BA7">
        <w:t xml:space="preserve">under </w:t>
      </w:r>
      <w:r w:rsidRPr="00022BA7">
        <w:rPr>
          <w:lang w:eastAsia="ko-KR"/>
        </w:rPr>
        <w:t>Historical Activity-based Charging</w:t>
      </w:r>
      <w:r w:rsidRPr="00022BA7">
        <w:t>. These results indicate that adjusting ship activity can help alleviate charging power</w:t>
      </w:r>
      <w:r>
        <w:t xml:space="preserve"> requirements</w:t>
      </w:r>
      <w:r w:rsidRPr="00022BA7">
        <w:t xml:space="preserve">. Nevertheless, despite the benefits of </w:t>
      </w:r>
      <w:r>
        <w:t xml:space="preserve">Trip-Based Charging </w:t>
      </w:r>
      <w:r w:rsidRPr="00022BA7">
        <w:t xml:space="preserve">in serving </w:t>
      </w:r>
      <w:r>
        <w:t xml:space="preserve">a larger share of </w:t>
      </w:r>
      <w:r w:rsidRPr="00022BA7">
        <w:t xml:space="preserve">charging demand with less power capacity, the port </w:t>
      </w:r>
      <w:r>
        <w:t xml:space="preserve">would still </w:t>
      </w:r>
      <w:r w:rsidRPr="00022BA7">
        <w:t xml:space="preserve">need to add a substantial amount of power infrastructure to meet overall </w:t>
      </w:r>
      <w:r>
        <w:t xml:space="preserve">BES charging </w:t>
      </w:r>
      <w:r w:rsidRPr="00022BA7">
        <w:t xml:space="preserve">demand. In this regard, </w:t>
      </w:r>
      <w:r>
        <w:t xml:space="preserve">other </w:t>
      </w:r>
      <w:r w:rsidRPr="00022BA7">
        <w:t xml:space="preserve">potential solutions </w:t>
      </w:r>
      <w:r>
        <w:t>– </w:t>
      </w:r>
      <w:r w:rsidRPr="00022BA7">
        <w:t>such as installation of a port microgrid with renewable energy generation and storage around the port site</w:t>
      </w:r>
      <w:r>
        <w:t>,</w:t>
      </w:r>
      <w:r w:rsidRPr="00022BA7">
        <w:t xml:space="preserve"> or implementation of </w:t>
      </w:r>
      <w:r>
        <w:t xml:space="preserve">a </w:t>
      </w:r>
      <w:r w:rsidRPr="00022BA7">
        <w:t xml:space="preserve">battery swapping-based BES-SPC system </w:t>
      </w:r>
      <w:r>
        <w:t>– </w:t>
      </w:r>
      <w:r w:rsidRPr="00022BA7">
        <w:t>could be considered</w:t>
      </w:r>
      <w:r w:rsidR="00403504">
        <w:fldChar w:fldCharType="begin"/>
      </w:r>
      <w:r w:rsidR="000F2CEE">
        <w:instrText xml:space="preserve"> ADDIN ZOTERO_ITEM CSL_CITATION {"citationID":"m940mnTO","properties":{"formattedCitation":"\\super 39\\nosupersub{}","plainCitation":"39","noteIndex":0},"citationItems":[{"id":290,"uris":["http://zotero.org/users/12468222/items/NV6GISZ7"],"itemData":{"id":290,"type":"article-journal","abstract":"Zero-emission battery-powered ship is considered the ideal technical solution to achieve emission reduction and energy conservation in inland shipping. However, due to long charging time, limited onboard space, and initial investment cost, the all-electric ship in battery charging mode may not be suitable for inland long-distance navigation. Therefore, the all-electric ship in battery-swapping mode is proposed, and a joint optimization method is designed to acquire optimal voyage scheduling and energy management. First, considering the environmental factors of water speed and water depth and cargo amount, the energy consumption model for the all-electric ship in battery-swapping mode is established by analyzing its energy transfer process. Second, a speed and energy optimization model is established to minimize the battery-swapping cost, considering the constraints of sailing speed, sailing time, and battery energy use. Third, differential evolution with neighborhood search (NSDE) is adopted to solve this nonlinear and complex problem. Finally, a case study for the ship in the Yangtze River is studied to verify the effectiveness of the proposed method. The results show that the operation cost could be minimized by this method effectively.","container-title":"Ocean Engineering","DOI":"10.1016/j.oceaneng.2023.115234","ISSN":"0029-8018","journalAbbreviation":"Ocean Engineering","page":"115234","source":"ScienceDirect","title":"Speed and energy optimization method for the inland all-electric ship in battery-swapping mode","volume":"284","author":[{"family":"Zhang","given":"Yan"},{"family":"Sun","given":"Lin"},{"family":"Fan","given":"Tianyuan"},{"family":"Ma","given":"Fan"},{"family":"Xiong","given":"Yiyong"}],"issued":{"date-parts":[["2023",9,15]]}}}],"schema":"https://github.com/citation-style-language/schema/raw/master/csl-citation.json"} </w:instrText>
      </w:r>
      <w:r w:rsidR="00403504">
        <w:fldChar w:fldCharType="separate"/>
      </w:r>
      <w:r w:rsidR="000F2CEE" w:rsidRPr="000F2CEE">
        <w:rPr>
          <w:rFonts w:cs="Times New Roman"/>
          <w:szCs w:val="24"/>
          <w:vertAlign w:val="superscript"/>
        </w:rPr>
        <w:t>39</w:t>
      </w:r>
      <w:r w:rsidR="00403504">
        <w:fldChar w:fldCharType="end"/>
      </w:r>
      <w:r w:rsidRPr="00022BA7">
        <w:t xml:space="preserve">. </w:t>
      </w:r>
    </w:p>
    <w:p w14:paraId="3361D06F" w14:textId="2B98E110" w:rsidR="00C24EAA" w:rsidRDefault="00C24EAA">
      <w:pPr>
        <w:widowControl/>
        <w:spacing w:line="240" w:lineRule="auto"/>
        <w:rPr>
          <w:lang w:eastAsia="ko-KR"/>
        </w:rPr>
      </w:pPr>
      <w:r>
        <w:rPr>
          <w:lang w:eastAsia="ko-KR"/>
        </w:rPr>
        <w:br w:type="page"/>
      </w:r>
    </w:p>
    <w:p w14:paraId="26611BB1" w14:textId="77777777" w:rsidR="00C24EAA" w:rsidRPr="00022BA7" w:rsidRDefault="00C24EAA" w:rsidP="00C24EAA">
      <w:pPr>
        <w:keepNext/>
      </w:pPr>
      <w:r>
        <w:rPr>
          <w:noProof/>
        </w:rPr>
        <w:drawing>
          <wp:inline distT="0" distB="0" distL="0" distR="0" wp14:anchorId="48998C14" wp14:editId="459FB21C">
            <wp:extent cx="5486400" cy="4356882"/>
            <wp:effectExtent l="0" t="0" r="0" b="5715"/>
            <wp:docPr id="1656170173" name="Graphic 165617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96DAC541-7B7A-43D3-8B79-37D633B846F1}">
                          <asvg:svgBlip xmlns:asvg="http://schemas.microsoft.com/office/drawing/2016/SVG/main" r:embed="rId75"/>
                        </a:ext>
                      </a:extLst>
                    </a:blip>
                    <a:stretch>
                      <a:fillRect/>
                    </a:stretch>
                  </pic:blipFill>
                  <pic:spPr>
                    <a:xfrm>
                      <a:off x="0" y="0"/>
                      <a:ext cx="5486400" cy="4356882"/>
                    </a:xfrm>
                    <a:prstGeom prst="rect">
                      <a:avLst/>
                    </a:prstGeom>
                  </pic:spPr>
                </pic:pic>
              </a:graphicData>
            </a:graphic>
          </wp:inline>
        </w:drawing>
      </w:r>
    </w:p>
    <w:p w14:paraId="76702DCA" w14:textId="2E8AB669" w:rsidR="00C24EAA" w:rsidRPr="00022BA7" w:rsidRDefault="00AB6C4C" w:rsidP="00C24EAA">
      <w:pPr>
        <w:pStyle w:val="Caption"/>
        <w:ind w:right="0"/>
      </w:pPr>
      <w:bookmarkStart w:id="209" w:name="_Ref135841523"/>
      <w:bookmarkStart w:id="210" w:name="_Toc145792557"/>
      <w:bookmarkStart w:id="211" w:name="_Toc148444212"/>
      <w:r>
        <w:t xml:space="preserve">Supplementary </w:t>
      </w:r>
      <w:r w:rsidR="00C24EAA" w:rsidRPr="00022BA7">
        <w:t xml:space="preserve">Figure </w:t>
      </w:r>
      <w:r w:rsidR="00590C69">
        <w:fldChar w:fldCharType="begin"/>
      </w:r>
      <w:r w:rsidR="00590C69">
        <w:instrText xml:space="preserve"> SEQ Figure \* ARABIC \s 1 </w:instrText>
      </w:r>
      <w:r w:rsidR="00590C69">
        <w:fldChar w:fldCharType="separate"/>
      </w:r>
      <w:r w:rsidR="00C661AC">
        <w:rPr>
          <w:noProof/>
        </w:rPr>
        <w:t>31</w:t>
      </w:r>
      <w:r w:rsidR="00590C69">
        <w:rPr>
          <w:noProof/>
        </w:rPr>
        <w:fldChar w:fldCharType="end"/>
      </w:r>
      <w:bookmarkEnd w:id="209"/>
      <w:r w:rsidR="00C24EAA" w:rsidRPr="00022BA7">
        <w:t>. Distribution of Power Require</w:t>
      </w:r>
      <w:r w:rsidR="00C24EAA">
        <w:t>ments</w:t>
      </w:r>
      <w:r w:rsidR="00C24EAA" w:rsidRPr="00022BA7">
        <w:t xml:space="preserve"> </w:t>
      </w:r>
      <w:r w:rsidR="00C24EAA">
        <w:t xml:space="preserve">for </w:t>
      </w:r>
      <w:r w:rsidR="00C24EAA" w:rsidRPr="00022BA7">
        <w:t>SPC</w:t>
      </w:r>
      <w:r w:rsidR="00C24EAA">
        <w:t>s</w:t>
      </w:r>
      <w:r w:rsidR="00C24EAA" w:rsidRPr="00022BA7">
        <w:t xml:space="preserve"> under </w:t>
      </w:r>
      <w:r w:rsidR="00C24EAA" w:rsidRPr="00022BA7">
        <w:rPr>
          <w:lang w:eastAsia="ko-KR"/>
        </w:rPr>
        <w:t xml:space="preserve">Historical Activity-based Charging </w:t>
      </w:r>
      <w:r w:rsidR="00C24EAA">
        <w:rPr>
          <w:lang w:eastAsia="ko-KR"/>
        </w:rPr>
        <w:t>(</w:t>
      </w:r>
      <w:r w:rsidR="00C24EAA" w:rsidRPr="00022BA7">
        <w:t>HAC</w:t>
      </w:r>
      <w:r w:rsidR="00C24EAA">
        <w:t>)</w:t>
      </w:r>
      <w:r w:rsidR="00C24EAA" w:rsidRPr="00022BA7">
        <w:t xml:space="preserve"> and </w:t>
      </w:r>
      <w:r w:rsidR="00C24EAA">
        <w:t>Trip-Based Charging (</w:t>
      </w:r>
      <w:r w:rsidR="00C24EAA" w:rsidRPr="00022BA7">
        <w:t>TBC</w:t>
      </w:r>
      <w:r w:rsidR="00C24EAA">
        <w:t>)</w:t>
      </w:r>
      <w:r w:rsidR="00C24EAA" w:rsidRPr="00022BA7">
        <w:t xml:space="preserve"> at the Illinois International Port</w:t>
      </w:r>
      <w:bookmarkEnd w:id="210"/>
      <w:bookmarkEnd w:id="211"/>
      <w:r w:rsidR="00C24EAA" w:rsidRPr="00022BA7">
        <w:t xml:space="preserve"> </w:t>
      </w:r>
    </w:p>
    <w:p w14:paraId="22FEDC96" w14:textId="35CAA9DA" w:rsidR="003A2F1D" w:rsidRDefault="003A2F1D" w:rsidP="004434A0">
      <w:pPr>
        <w:rPr>
          <w:lang w:eastAsia="ko-KR"/>
        </w:rPr>
      </w:pPr>
    </w:p>
    <w:p w14:paraId="7BB3AF23" w14:textId="71468C02" w:rsidR="005138D0" w:rsidRPr="00022BA7" w:rsidRDefault="005138D0" w:rsidP="005138D0">
      <w:r w:rsidRPr="00022BA7">
        <w:t>Commercial shore power systems in the U.S. can be broadly classified into two categories</w:t>
      </w:r>
      <w:r w:rsidR="004D4828">
        <w:fldChar w:fldCharType="begin"/>
      </w:r>
      <w:r w:rsidR="000F2CEE">
        <w:instrText xml:space="preserve"> ADDIN ZOTERO_ITEM CSL_CITATION {"citationID":"1YSZFEWr","properties":{"formattedCitation":"\\super 40\\nosupersub{}","plainCitation":"40","noteIndex":0},"citationItems":[{"id":281,"uris":["http://zotero.org/users/12468222/items/6SUH3QSX"],"itemData":{"id":281,"type":"report","abstract":"The Shore Power Technology Assessment at U.S. Ports characterizes the technical and operational aspects of shore power systems at U.S. ports.","genre":"Reports and Assessments","language":"en","title":"Shore Power Technology Assessment at U.S. Ports","URL":"https://www.epa.gov/ports-initiative/shore-power-technology-assessment-us-ports","author":[{"family":"U.S. Environmental Protection Agency","given":""}],"accessed":{"date-parts":[["2023",9,26]]},"issued":{"date-parts":[["2022"]]}}}],"schema":"https://github.com/citation-style-language/schema/raw/master/csl-citation.json"} </w:instrText>
      </w:r>
      <w:r w:rsidR="004D4828">
        <w:fldChar w:fldCharType="separate"/>
      </w:r>
      <w:r w:rsidR="000F2CEE" w:rsidRPr="000F2CEE">
        <w:rPr>
          <w:rFonts w:cs="Times New Roman"/>
          <w:szCs w:val="24"/>
          <w:vertAlign w:val="superscript"/>
        </w:rPr>
        <w:t>40</w:t>
      </w:r>
      <w:r w:rsidR="004D4828">
        <w:fldChar w:fldCharType="end"/>
      </w:r>
      <w:r w:rsidRPr="00022BA7">
        <w:t xml:space="preserve">: </w:t>
      </w:r>
    </w:p>
    <w:p w14:paraId="3752DC7C" w14:textId="77777777" w:rsidR="005138D0" w:rsidRPr="00022BA7" w:rsidRDefault="005138D0" w:rsidP="005138D0">
      <w:pPr>
        <w:pStyle w:val="ListParagraph"/>
        <w:widowControl/>
        <w:numPr>
          <w:ilvl w:val="0"/>
          <w:numId w:val="36"/>
        </w:numPr>
        <w:spacing w:after="160" w:line="259" w:lineRule="auto"/>
        <w:ind w:left="720" w:right="0"/>
        <w:jc w:val="both"/>
      </w:pPr>
      <w:r w:rsidRPr="00022BA7">
        <w:t>High voltage shore connection (HVSC): 6,600 or 11,000 V, &gt;1 MVA equipment primarily used to service large cruise, container, and reefer vessels.</w:t>
      </w:r>
    </w:p>
    <w:p w14:paraId="00E143D0" w14:textId="77777777" w:rsidR="005138D0" w:rsidRPr="00022BA7" w:rsidRDefault="005138D0" w:rsidP="005138D0">
      <w:pPr>
        <w:pStyle w:val="ListParagraph"/>
        <w:widowControl/>
        <w:numPr>
          <w:ilvl w:val="0"/>
          <w:numId w:val="36"/>
        </w:numPr>
        <w:spacing w:after="160" w:line="259" w:lineRule="auto"/>
        <w:ind w:left="720" w:right="0"/>
        <w:jc w:val="both"/>
      </w:pPr>
      <w:r w:rsidRPr="00022BA7">
        <w:t>Low voltage shore connection (LVSC): 220-480 V, &lt; 1 MVA equipment typically used to service smaller ships such as fishing, tug, workboat, ferry, and service vessels.</w:t>
      </w:r>
    </w:p>
    <w:p w14:paraId="5CF32FF8" w14:textId="52E40444" w:rsidR="005138D0" w:rsidRPr="00022BA7" w:rsidRDefault="005138D0" w:rsidP="005138D0">
      <w:r w:rsidRPr="00022BA7">
        <w:t xml:space="preserve">Shore power systems primarily cater to hotel loads; however, they can serve as an initial benchmark for comparing existing facilities with future requirements. </w:t>
      </w:r>
      <w:r w:rsidRPr="00022BA7">
        <w:fldChar w:fldCharType="begin"/>
      </w:r>
      <w:r w:rsidRPr="00022BA7">
        <w:instrText xml:space="preserve"> REF _Ref135841523 \h  \* MERGEFORMAT </w:instrText>
      </w:r>
      <w:r w:rsidRPr="00022BA7">
        <w:fldChar w:fldCharType="separate"/>
      </w:r>
      <w:r w:rsidR="00C661AC">
        <w:t xml:space="preserve">Supplementary </w:t>
      </w:r>
      <w:r w:rsidR="00C661AC" w:rsidRPr="00022BA7">
        <w:t xml:space="preserve">Figure </w:t>
      </w:r>
      <w:r w:rsidR="00C661AC">
        <w:rPr>
          <w:noProof/>
        </w:rPr>
        <w:t>31</w:t>
      </w:r>
      <w:r w:rsidRPr="00022BA7">
        <w:fldChar w:fldCharType="end"/>
      </w:r>
      <w:r w:rsidRPr="00022BA7">
        <w:t xml:space="preserve"> illustrates the power requirements distribution per SPC under both </w:t>
      </w:r>
      <w:r w:rsidRPr="00022BA7">
        <w:rPr>
          <w:lang w:eastAsia="ko-KR"/>
        </w:rPr>
        <w:t xml:space="preserve">Historical Activity-based Charging </w:t>
      </w:r>
      <w:r w:rsidRPr="00022BA7">
        <w:t xml:space="preserve">and </w:t>
      </w:r>
      <w:r>
        <w:t xml:space="preserve">Trip-Based Charging </w:t>
      </w:r>
      <w:r w:rsidRPr="00022BA7">
        <w:t xml:space="preserve">at the Illinois International Port. </w:t>
      </w:r>
      <w:r>
        <w:t xml:space="preserve">Again, </w:t>
      </w:r>
      <w:r w:rsidRPr="00022BA7">
        <w:rPr>
          <w:lang w:eastAsia="ko-KR"/>
        </w:rPr>
        <w:t xml:space="preserve">Historical Activity-based Charging </w:t>
      </w:r>
      <w:r w:rsidRPr="00022BA7">
        <w:t>is a charging strategy that aligns with each ship</w:t>
      </w:r>
      <w:r>
        <w:t>’</w:t>
      </w:r>
      <w:r w:rsidRPr="00022BA7">
        <w:t xml:space="preserve">s historical activity, while </w:t>
      </w:r>
      <w:r>
        <w:t xml:space="preserve">Trip-Based Charging </w:t>
      </w:r>
      <w:r w:rsidRPr="00022BA7">
        <w:t>involves charging for a longer duration than the ship actually stayed at port</w:t>
      </w:r>
      <w:r>
        <w:t>.</w:t>
      </w:r>
    </w:p>
    <w:p w14:paraId="788419C7" w14:textId="77777777" w:rsidR="005138D0" w:rsidRPr="00022BA7" w:rsidRDefault="005138D0" w:rsidP="005138D0"/>
    <w:p w14:paraId="7EDDE70B" w14:textId="561D73B0" w:rsidR="005138D0" w:rsidRDefault="005138D0" w:rsidP="005138D0">
      <w:r>
        <w:t xml:space="preserve">Trip-Based Charging </w:t>
      </w:r>
      <w:r w:rsidRPr="00022BA7">
        <w:t xml:space="preserve">enables greater coverage of charging demand with a lower power capacity requirement for SPCs. Specifically, with a maximum power capacity of 1 MW for the LVSC, </w:t>
      </w:r>
      <w:r>
        <w:t xml:space="preserve">Trip-Based Charging </w:t>
      </w:r>
      <w:r w:rsidRPr="00022BA7">
        <w:t xml:space="preserve">fulfills 96% of charging requirements, whereas </w:t>
      </w:r>
      <w:r w:rsidRPr="00022BA7">
        <w:rPr>
          <w:lang w:eastAsia="ko-KR"/>
        </w:rPr>
        <w:t xml:space="preserve">Historical Activity-based Charging </w:t>
      </w:r>
      <w:r w:rsidRPr="00022BA7">
        <w:t>only satisfies 7</w:t>
      </w:r>
      <w:r>
        <w:t>9</w:t>
      </w:r>
      <w:r w:rsidRPr="00022BA7">
        <w:t xml:space="preserve">%. This finding highlights the advantage of </w:t>
      </w:r>
      <w:r>
        <w:t xml:space="preserve">Trip-Based Charging </w:t>
      </w:r>
      <w:r w:rsidRPr="00022BA7">
        <w:t xml:space="preserve">compared to </w:t>
      </w:r>
      <w:r w:rsidRPr="00022BA7">
        <w:rPr>
          <w:lang w:eastAsia="ko-KR"/>
        </w:rPr>
        <w:t xml:space="preserve">Historical Activity-based Charging </w:t>
      </w:r>
      <w:r w:rsidRPr="00022BA7">
        <w:t>in relieving power requirements for SPCs.</w:t>
      </w:r>
    </w:p>
    <w:p w14:paraId="09E22681" w14:textId="77777777" w:rsidR="0091019F" w:rsidRPr="00022BA7" w:rsidRDefault="0091019F" w:rsidP="0091019F">
      <w:pPr>
        <w:keepNext/>
      </w:pPr>
      <w:r>
        <w:rPr>
          <w:noProof/>
        </w:rPr>
        <w:drawing>
          <wp:inline distT="0" distB="0" distL="0" distR="0" wp14:anchorId="4B08E814" wp14:editId="2FBC15A4">
            <wp:extent cx="5486400" cy="4372708"/>
            <wp:effectExtent l="0" t="0" r="0" b="8890"/>
            <wp:docPr id="32" name="Graphic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96DAC541-7B7A-43D3-8B79-37D633B846F1}">
                          <asvg:svgBlip xmlns:asvg="http://schemas.microsoft.com/office/drawing/2016/SVG/main" r:embed="rId77"/>
                        </a:ext>
                      </a:extLst>
                    </a:blip>
                    <a:stretch>
                      <a:fillRect/>
                    </a:stretch>
                  </pic:blipFill>
                  <pic:spPr>
                    <a:xfrm>
                      <a:off x="0" y="0"/>
                      <a:ext cx="5486400" cy="4372708"/>
                    </a:xfrm>
                    <a:prstGeom prst="rect">
                      <a:avLst/>
                    </a:prstGeom>
                  </pic:spPr>
                </pic:pic>
              </a:graphicData>
            </a:graphic>
          </wp:inline>
        </w:drawing>
      </w:r>
    </w:p>
    <w:p w14:paraId="43EBE04E" w14:textId="31968778" w:rsidR="0091019F" w:rsidRPr="00022BA7" w:rsidRDefault="00AB6C4C" w:rsidP="0091019F">
      <w:pPr>
        <w:pStyle w:val="Caption"/>
        <w:ind w:right="0"/>
      </w:pPr>
      <w:bookmarkStart w:id="212" w:name="_Ref135843222"/>
      <w:bookmarkStart w:id="213" w:name="_Toc145792558"/>
      <w:bookmarkStart w:id="214" w:name="_Toc148444213"/>
      <w:r>
        <w:t xml:space="preserve">Supplementary </w:t>
      </w:r>
      <w:r w:rsidR="0091019F" w:rsidRPr="00022BA7">
        <w:t xml:space="preserve">Figure </w:t>
      </w:r>
      <w:r w:rsidR="00590C69">
        <w:fldChar w:fldCharType="begin"/>
      </w:r>
      <w:r w:rsidR="00590C69">
        <w:instrText xml:space="preserve"> SEQ Figure \* ARABIC \s 1 </w:instrText>
      </w:r>
      <w:r w:rsidR="00590C69">
        <w:fldChar w:fldCharType="separate"/>
      </w:r>
      <w:r w:rsidR="00C661AC">
        <w:rPr>
          <w:noProof/>
        </w:rPr>
        <w:t>32</w:t>
      </w:r>
      <w:r w:rsidR="00590C69">
        <w:rPr>
          <w:noProof/>
        </w:rPr>
        <w:fldChar w:fldCharType="end"/>
      </w:r>
      <w:bookmarkEnd w:id="212"/>
      <w:r w:rsidR="0091019F">
        <w:t xml:space="preserve">. </w:t>
      </w:r>
      <w:r w:rsidR="0091019F" w:rsidRPr="00022BA7">
        <w:t xml:space="preserve">Distribution of Number of Required SPCs under </w:t>
      </w:r>
      <w:r w:rsidR="0091019F" w:rsidRPr="00022BA7">
        <w:rPr>
          <w:lang w:eastAsia="ko-KR"/>
        </w:rPr>
        <w:t xml:space="preserve">Historical Activity-based Charging </w:t>
      </w:r>
      <w:r w:rsidR="0091019F">
        <w:rPr>
          <w:lang w:eastAsia="ko-KR"/>
        </w:rPr>
        <w:t>(</w:t>
      </w:r>
      <w:r w:rsidR="0091019F">
        <w:t xml:space="preserve">HAC) </w:t>
      </w:r>
      <w:r w:rsidR="0091019F" w:rsidRPr="00022BA7">
        <w:t xml:space="preserve">and </w:t>
      </w:r>
      <w:r w:rsidR="0091019F">
        <w:t>Trip-Based Charging (</w:t>
      </w:r>
      <w:r w:rsidR="0091019F" w:rsidRPr="00022BA7">
        <w:t>TBC</w:t>
      </w:r>
      <w:r w:rsidR="0091019F">
        <w:t>)</w:t>
      </w:r>
      <w:r w:rsidR="0091019F" w:rsidRPr="00022BA7">
        <w:t xml:space="preserve"> at the Illinois International Port</w:t>
      </w:r>
      <w:bookmarkEnd w:id="213"/>
      <w:bookmarkEnd w:id="214"/>
    </w:p>
    <w:p w14:paraId="42EBFA8F" w14:textId="77777777" w:rsidR="009449A9" w:rsidRPr="00022BA7" w:rsidRDefault="009449A9" w:rsidP="005138D0"/>
    <w:p w14:paraId="070B30CE" w14:textId="38637802" w:rsidR="0091019F" w:rsidRPr="00022BA7" w:rsidRDefault="00530E94" w:rsidP="0091019F">
      <w:r>
        <w:t>I</w:t>
      </w:r>
      <w:r w:rsidR="0091019F" w:rsidRPr="00022BA7">
        <w:t xml:space="preserve">mplementing </w:t>
      </w:r>
      <w:r w:rsidR="0091019F">
        <w:t xml:space="preserve">Trip-Based Charging </w:t>
      </w:r>
      <w:r w:rsidR="0091019F" w:rsidRPr="00022BA7">
        <w:t xml:space="preserve">comes with a tradeoff. In </w:t>
      </w:r>
      <w:r w:rsidR="0091019F" w:rsidRPr="00022BA7">
        <w:fldChar w:fldCharType="begin"/>
      </w:r>
      <w:r w:rsidR="0091019F" w:rsidRPr="00022BA7">
        <w:instrText xml:space="preserve"> REF _Ref135843222 \h  \* MERGEFORMAT </w:instrText>
      </w:r>
      <w:r w:rsidR="0091019F" w:rsidRPr="00022BA7">
        <w:fldChar w:fldCharType="separate"/>
      </w:r>
      <w:r w:rsidR="00C661AC">
        <w:t xml:space="preserve">Supplementary </w:t>
      </w:r>
      <w:r w:rsidR="00C661AC" w:rsidRPr="00022BA7">
        <w:t xml:space="preserve">Figure </w:t>
      </w:r>
      <w:r w:rsidR="00C661AC">
        <w:rPr>
          <w:noProof/>
        </w:rPr>
        <w:t>32</w:t>
      </w:r>
      <w:r w:rsidR="0091019F" w:rsidRPr="00022BA7">
        <w:fldChar w:fldCharType="end"/>
      </w:r>
      <w:r w:rsidR="0091019F" w:rsidRPr="00022BA7">
        <w:t>, the distribution of the number of charging ships shows how many SPCs will be required at the Illinois International Port. Th</w:t>
      </w:r>
      <w:r w:rsidR="0091019F">
        <w:t>is</w:t>
      </w:r>
      <w:r w:rsidR="0091019F" w:rsidRPr="00022BA7">
        <w:t xml:space="preserve"> distribution reveals that </w:t>
      </w:r>
      <w:r w:rsidR="0091019F">
        <w:t xml:space="preserve">under </w:t>
      </w:r>
      <w:r w:rsidR="0091019F" w:rsidRPr="00022BA7">
        <w:rPr>
          <w:lang w:eastAsia="ko-KR"/>
        </w:rPr>
        <w:t>Historical Activity-based Charging</w:t>
      </w:r>
      <w:r w:rsidR="0091019F">
        <w:t xml:space="preserve">, </w:t>
      </w:r>
      <w:r w:rsidR="0091019F" w:rsidRPr="00022BA7">
        <w:t xml:space="preserve">only </w:t>
      </w:r>
      <w:r w:rsidR="0091019F">
        <w:t>2</w:t>
      </w:r>
      <w:r w:rsidR="0091019F" w:rsidRPr="00022BA7">
        <w:t xml:space="preserve"> SPCs could supply charging demand during </w:t>
      </w:r>
      <w:r w:rsidR="0091019F">
        <w:t>66</w:t>
      </w:r>
      <w:r w:rsidR="0091019F" w:rsidRPr="00022BA7">
        <w:t>% of the hours in a year</w:t>
      </w:r>
      <w:r w:rsidR="0091019F">
        <w:t>; under Trip-Based Charging,</w:t>
      </w:r>
      <w:r w:rsidR="0091019F" w:rsidRPr="00022BA7">
        <w:t xml:space="preserve"> </w:t>
      </w:r>
      <w:r w:rsidR="0091019F">
        <w:t>7</w:t>
      </w:r>
      <w:r w:rsidR="0091019F" w:rsidRPr="00022BA7">
        <w:t xml:space="preserve"> SPCs </w:t>
      </w:r>
      <w:r w:rsidR="0091019F">
        <w:t xml:space="preserve">would be required </w:t>
      </w:r>
      <w:r w:rsidR="0091019F" w:rsidRPr="00022BA7">
        <w:t xml:space="preserve">for the same coverage. Furthermore, to satisfy charging requirements 95% of the time, </w:t>
      </w:r>
      <w:r w:rsidR="0091019F">
        <w:t>4</w:t>
      </w:r>
      <w:r w:rsidR="0091019F" w:rsidRPr="00022BA7">
        <w:t xml:space="preserve"> SPCs are needed </w:t>
      </w:r>
      <w:r w:rsidR="0091019F">
        <w:t>under</w:t>
      </w:r>
      <w:r w:rsidR="0091019F" w:rsidRPr="00022BA7">
        <w:t xml:space="preserve"> </w:t>
      </w:r>
      <w:r w:rsidR="0091019F" w:rsidRPr="00022BA7">
        <w:rPr>
          <w:lang w:eastAsia="ko-KR"/>
        </w:rPr>
        <w:t>Historical Activity-based Charging</w:t>
      </w:r>
      <w:r w:rsidR="0091019F">
        <w:t>,</w:t>
      </w:r>
      <w:r w:rsidR="0091019F" w:rsidRPr="00022BA7">
        <w:t xml:space="preserve"> while </w:t>
      </w:r>
      <w:r w:rsidR="0091019F">
        <w:t xml:space="preserve">Trip-Based Charging </w:t>
      </w:r>
      <w:r w:rsidR="0091019F" w:rsidRPr="00022BA7">
        <w:t xml:space="preserve">requires 12. </w:t>
      </w:r>
      <w:r w:rsidR="0091019F">
        <w:t>T</w:t>
      </w:r>
      <w:r w:rsidR="0091019F" w:rsidRPr="00022BA7">
        <w:t>he New York port, which has the highest charging demand, would require 46 SPCs to serve requirements 50% of the time</w:t>
      </w:r>
      <w:r w:rsidR="0091019F">
        <w:t xml:space="preserve"> under </w:t>
      </w:r>
      <w:r w:rsidR="0091019F" w:rsidRPr="00022BA7">
        <w:rPr>
          <w:lang w:eastAsia="ko-KR"/>
        </w:rPr>
        <w:t>Historical Activity-based Charging</w:t>
      </w:r>
      <w:r w:rsidR="0091019F">
        <w:t>,</w:t>
      </w:r>
      <w:r w:rsidR="0091019F" w:rsidRPr="00022BA7">
        <w:t xml:space="preserve"> and 72 under </w:t>
      </w:r>
      <w:r w:rsidR="0091019F">
        <w:t>Trip-Based Charging</w:t>
      </w:r>
      <w:r w:rsidR="0091019F" w:rsidRPr="00022BA7">
        <w:t>. Th</w:t>
      </w:r>
      <w:r w:rsidR="0091019F">
        <w:t>e</w:t>
      </w:r>
      <w:r w:rsidR="0091019F" w:rsidRPr="00022BA7">
        <w:t xml:space="preserve"> increased need for SPCs </w:t>
      </w:r>
      <w:r w:rsidR="0091019F">
        <w:t>under</w:t>
      </w:r>
      <w:r w:rsidR="0091019F" w:rsidRPr="00022BA7">
        <w:t xml:space="preserve"> </w:t>
      </w:r>
      <w:r w:rsidR="0091019F">
        <w:t xml:space="preserve">Trip-Based Charging results from </w:t>
      </w:r>
      <w:r w:rsidR="0091019F" w:rsidRPr="00022BA7">
        <w:t xml:space="preserve">longer charging </w:t>
      </w:r>
      <w:r w:rsidR="0091019F">
        <w:t>times</w:t>
      </w:r>
      <w:r w:rsidR="0091019F" w:rsidRPr="00022BA7">
        <w:t xml:space="preserve"> compared to </w:t>
      </w:r>
      <w:r w:rsidR="0091019F" w:rsidRPr="00022BA7">
        <w:rPr>
          <w:lang w:eastAsia="ko-KR"/>
        </w:rPr>
        <w:t>Historical Activity-based Charging</w:t>
      </w:r>
      <w:r w:rsidR="0091019F" w:rsidRPr="00022BA7">
        <w:t>.</w:t>
      </w:r>
    </w:p>
    <w:p w14:paraId="3AE2E337" w14:textId="77777777" w:rsidR="005138D0" w:rsidRDefault="005138D0" w:rsidP="004434A0">
      <w:pPr>
        <w:rPr>
          <w:lang w:eastAsia="ko-KR"/>
        </w:rPr>
      </w:pPr>
    </w:p>
    <w:p w14:paraId="5DD20483" w14:textId="5D04041C" w:rsidR="008B5C40" w:rsidRDefault="008B5C40">
      <w:pPr>
        <w:widowControl/>
        <w:spacing w:line="240" w:lineRule="auto"/>
        <w:rPr>
          <w:lang w:eastAsia="ko-KR"/>
        </w:rPr>
      </w:pPr>
      <w:r>
        <w:rPr>
          <w:lang w:eastAsia="ko-KR"/>
        </w:rPr>
        <w:br w:type="page"/>
      </w:r>
    </w:p>
    <w:p w14:paraId="66647158" w14:textId="77777777" w:rsidR="00646B68" w:rsidRDefault="00646B68" w:rsidP="00646B68">
      <w:pPr>
        <w:keepNext/>
      </w:pPr>
      <w:r>
        <w:rPr>
          <w:noProof/>
        </w:rPr>
        <w:drawing>
          <wp:inline distT="0" distB="0" distL="0" distR="0" wp14:anchorId="31513A8C" wp14:editId="143FD518">
            <wp:extent cx="3181350" cy="2171713"/>
            <wp:effectExtent l="0" t="0" r="0" b="0"/>
            <wp:docPr id="41" name="Graphic 41"/>
            <wp:cNvGraphicFramePr/>
            <a:graphic xmlns:a="http://schemas.openxmlformats.org/drawingml/2006/main">
              <a:graphicData uri="http://schemas.openxmlformats.org/drawingml/2006/picture">
                <pic:pic xmlns:pic="http://schemas.openxmlformats.org/drawingml/2006/picture">
                  <pic:nvPicPr>
                    <pic:cNvPr id="41" name="Graphic 41"/>
                    <pic:cNvPicPr/>
                  </pic:nvPicPr>
                  <pic:blipFill>
                    <a:blip r:embed="rId78">
                      <a:extLst>
                        <a:ext uri="{96DAC541-7B7A-43D3-8B79-37D633B846F1}">
                          <asvg:svgBlip xmlns:asvg="http://schemas.microsoft.com/office/drawing/2016/SVG/main" r:embed="rId79"/>
                        </a:ext>
                      </a:extLst>
                    </a:blip>
                    <a:stretch>
                      <a:fillRect/>
                    </a:stretch>
                  </pic:blipFill>
                  <pic:spPr>
                    <a:xfrm>
                      <a:off x="0" y="0"/>
                      <a:ext cx="3184997" cy="2174203"/>
                    </a:xfrm>
                    <a:prstGeom prst="rect">
                      <a:avLst/>
                    </a:prstGeom>
                  </pic:spPr>
                </pic:pic>
              </a:graphicData>
            </a:graphic>
          </wp:inline>
        </w:drawing>
      </w:r>
    </w:p>
    <w:p w14:paraId="365D389A" w14:textId="75E7D7EE" w:rsidR="00646B68" w:rsidRDefault="00C8045E" w:rsidP="00646B68">
      <w:pPr>
        <w:pStyle w:val="Caption"/>
      </w:pPr>
      <w:bookmarkStart w:id="215" w:name="_Ref133914571"/>
      <w:bookmarkStart w:id="216" w:name="_Toc145792518"/>
      <w:bookmarkStart w:id="217" w:name="_Toc148444214"/>
      <w:r>
        <w:t xml:space="preserve">Supplementary </w:t>
      </w:r>
      <w:r w:rsidR="00646B68">
        <w:t xml:space="preserve">Figure </w:t>
      </w:r>
      <w:r w:rsidR="00590C69">
        <w:fldChar w:fldCharType="begin"/>
      </w:r>
      <w:r w:rsidR="00590C69">
        <w:instrText xml:space="preserve"> SEQ Figure \* ARABIC \s 1 </w:instrText>
      </w:r>
      <w:r w:rsidR="00590C69">
        <w:fldChar w:fldCharType="separate"/>
      </w:r>
      <w:r w:rsidR="00C661AC">
        <w:rPr>
          <w:noProof/>
        </w:rPr>
        <w:t>33</w:t>
      </w:r>
      <w:r w:rsidR="00590C69">
        <w:rPr>
          <w:noProof/>
        </w:rPr>
        <w:fldChar w:fldCharType="end"/>
      </w:r>
      <w:bookmarkEnd w:id="215"/>
      <w:r w:rsidR="00646B68">
        <w:t>. Count of Ships in the AIS Analyzed Subset, by Ship Type</w:t>
      </w:r>
      <w:bookmarkEnd w:id="216"/>
      <w:bookmarkEnd w:id="217"/>
    </w:p>
    <w:p w14:paraId="7E1E7CEF" w14:textId="28F0620A" w:rsidR="008B5C40" w:rsidRDefault="008B5C40" w:rsidP="004434A0">
      <w:pPr>
        <w:rPr>
          <w:lang w:eastAsia="ko-KR"/>
        </w:rPr>
      </w:pPr>
    </w:p>
    <w:p w14:paraId="28EDD6C7" w14:textId="47554C29" w:rsidR="00445243" w:rsidRDefault="00445243" w:rsidP="004434A0">
      <w:pPr>
        <w:rPr>
          <w:lang w:eastAsia="ko-KR"/>
        </w:rPr>
      </w:pPr>
    </w:p>
    <w:p w14:paraId="2E579FC1" w14:textId="7298874D" w:rsidR="00445243" w:rsidRDefault="00445243">
      <w:pPr>
        <w:widowControl/>
        <w:spacing w:line="240" w:lineRule="auto"/>
        <w:rPr>
          <w:lang w:eastAsia="ko-KR"/>
        </w:rPr>
      </w:pPr>
      <w:r>
        <w:rPr>
          <w:lang w:eastAsia="ko-KR"/>
        </w:rPr>
        <w:br w:type="page"/>
      </w:r>
    </w:p>
    <w:p w14:paraId="5FB0CAF7" w14:textId="77777777" w:rsidR="00FA3F12" w:rsidRDefault="00FA3F12" w:rsidP="00FA3F12">
      <w:pPr>
        <w:keepNext/>
      </w:pPr>
      <w:r>
        <w:rPr>
          <w:noProof/>
        </w:rPr>
        <w:drawing>
          <wp:inline distT="0" distB="0" distL="0" distR="0" wp14:anchorId="412C6822" wp14:editId="5FA3AF06">
            <wp:extent cx="3143250" cy="2955864"/>
            <wp:effectExtent l="0" t="0" r="0" b="0"/>
            <wp:docPr id="42" name="Graphic 42"/>
            <wp:cNvGraphicFramePr/>
            <a:graphic xmlns:a="http://schemas.openxmlformats.org/drawingml/2006/main">
              <a:graphicData uri="http://schemas.openxmlformats.org/drawingml/2006/picture">
                <pic:pic xmlns:pic="http://schemas.openxmlformats.org/drawingml/2006/picture">
                  <pic:nvPicPr>
                    <pic:cNvPr id="42" name="Graphic 42"/>
                    <pic:cNvPicPr/>
                  </pic:nvPicPr>
                  <pic:blipFill>
                    <a:blip r:embed="rId80">
                      <a:extLst>
                        <a:ext uri="{96DAC541-7B7A-43D3-8B79-37D633B846F1}">
                          <asvg:svgBlip xmlns:asvg="http://schemas.microsoft.com/office/drawing/2016/SVG/main" r:embed="rId81"/>
                        </a:ext>
                      </a:extLst>
                    </a:blip>
                    <a:stretch>
                      <a:fillRect/>
                    </a:stretch>
                  </pic:blipFill>
                  <pic:spPr>
                    <a:xfrm>
                      <a:off x="0" y="0"/>
                      <a:ext cx="3146877" cy="2959275"/>
                    </a:xfrm>
                    <a:prstGeom prst="rect">
                      <a:avLst/>
                    </a:prstGeom>
                  </pic:spPr>
                </pic:pic>
              </a:graphicData>
            </a:graphic>
          </wp:inline>
        </w:drawing>
      </w:r>
    </w:p>
    <w:p w14:paraId="1C674771" w14:textId="657A6208" w:rsidR="00FA3F12" w:rsidRDefault="00FA3F12" w:rsidP="00FA3F12">
      <w:pPr>
        <w:pStyle w:val="Caption"/>
      </w:pPr>
      <w:bookmarkStart w:id="218" w:name="_Ref141708365"/>
      <w:bookmarkStart w:id="219" w:name="_Toc145792519"/>
      <w:bookmarkStart w:id="220" w:name="_Ref139762615"/>
      <w:bookmarkStart w:id="221" w:name="_Toc148444215"/>
      <w:r>
        <w:t xml:space="preserve">Supplementary Figure </w:t>
      </w:r>
      <w:r w:rsidR="00590C69">
        <w:fldChar w:fldCharType="begin"/>
      </w:r>
      <w:r w:rsidR="00590C69">
        <w:instrText xml:space="preserve"> SEQ Figure \* ARABIC \s 1 </w:instrText>
      </w:r>
      <w:r w:rsidR="00590C69">
        <w:fldChar w:fldCharType="separate"/>
      </w:r>
      <w:r w:rsidR="00C661AC">
        <w:rPr>
          <w:noProof/>
        </w:rPr>
        <w:t>34</w:t>
      </w:r>
      <w:r w:rsidR="00590C69">
        <w:rPr>
          <w:noProof/>
        </w:rPr>
        <w:fldChar w:fldCharType="end"/>
      </w:r>
      <w:bookmarkEnd w:id="218"/>
      <w:r>
        <w:t>. Distribution of Annual Travel Distance by Ship Type in the AIS Analyzed Subset</w:t>
      </w:r>
      <w:bookmarkEnd w:id="219"/>
      <w:bookmarkEnd w:id="220"/>
      <w:bookmarkEnd w:id="221"/>
    </w:p>
    <w:p w14:paraId="608B8D28" w14:textId="098312EA" w:rsidR="00625C31" w:rsidRDefault="00625C31">
      <w:pPr>
        <w:widowControl/>
        <w:spacing w:line="240" w:lineRule="auto"/>
        <w:rPr>
          <w:lang w:eastAsia="ko-KR"/>
        </w:rPr>
      </w:pPr>
      <w:r>
        <w:rPr>
          <w:lang w:eastAsia="ko-KR"/>
        </w:rPr>
        <w:br w:type="page"/>
      </w:r>
    </w:p>
    <w:p w14:paraId="3EC185D4" w14:textId="77777777" w:rsidR="00625C31" w:rsidRDefault="00625C31" w:rsidP="00625C31">
      <w:pPr>
        <w:keepNext/>
      </w:pPr>
      <w:r>
        <w:rPr>
          <w:noProof/>
        </w:rPr>
        <w:drawing>
          <wp:inline distT="0" distB="0" distL="0" distR="0" wp14:anchorId="58A62E3E" wp14:editId="7A48F03D">
            <wp:extent cx="5947410" cy="3591560"/>
            <wp:effectExtent l="0" t="0" r="0" b="8890"/>
            <wp:docPr id="46" name="Graphic 46"/>
            <wp:cNvGraphicFramePr/>
            <a:graphic xmlns:a="http://schemas.openxmlformats.org/drawingml/2006/main">
              <a:graphicData uri="http://schemas.openxmlformats.org/drawingml/2006/picture">
                <pic:pic xmlns:pic="http://schemas.openxmlformats.org/drawingml/2006/picture">
                  <pic:nvPicPr>
                    <pic:cNvPr id="46" name="Graphic 46"/>
                    <pic:cNvPicPr/>
                  </pic:nvPicPr>
                  <pic:blipFill>
                    <a:blip r:embed="rId82">
                      <a:extLst>
                        <a:ext uri="{96DAC541-7B7A-43D3-8B79-37D633B846F1}">
                          <asvg:svgBlip xmlns:asvg="http://schemas.microsoft.com/office/drawing/2016/SVG/main" r:embed="rId83"/>
                        </a:ext>
                      </a:extLst>
                    </a:blip>
                    <a:stretch>
                      <a:fillRect/>
                    </a:stretch>
                  </pic:blipFill>
                  <pic:spPr>
                    <a:xfrm>
                      <a:off x="0" y="0"/>
                      <a:ext cx="5943600" cy="3592830"/>
                    </a:xfrm>
                    <a:prstGeom prst="rect">
                      <a:avLst/>
                    </a:prstGeom>
                  </pic:spPr>
                </pic:pic>
              </a:graphicData>
            </a:graphic>
          </wp:inline>
        </w:drawing>
      </w:r>
    </w:p>
    <w:p w14:paraId="2137EEE2" w14:textId="1F97DCA1" w:rsidR="00625C31" w:rsidRDefault="00625C31" w:rsidP="00625C31">
      <w:pPr>
        <w:keepNext/>
        <w:rPr>
          <w:sz w:val="20"/>
        </w:rPr>
      </w:pPr>
      <w:r>
        <w:rPr>
          <w:sz w:val="20"/>
        </w:rPr>
        <w:t>Authors’ work based on USDOT</w:t>
      </w:r>
      <w:r w:rsidR="00A60B62">
        <w:rPr>
          <w:sz w:val="20"/>
        </w:rPr>
        <w:t xml:space="preserve"> shipment data</w:t>
      </w:r>
      <w:r w:rsidR="00A60B62">
        <w:rPr>
          <w:sz w:val="20"/>
        </w:rPr>
        <w:fldChar w:fldCharType="begin"/>
      </w:r>
      <w:r w:rsidR="000F2CEE">
        <w:rPr>
          <w:sz w:val="20"/>
        </w:rPr>
        <w:instrText xml:space="preserve"> ADDIN ZOTERO_ITEM CSL_CITATION {"citationID":"GY8gtQQA","properties":{"formattedCitation":"\\super 41,42\\nosupersub{}","plainCitation":"41,42","noteIndex":0},"citationItems":[{"id":270,"uris":["http://zotero.org/users/12468222/items/3T5K2Z8R"],"itemData":{"id":270,"type":"webpage","abstract":"The Principal Ports file contains USACE port codes, geographic locations(longitude, latitude), names, and commodity tonnage summaries (total tons, domestic, foreign, imports and exports) for Principal USACE Ports.","container-title":"U.S. Department of Transportation","language":"en","title":"Principal Ports","URL":"https://data-usdot.opendata.arcgis.com/datasets/usdot::principal-ports/about","author":[{"literal":"U.S. Department of Transportation"}],"accessed":{"date-parts":[["2023",9,26]]},"issued":{"date-parts":[["2022"]]}}},{"id":265,"uris":["http://zotero.org/users/12468222/items/FANVC83S"],"itemData":{"id":265,"type":"webpage","container-title":"U.S. Army Corps of Engineers","title":"Principal Ports of the United States. Waterborne tonnage for principal U.S. ports and all 50 states and U.S. territories","URL":"https://usace.contentdm.oclc.org/digital/collection/p16021coll2/id/7447","author":[{"literal":"U.S. Army Corps of Engineers"}],"accessed":{"date-parts":[["2023",9,26]]},"issued":{"date-parts":[["2023"]]}}}],"schema":"https://github.com/citation-style-language/schema/raw/master/csl-citation.json"} </w:instrText>
      </w:r>
      <w:r w:rsidR="00A60B62">
        <w:rPr>
          <w:sz w:val="20"/>
        </w:rPr>
        <w:fldChar w:fldCharType="separate"/>
      </w:r>
      <w:r w:rsidR="000F2CEE" w:rsidRPr="000F2CEE">
        <w:rPr>
          <w:rFonts w:cs="Times New Roman"/>
          <w:sz w:val="20"/>
          <w:szCs w:val="24"/>
          <w:vertAlign w:val="superscript"/>
        </w:rPr>
        <w:t>41,42</w:t>
      </w:r>
      <w:r w:rsidR="00A60B62">
        <w:rPr>
          <w:sz w:val="20"/>
        </w:rPr>
        <w:fldChar w:fldCharType="end"/>
      </w:r>
      <w:r>
        <w:rPr>
          <w:sz w:val="20"/>
        </w:rPr>
        <w:t>.</w:t>
      </w:r>
    </w:p>
    <w:p w14:paraId="79D417E9" w14:textId="1BC9A45B" w:rsidR="00625C31" w:rsidRDefault="005F2F98" w:rsidP="00625C31">
      <w:pPr>
        <w:pStyle w:val="Caption"/>
        <w:rPr>
          <w:b w:val="0"/>
        </w:rPr>
      </w:pPr>
      <w:bookmarkStart w:id="222" w:name="_Ref140951265"/>
      <w:bookmarkStart w:id="223" w:name="_Toc145792520"/>
      <w:bookmarkStart w:id="224" w:name="_Toc148444216"/>
      <w:bookmarkStart w:id="225" w:name="_Ref133939280"/>
      <w:r>
        <w:t xml:space="preserve">Supplementary </w:t>
      </w:r>
      <w:r w:rsidR="00625C31">
        <w:t xml:space="preserve">Figure </w:t>
      </w:r>
      <w:r w:rsidR="00590C69">
        <w:fldChar w:fldCharType="begin"/>
      </w:r>
      <w:r w:rsidR="00590C69">
        <w:instrText xml:space="preserve"> SEQ Figure \* ARABIC \s 1 </w:instrText>
      </w:r>
      <w:r w:rsidR="00590C69">
        <w:fldChar w:fldCharType="separate"/>
      </w:r>
      <w:r w:rsidR="00C661AC">
        <w:rPr>
          <w:noProof/>
        </w:rPr>
        <w:t>35</w:t>
      </w:r>
      <w:r w:rsidR="00590C69">
        <w:rPr>
          <w:noProof/>
        </w:rPr>
        <w:fldChar w:fldCharType="end"/>
      </w:r>
      <w:bookmarkEnd w:id="222"/>
      <w:r w:rsidR="00625C31">
        <w:t>. Locations and Domestic Commodity Shipments at 150 Major U.S. Ports</w:t>
      </w:r>
      <w:bookmarkEnd w:id="223"/>
      <w:bookmarkEnd w:id="224"/>
    </w:p>
    <w:bookmarkEnd w:id="225"/>
    <w:p w14:paraId="04795BC0" w14:textId="118246D6" w:rsidR="004E397C" w:rsidRDefault="004E397C">
      <w:pPr>
        <w:widowControl/>
        <w:spacing w:line="240" w:lineRule="auto"/>
        <w:rPr>
          <w:lang w:eastAsia="ko-KR"/>
        </w:rPr>
      </w:pPr>
      <w:r>
        <w:rPr>
          <w:lang w:eastAsia="ko-KR"/>
        </w:rPr>
        <w:br w:type="page"/>
      </w:r>
    </w:p>
    <w:p w14:paraId="7052EAA0" w14:textId="77777777" w:rsidR="004E397C" w:rsidRDefault="004E397C" w:rsidP="004E397C">
      <w:pPr>
        <w:keepNext/>
      </w:pPr>
      <w:r>
        <w:rPr>
          <w:noProof/>
        </w:rPr>
        <w:drawing>
          <wp:inline distT="0" distB="0" distL="0" distR="0" wp14:anchorId="723DD729" wp14:editId="49742B57">
            <wp:extent cx="5947410" cy="2889250"/>
            <wp:effectExtent l="0" t="0" r="0" b="6350"/>
            <wp:docPr id="50" name="Graphic 50"/>
            <wp:cNvGraphicFramePr/>
            <a:graphic xmlns:a="http://schemas.openxmlformats.org/drawingml/2006/main">
              <a:graphicData uri="http://schemas.openxmlformats.org/drawingml/2006/picture">
                <pic:pic xmlns:pic="http://schemas.openxmlformats.org/drawingml/2006/picture">
                  <pic:nvPicPr>
                    <pic:cNvPr id="50" name="Graphic 50"/>
                    <pic:cNvPicPr/>
                  </pic:nvPicPr>
                  <pic:blipFill>
                    <a:blip r:embed="rId84">
                      <a:extLst>
                        <a:ext uri="{96DAC541-7B7A-43D3-8B79-37D633B846F1}">
                          <asvg:svgBlip xmlns:asvg="http://schemas.microsoft.com/office/drawing/2016/SVG/main" r:embed="rId85"/>
                        </a:ext>
                      </a:extLst>
                    </a:blip>
                    <a:stretch>
                      <a:fillRect/>
                    </a:stretch>
                  </pic:blipFill>
                  <pic:spPr>
                    <a:xfrm>
                      <a:off x="0" y="0"/>
                      <a:ext cx="5943600" cy="2889250"/>
                    </a:xfrm>
                    <a:prstGeom prst="rect">
                      <a:avLst/>
                    </a:prstGeom>
                  </pic:spPr>
                </pic:pic>
              </a:graphicData>
            </a:graphic>
          </wp:inline>
        </w:drawing>
      </w:r>
    </w:p>
    <w:p w14:paraId="37FFFA9B" w14:textId="64D87596" w:rsidR="004E397C" w:rsidRDefault="00D4144F" w:rsidP="004E397C">
      <w:pPr>
        <w:pStyle w:val="Caption"/>
      </w:pPr>
      <w:bookmarkStart w:id="226" w:name="_Ref138136739"/>
      <w:bookmarkStart w:id="227" w:name="_Toc145792521"/>
      <w:bookmarkStart w:id="228" w:name="_Toc148444217"/>
      <w:r>
        <w:t xml:space="preserve">Supplementary </w:t>
      </w:r>
      <w:r w:rsidR="004E397C">
        <w:t xml:space="preserve">Figure </w:t>
      </w:r>
      <w:r w:rsidR="00590C69">
        <w:fldChar w:fldCharType="begin"/>
      </w:r>
      <w:r w:rsidR="00590C69">
        <w:instrText xml:space="preserve"> SEQ Figure \* ARABIC \s 1 </w:instrText>
      </w:r>
      <w:r w:rsidR="00590C69">
        <w:fldChar w:fldCharType="separate"/>
      </w:r>
      <w:r w:rsidR="00C661AC">
        <w:rPr>
          <w:noProof/>
        </w:rPr>
        <w:t>36</w:t>
      </w:r>
      <w:r w:rsidR="00590C69">
        <w:rPr>
          <w:noProof/>
        </w:rPr>
        <w:fldChar w:fldCharType="end"/>
      </w:r>
      <w:bookmarkEnd w:id="226"/>
      <w:r w:rsidR="004E397C">
        <w:rPr>
          <w:noProof/>
        </w:rPr>
        <w:t>.</w:t>
      </w:r>
      <w:r w:rsidR="004E397C">
        <w:t xml:space="preserve"> </w:t>
      </w:r>
      <w:r w:rsidR="004E397C">
        <w:rPr>
          <w:noProof/>
        </w:rPr>
        <w:t xml:space="preserve">Process for </w:t>
      </w:r>
      <w:r w:rsidR="004E397C">
        <w:t>Estimating Ship Electrification Potential and GHG Emissions</w:t>
      </w:r>
      <w:bookmarkEnd w:id="227"/>
      <w:bookmarkEnd w:id="228"/>
    </w:p>
    <w:p w14:paraId="4DE44B6B" w14:textId="5DA6F1CD" w:rsidR="004E397C" w:rsidRDefault="004E397C">
      <w:pPr>
        <w:widowControl/>
        <w:spacing w:line="240" w:lineRule="auto"/>
        <w:rPr>
          <w:lang w:eastAsia="ko-KR"/>
        </w:rPr>
      </w:pPr>
      <w:r>
        <w:rPr>
          <w:lang w:eastAsia="ko-KR"/>
        </w:rPr>
        <w:br w:type="page"/>
      </w:r>
    </w:p>
    <w:p w14:paraId="5023CDC9" w14:textId="77777777" w:rsidR="00AE461C" w:rsidRDefault="00AE461C" w:rsidP="00AE461C">
      <w:pPr>
        <w:keepNext/>
      </w:pPr>
      <w:r>
        <w:rPr>
          <w:noProof/>
        </w:rPr>
        <w:drawing>
          <wp:inline distT="0" distB="0" distL="0" distR="0" wp14:anchorId="2A25958B" wp14:editId="7EE6C691">
            <wp:extent cx="5947410" cy="3211195"/>
            <wp:effectExtent l="0" t="0" r="0" b="8255"/>
            <wp:docPr id="51" name="Graphic 51"/>
            <wp:cNvGraphicFramePr/>
            <a:graphic xmlns:a="http://schemas.openxmlformats.org/drawingml/2006/main">
              <a:graphicData uri="http://schemas.openxmlformats.org/drawingml/2006/picture">
                <pic:pic xmlns:pic="http://schemas.openxmlformats.org/drawingml/2006/picture">
                  <pic:nvPicPr>
                    <pic:cNvPr id="51" name="Graphic 51"/>
                    <pic:cNvPicPr/>
                  </pic:nvPicPr>
                  <pic:blipFill>
                    <a:blip r:embed="rId86">
                      <a:extLst>
                        <a:ext uri="{96DAC541-7B7A-43D3-8B79-37D633B846F1}">
                          <asvg:svgBlip xmlns:asvg="http://schemas.microsoft.com/office/drawing/2016/SVG/main" r:embed="rId87"/>
                        </a:ext>
                      </a:extLst>
                    </a:blip>
                    <a:stretch>
                      <a:fillRect/>
                    </a:stretch>
                  </pic:blipFill>
                  <pic:spPr>
                    <a:xfrm>
                      <a:off x="0" y="0"/>
                      <a:ext cx="5943600" cy="3209925"/>
                    </a:xfrm>
                    <a:prstGeom prst="rect">
                      <a:avLst/>
                    </a:prstGeom>
                  </pic:spPr>
                </pic:pic>
              </a:graphicData>
            </a:graphic>
          </wp:inline>
        </w:drawing>
      </w:r>
    </w:p>
    <w:p w14:paraId="089A7FCD" w14:textId="1C9C87CB" w:rsidR="00AE461C" w:rsidRDefault="00250AD7" w:rsidP="00AE461C">
      <w:pPr>
        <w:pStyle w:val="Caption"/>
      </w:pPr>
      <w:bookmarkStart w:id="229" w:name="_Ref139898553"/>
      <w:bookmarkStart w:id="230" w:name="_Toc145792522"/>
      <w:bookmarkStart w:id="231" w:name="_Toc148444218"/>
      <w:r>
        <w:t xml:space="preserve">Supplementary </w:t>
      </w:r>
      <w:r w:rsidR="00AE461C">
        <w:t xml:space="preserve">Figure </w:t>
      </w:r>
      <w:r w:rsidR="00590C69">
        <w:fldChar w:fldCharType="begin"/>
      </w:r>
      <w:r w:rsidR="00590C69">
        <w:instrText xml:space="preserve"> SEQ Figure \* ARABIC \s 1 </w:instrText>
      </w:r>
      <w:r w:rsidR="00590C69">
        <w:fldChar w:fldCharType="separate"/>
      </w:r>
      <w:r w:rsidR="00C661AC">
        <w:rPr>
          <w:noProof/>
        </w:rPr>
        <w:t>37</w:t>
      </w:r>
      <w:r w:rsidR="00590C69">
        <w:rPr>
          <w:noProof/>
        </w:rPr>
        <w:fldChar w:fldCharType="end"/>
      </w:r>
      <w:bookmarkEnd w:id="229"/>
      <w:r w:rsidR="00AE461C">
        <w:rPr>
          <w:noProof/>
        </w:rPr>
        <w:t>.</w:t>
      </w:r>
      <w:r w:rsidR="00AE461C">
        <w:t xml:space="preserve"> </w:t>
      </w:r>
      <w:r w:rsidR="00AE461C">
        <w:rPr>
          <w:noProof/>
        </w:rPr>
        <w:t>Design of the Maritime Battery Electrification Simulator (MariBES) Developed for This Study</w:t>
      </w:r>
      <w:bookmarkEnd w:id="230"/>
      <w:bookmarkEnd w:id="231"/>
    </w:p>
    <w:p w14:paraId="689735B7" w14:textId="765C970B" w:rsidR="00445243" w:rsidRDefault="00445243" w:rsidP="004434A0">
      <w:pPr>
        <w:rPr>
          <w:lang w:eastAsia="ko-KR"/>
        </w:rPr>
      </w:pPr>
    </w:p>
    <w:p w14:paraId="591B7043" w14:textId="0CAEB081" w:rsidR="00AE461C" w:rsidRDefault="00AE461C" w:rsidP="004434A0">
      <w:pPr>
        <w:rPr>
          <w:lang w:eastAsia="ko-KR"/>
        </w:rPr>
      </w:pPr>
    </w:p>
    <w:p w14:paraId="24B60980" w14:textId="769735A9" w:rsidR="00AE461C" w:rsidRDefault="00AE461C">
      <w:pPr>
        <w:widowControl/>
        <w:spacing w:line="240" w:lineRule="auto"/>
        <w:rPr>
          <w:lang w:eastAsia="ko-KR"/>
        </w:rPr>
      </w:pPr>
      <w:r>
        <w:rPr>
          <w:lang w:eastAsia="ko-KR"/>
        </w:rPr>
        <w:br w:type="page"/>
      </w:r>
    </w:p>
    <w:p w14:paraId="573624AF" w14:textId="77777777" w:rsidR="004C4E5C" w:rsidRDefault="004C4E5C" w:rsidP="004C4E5C">
      <w:pPr>
        <w:keepNext/>
      </w:pPr>
      <w:r>
        <w:rPr>
          <w:noProof/>
        </w:rPr>
        <w:drawing>
          <wp:inline distT="0" distB="0" distL="0" distR="0" wp14:anchorId="1B3FC5FF" wp14:editId="789B920A">
            <wp:extent cx="3657600" cy="2428875"/>
            <wp:effectExtent l="0" t="0" r="0" b="0"/>
            <wp:docPr id="60" name="Graphic 60"/>
            <wp:cNvGraphicFramePr/>
            <a:graphic xmlns:a="http://schemas.openxmlformats.org/drawingml/2006/main">
              <a:graphicData uri="http://schemas.openxmlformats.org/drawingml/2006/picture">
                <pic:pic xmlns:pic="http://schemas.openxmlformats.org/drawingml/2006/picture">
                  <pic:nvPicPr>
                    <pic:cNvPr id="60" name="Graphic 60"/>
                    <pic:cNvPicPr/>
                  </pic:nvPicPr>
                  <pic:blipFill>
                    <a:blip r:embed="rId88">
                      <a:extLst>
                        <a:ext uri="{96DAC541-7B7A-43D3-8B79-37D633B846F1}">
                          <asvg:svgBlip xmlns:asvg="http://schemas.microsoft.com/office/drawing/2016/SVG/main" r:embed="rId89"/>
                        </a:ext>
                      </a:extLst>
                    </a:blip>
                    <a:stretch>
                      <a:fillRect/>
                    </a:stretch>
                  </pic:blipFill>
                  <pic:spPr>
                    <a:xfrm>
                      <a:off x="0" y="0"/>
                      <a:ext cx="3657600" cy="2425065"/>
                    </a:xfrm>
                    <a:prstGeom prst="rect">
                      <a:avLst/>
                    </a:prstGeom>
                  </pic:spPr>
                </pic:pic>
              </a:graphicData>
            </a:graphic>
          </wp:inline>
        </w:drawing>
      </w:r>
    </w:p>
    <w:p w14:paraId="532A3EB7" w14:textId="77777777" w:rsidR="004C4E5C" w:rsidRDefault="004C4E5C" w:rsidP="004C4E5C">
      <w:pPr>
        <w:keepNext/>
      </w:pPr>
      <w:r>
        <w:tab/>
      </w:r>
      <w:r>
        <w:tab/>
      </w:r>
      <w:r>
        <w:tab/>
      </w:r>
      <w:r>
        <w:tab/>
        <w:t>(a)</w:t>
      </w:r>
    </w:p>
    <w:p w14:paraId="16B4D6F6" w14:textId="77777777" w:rsidR="004C4E5C" w:rsidRDefault="004C4E5C" w:rsidP="004C4E5C">
      <w:pPr>
        <w:keepNext/>
      </w:pPr>
      <w:r>
        <w:rPr>
          <w:noProof/>
        </w:rPr>
        <w:t xml:space="preserve"> </w:t>
      </w:r>
      <w:r>
        <w:rPr>
          <w:noProof/>
        </w:rPr>
        <w:drawing>
          <wp:inline distT="0" distB="0" distL="0" distR="0" wp14:anchorId="033E71A3" wp14:editId="0D9A3231">
            <wp:extent cx="3657600" cy="2406650"/>
            <wp:effectExtent l="0" t="0" r="0" b="0"/>
            <wp:docPr id="61" name="Graphic 61"/>
            <wp:cNvGraphicFramePr/>
            <a:graphic xmlns:a="http://schemas.openxmlformats.org/drawingml/2006/main">
              <a:graphicData uri="http://schemas.openxmlformats.org/drawingml/2006/picture">
                <pic:pic xmlns:pic="http://schemas.openxmlformats.org/drawingml/2006/picture">
                  <pic:nvPicPr>
                    <pic:cNvPr id="61" name="Graphic 61"/>
                    <pic:cNvPicPr/>
                  </pic:nvPicPr>
                  <pic:blipFill>
                    <a:blip r:embed="rId90">
                      <a:extLst>
                        <a:ext uri="{96DAC541-7B7A-43D3-8B79-37D633B846F1}">
                          <asvg:svgBlip xmlns:asvg="http://schemas.microsoft.com/office/drawing/2016/SVG/main" r:embed="rId91"/>
                        </a:ext>
                      </a:extLst>
                    </a:blip>
                    <a:stretch>
                      <a:fillRect/>
                    </a:stretch>
                  </pic:blipFill>
                  <pic:spPr>
                    <a:xfrm>
                      <a:off x="0" y="0"/>
                      <a:ext cx="3657600" cy="2408555"/>
                    </a:xfrm>
                    <a:prstGeom prst="rect">
                      <a:avLst/>
                    </a:prstGeom>
                  </pic:spPr>
                </pic:pic>
              </a:graphicData>
            </a:graphic>
          </wp:inline>
        </w:drawing>
      </w:r>
    </w:p>
    <w:p w14:paraId="32A76519" w14:textId="77777777" w:rsidR="004C4E5C" w:rsidRDefault="004C4E5C" w:rsidP="004C4E5C">
      <w:pPr>
        <w:keepNext/>
      </w:pPr>
      <w:r>
        <w:tab/>
      </w:r>
      <w:r>
        <w:tab/>
      </w:r>
      <w:r>
        <w:tab/>
      </w:r>
      <w:r>
        <w:tab/>
        <w:t>(b)</w:t>
      </w:r>
    </w:p>
    <w:p w14:paraId="5ADE3FBB" w14:textId="4616A7C4" w:rsidR="004C4E5C" w:rsidRDefault="004C4E5C" w:rsidP="004C4E5C">
      <w:pPr>
        <w:pStyle w:val="Caption"/>
      </w:pPr>
      <w:bookmarkStart w:id="232" w:name="_Ref140950836"/>
      <w:bookmarkStart w:id="233" w:name="_Toc145792527"/>
      <w:bookmarkStart w:id="234" w:name="_Toc148444219"/>
      <w:r>
        <w:t xml:space="preserve">Supplementary Figure </w:t>
      </w:r>
      <w:r w:rsidR="00590C69">
        <w:fldChar w:fldCharType="begin"/>
      </w:r>
      <w:r w:rsidR="00590C69">
        <w:instrText xml:space="preserve"> SEQ Figure \* ARABIC \s 1 </w:instrText>
      </w:r>
      <w:r w:rsidR="00590C69">
        <w:fldChar w:fldCharType="separate"/>
      </w:r>
      <w:r w:rsidR="00C661AC">
        <w:rPr>
          <w:noProof/>
        </w:rPr>
        <w:t>38</w:t>
      </w:r>
      <w:r w:rsidR="00590C69">
        <w:rPr>
          <w:noProof/>
        </w:rPr>
        <w:fldChar w:fldCharType="end"/>
      </w:r>
      <w:bookmarkEnd w:id="232"/>
      <w:r>
        <w:rPr>
          <w:noProof/>
        </w:rPr>
        <w:t>.</w:t>
      </w:r>
      <w:r>
        <w:t xml:space="preserve"> Illustrative Passenger Ship: (a) Speed over Ground (SOG) and Moving/Chargeable State, (b) Battery Charging, Discharging, and SOC</w:t>
      </w:r>
      <w:bookmarkEnd w:id="233"/>
      <w:bookmarkEnd w:id="234"/>
    </w:p>
    <w:p w14:paraId="21F27D25" w14:textId="547DA8A7" w:rsidR="004C4E5C" w:rsidRDefault="004C4E5C">
      <w:pPr>
        <w:widowControl/>
        <w:spacing w:line="240" w:lineRule="auto"/>
        <w:rPr>
          <w:lang w:eastAsia="ko-KR"/>
        </w:rPr>
      </w:pPr>
      <w:r>
        <w:rPr>
          <w:lang w:eastAsia="ko-KR"/>
        </w:rPr>
        <w:br w:type="page"/>
      </w:r>
    </w:p>
    <w:p w14:paraId="579C71B3" w14:textId="77777777" w:rsidR="004C4E5C" w:rsidRDefault="004C4E5C" w:rsidP="004C4E5C">
      <w:pPr>
        <w:keepNext/>
        <w:rPr>
          <w:b/>
        </w:rPr>
      </w:pPr>
      <w:r>
        <w:rPr>
          <w:noProof/>
        </w:rPr>
        <w:drawing>
          <wp:inline distT="0" distB="0" distL="0" distR="0" wp14:anchorId="7F5AFD94" wp14:editId="60BF0236">
            <wp:extent cx="5947410" cy="2933700"/>
            <wp:effectExtent l="0" t="0" r="0" b="0"/>
            <wp:docPr id="33" name="Graphic 33"/>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92">
                      <a:extLst>
                        <a:ext uri="{96DAC541-7B7A-43D3-8B79-37D633B846F1}">
                          <asvg:svgBlip xmlns:asvg="http://schemas.microsoft.com/office/drawing/2016/SVG/main" r:embed="rId93"/>
                        </a:ext>
                      </a:extLst>
                    </a:blip>
                    <a:stretch>
                      <a:fillRect/>
                    </a:stretch>
                  </pic:blipFill>
                  <pic:spPr>
                    <a:xfrm>
                      <a:off x="0" y="0"/>
                      <a:ext cx="5943600" cy="2936875"/>
                    </a:xfrm>
                    <a:prstGeom prst="rect">
                      <a:avLst/>
                    </a:prstGeom>
                  </pic:spPr>
                </pic:pic>
              </a:graphicData>
            </a:graphic>
          </wp:inline>
        </w:drawing>
      </w:r>
    </w:p>
    <w:p w14:paraId="27C2B453" w14:textId="77777777" w:rsidR="004C4E5C" w:rsidRDefault="004C4E5C" w:rsidP="004C4E5C">
      <w:pPr>
        <w:keepNext/>
        <w:rPr>
          <w:sz w:val="18"/>
        </w:rPr>
      </w:pPr>
      <w:r>
        <w:rPr>
          <w:sz w:val="18"/>
        </w:rPr>
        <w:t>Q1 (far right) will answer how much maximum power will be needed by the port.</w:t>
      </w:r>
    </w:p>
    <w:p w14:paraId="738C94E3" w14:textId="77777777" w:rsidR="004C4E5C" w:rsidRDefault="004C4E5C" w:rsidP="004C4E5C">
      <w:pPr>
        <w:keepNext/>
        <w:rPr>
          <w:sz w:val="18"/>
        </w:rPr>
      </w:pPr>
      <w:r>
        <w:rPr>
          <w:sz w:val="18"/>
        </w:rPr>
        <w:t>Q2 will answer when and how often power will be required during the year.</w:t>
      </w:r>
    </w:p>
    <w:p w14:paraId="7338C644" w14:textId="77777777" w:rsidR="004C4E5C" w:rsidRDefault="004C4E5C" w:rsidP="004C4E5C">
      <w:pPr>
        <w:keepNext/>
        <w:rPr>
          <w:sz w:val="18"/>
        </w:rPr>
      </w:pPr>
      <w:r>
        <w:rPr>
          <w:sz w:val="18"/>
        </w:rPr>
        <w:t>Q3 will answer how much energy will be required for BESs during the year.</w:t>
      </w:r>
    </w:p>
    <w:p w14:paraId="641B1E01" w14:textId="6AF3356A" w:rsidR="004C4E5C" w:rsidRDefault="004C4E5C" w:rsidP="004C4E5C">
      <w:pPr>
        <w:pStyle w:val="Caption"/>
      </w:pPr>
      <w:bookmarkStart w:id="235" w:name="_Ref141056990"/>
      <w:bookmarkStart w:id="236" w:name="_Toc145792531"/>
      <w:bookmarkStart w:id="237" w:name="_Toc148444220"/>
      <w:r>
        <w:t xml:space="preserve">Supplementary Figure </w:t>
      </w:r>
      <w:r w:rsidR="00590C69">
        <w:fldChar w:fldCharType="begin"/>
      </w:r>
      <w:r w:rsidR="00590C69">
        <w:instrText xml:space="preserve"> SEQ </w:instrText>
      </w:r>
      <w:r w:rsidR="00590C69">
        <w:instrText xml:space="preserve">Figure \* ARABIC \s 1 </w:instrText>
      </w:r>
      <w:r w:rsidR="00590C69">
        <w:fldChar w:fldCharType="separate"/>
      </w:r>
      <w:r w:rsidR="00C661AC">
        <w:rPr>
          <w:noProof/>
        </w:rPr>
        <w:t>39</w:t>
      </w:r>
      <w:r w:rsidR="00590C69">
        <w:rPr>
          <w:noProof/>
        </w:rPr>
        <w:fldChar w:fldCharType="end"/>
      </w:r>
      <w:bookmarkEnd w:id="235"/>
      <w:r>
        <w:rPr>
          <w:noProof/>
        </w:rPr>
        <w:t>.</w:t>
      </w:r>
      <w:r>
        <w:t xml:space="preserve"> Conceptual Framework for Estimating BES Grid Charging Requirements</w:t>
      </w:r>
      <w:bookmarkEnd w:id="236"/>
      <w:bookmarkEnd w:id="237"/>
    </w:p>
    <w:p w14:paraId="73BBED73" w14:textId="618956EA" w:rsidR="00AE461C" w:rsidRDefault="00AE461C" w:rsidP="004434A0">
      <w:pPr>
        <w:rPr>
          <w:lang w:eastAsia="ko-KR"/>
        </w:rPr>
      </w:pPr>
    </w:p>
    <w:p w14:paraId="6CD829BE" w14:textId="79FAA982" w:rsidR="00D41B1E" w:rsidRDefault="00D41B1E">
      <w:pPr>
        <w:widowControl/>
        <w:spacing w:line="240" w:lineRule="auto"/>
        <w:rPr>
          <w:lang w:eastAsia="ko-KR"/>
        </w:rPr>
      </w:pPr>
      <w:r>
        <w:rPr>
          <w:lang w:eastAsia="ko-KR"/>
        </w:rPr>
        <w:br w:type="page"/>
      </w:r>
    </w:p>
    <w:p w14:paraId="335B1229" w14:textId="6CFC8502" w:rsidR="00D41B1E" w:rsidRDefault="00D41B1E" w:rsidP="00D41B1E">
      <w:pPr>
        <w:keepNext/>
        <w:rPr>
          <w:b/>
        </w:rPr>
      </w:pPr>
      <w:r>
        <w:rPr>
          <w:noProof/>
        </w:rPr>
        <w:drawing>
          <wp:inline distT="0" distB="0" distL="0" distR="0" wp14:anchorId="635FB9F8" wp14:editId="7EEC7D71">
            <wp:extent cx="5943600" cy="3293615"/>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943600" cy="3293615"/>
                    </a:xfrm>
                    <a:prstGeom prst="rect">
                      <a:avLst/>
                    </a:prstGeom>
                    <a:noFill/>
                    <a:ln>
                      <a:noFill/>
                    </a:ln>
                  </pic:spPr>
                </pic:pic>
              </a:graphicData>
            </a:graphic>
          </wp:inline>
        </w:drawing>
      </w:r>
    </w:p>
    <w:p w14:paraId="21A65D1E" w14:textId="40F52CA3" w:rsidR="00D41B1E" w:rsidRDefault="00D41B1E" w:rsidP="00D41B1E">
      <w:pPr>
        <w:pStyle w:val="Caption"/>
      </w:pPr>
      <w:bookmarkStart w:id="238" w:name="_Toc148444221"/>
      <w:r>
        <w:t xml:space="preserve">Supplementary Figure </w:t>
      </w:r>
      <w:r w:rsidR="00590C69">
        <w:fldChar w:fldCharType="begin"/>
      </w:r>
      <w:r w:rsidR="00590C69">
        <w:instrText xml:space="preserve"> SEQ Figure \* ARABIC \s 1 </w:instrText>
      </w:r>
      <w:r w:rsidR="00590C69">
        <w:fldChar w:fldCharType="separate"/>
      </w:r>
      <w:r>
        <w:rPr>
          <w:noProof/>
        </w:rPr>
        <w:t>40</w:t>
      </w:r>
      <w:r w:rsidR="00590C69">
        <w:rPr>
          <w:noProof/>
        </w:rPr>
        <w:fldChar w:fldCharType="end"/>
      </w:r>
      <w:r>
        <w:rPr>
          <w:noProof/>
        </w:rPr>
        <w:t>.</w:t>
      </w:r>
      <w:r>
        <w:t xml:space="preserve"> CO</w:t>
      </w:r>
      <w:r w:rsidRPr="00035F66">
        <w:rPr>
          <w:vertAlign w:val="subscript"/>
        </w:rPr>
        <w:t>2</w:t>
      </w:r>
      <w:r>
        <w:t>e Emissions from ICE Ships in the AIS Analyzed Subset</w:t>
      </w:r>
      <w:bookmarkEnd w:id="238"/>
    </w:p>
    <w:p w14:paraId="064F0D96" w14:textId="77777777" w:rsidR="00D41B1E" w:rsidRDefault="00D41B1E" w:rsidP="00D41B1E">
      <w:pPr>
        <w:rPr>
          <w:lang w:eastAsia="ko-KR"/>
        </w:rPr>
      </w:pPr>
    </w:p>
    <w:p w14:paraId="2045DDCF" w14:textId="77777777" w:rsidR="00D41B1E" w:rsidRDefault="00D41B1E" w:rsidP="004434A0">
      <w:pPr>
        <w:rPr>
          <w:lang w:eastAsia="ko-KR"/>
        </w:rPr>
      </w:pPr>
    </w:p>
    <w:p w14:paraId="2BC05A84" w14:textId="0D5D5059" w:rsidR="00FA3F12" w:rsidRDefault="00FA3F12" w:rsidP="004434A0">
      <w:pPr>
        <w:rPr>
          <w:lang w:eastAsia="ko-KR"/>
        </w:rPr>
      </w:pPr>
    </w:p>
    <w:p w14:paraId="4FE02A5E" w14:textId="65C62F4A" w:rsidR="00FA3F12" w:rsidRDefault="00FA3F12" w:rsidP="004434A0">
      <w:pPr>
        <w:rPr>
          <w:lang w:eastAsia="ko-KR"/>
        </w:rPr>
      </w:pPr>
    </w:p>
    <w:p w14:paraId="7F110D3C" w14:textId="4C35B174" w:rsidR="00FA3F12" w:rsidRDefault="00FA3F12" w:rsidP="004434A0">
      <w:pPr>
        <w:rPr>
          <w:lang w:eastAsia="ko-KR"/>
        </w:rPr>
      </w:pPr>
    </w:p>
    <w:p w14:paraId="42E59651" w14:textId="7CC47FD5" w:rsidR="00FA3F12" w:rsidRDefault="00FA3F12" w:rsidP="004434A0">
      <w:pPr>
        <w:rPr>
          <w:lang w:eastAsia="ko-KR"/>
        </w:rPr>
      </w:pPr>
    </w:p>
    <w:p w14:paraId="1969097D" w14:textId="6D9DC4AB" w:rsidR="00FA3F12" w:rsidRDefault="00FA3F12" w:rsidP="004434A0">
      <w:pPr>
        <w:rPr>
          <w:lang w:eastAsia="ko-KR"/>
        </w:rPr>
      </w:pPr>
    </w:p>
    <w:p w14:paraId="588EC02B" w14:textId="776F08C2" w:rsidR="00FA3F12" w:rsidRDefault="00FA3F12" w:rsidP="004434A0">
      <w:pPr>
        <w:rPr>
          <w:lang w:eastAsia="ko-KR"/>
        </w:rPr>
      </w:pPr>
    </w:p>
    <w:p w14:paraId="79B00431" w14:textId="77777777" w:rsidR="00FA3F12" w:rsidRDefault="00FA3F12" w:rsidP="004434A0">
      <w:pPr>
        <w:rPr>
          <w:lang w:eastAsia="ko-KR"/>
        </w:rPr>
      </w:pPr>
    </w:p>
    <w:p w14:paraId="4D3CA21C" w14:textId="77777777" w:rsidR="00646B68" w:rsidRDefault="00646B68" w:rsidP="004434A0">
      <w:pPr>
        <w:rPr>
          <w:lang w:eastAsia="ko-KR"/>
        </w:rPr>
      </w:pPr>
    </w:p>
    <w:p w14:paraId="1456AFE1" w14:textId="77777777" w:rsidR="003A2F1D" w:rsidRDefault="003A2F1D" w:rsidP="004434A0">
      <w:pPr>
        <w:rPr>
          <w:lang w:eastAsia="ko-KR"/>
        </w:rPr>
      </w:pPr>
    </w:p>
    <w:p w14:paraId="1AC6AAEB" w14:textId="4B49C53E" w:rsidR="00B1186B" w:rsidRDefault="00BC516D" w:rsidP="00C3760E">
      <w:pPr>
        <w:widowControl/>
        <w:spacing w:line="240" w:lineRule="auto"/>
        <w:rPr>
          <w:rFonts w:cs="Times New Roman"/>
          <w:b/>
          <w:color w:val="1F497D" w:themeColor="text2"/>
          <w:sz w:val="32"/>
          <w:szCs w:val="24"/>
        </w:rPr>
      </w:pPr>
      <w:r>
        <w:rPr>
          <w:color w:val="1F497D" w:themeColor="text2"/>
        </w:rPr>
        <w:br w:type="page"/>
      </w:r>
    </w:p>
    <w:p w14:paraId="7CD7BF7D" w14:textId="6D5490AD" w:rsidR="002C4C52" w:rsidRPr="00022BA7" w:rsidRDefault="006F4B63" w:rsidP="002C4C52">
      <w:pPr>
        <w:pStyle w:val="Heading1"/>
        <w:numPr>
          <w:ilvl w:val="0"/>
          <w:numId w:val="0"/>
        </w:numPr>
        <w:rPr>
          <w:color w:val="1F497D" w:themeColor="text2"/>
        </w:rPr>
      </w:pPr>
      <w:bookmarkStart w:id="239" w:name="_Toc146543018"/>
      <w:bookmarkStart w:id="240" w:name="_Toc146723125"/>
      <w:r w:rsidRPr="006F4B63">
        <w:rPr>
          <w:color w:val="1F497D" w:themeColor="text2"/>
        </w:rPr>
        <w:t>Supplementary</w:t>
      </w:r>
      <w:r>
        <w:rPr>
          <w:color w:val="1F497D" w:themeColor="text2"/>
        </w:rPr>
        <w:t xml:space="preserve"> </w:t>
      </w:r>
      <w:r w:rsidR="002C4C52" w:rsidRPr="00022BA7">
        <w:rPr>
          <w:color w:val="1F497D" w:themeColor="text2"/>
        </w:rPr>
        <w:t>References</w:t>
      </w:r>
      <w:bookmarkEnd w:id="99"/>
      <w:bookmarkEnd w:id="239"/>
      <w:bookmarkEnd w:id="240"/>
    </w:p>
    <w:p w14:paraId="5985272A" w14:textId="77777777" w:rsidR="00C661AC" w:rsidRPr="00C661AC" w:rsidRDefault="00A4388B" w:rsidP="00C661AC">
      <w:pPr>
        <w:pStyle w:val="Bibliography"/>
        <w:rPr>
          <w:rFonts w:cs="Times New Roman"/>
        </w:rPr>
      </w:pPr>
      <w:r>
        <w:fldChar w:fldCharType="begin"/>
      </w:r>
      <w:r w:rsidR="00C661AC">
        <w:instrText xml:space="preserve"> ADDIN ZOTERO_BIBL {"uncited":[],"omitted":[],"custom":[]} CSL_BIBLIOGRAPHY </w:instrText>
      </w:r>
      <w:r>
        <w:fldChar w:fldCharType="separate"/>
      </w:r>
      <w:r w:rsidR="00C661AC" w:rsidRPr="00C661AC">
        <w:rPr>
          <w:rFonts w:cs="Times New Roman"/>
        </w:rPr>
        <w:t>1.</w:t>
      </w:r>
      <w:r w:rsidR="00C661AC" w:rsidRPr="00C661AC">
        <w:rPr>
          <w:rFonts w:cs="Times New Roman"/>
        </w:rPr>
        <w:tab/>
        <w:t xml:space="preserve">U.S. Coast Guard. Annual Vessel Statistics. </w:t>
      </w:r>
      <w:r w:rsidR="00C661AC" w:rsidRPr="00C661AC">
        <w:rPr>
          <w:rFonts w:cs="Times New Roman"/>
          <w:i/>
          <w:iCs/>
        </w:rPr>
        <w:t>U.S. Coast Guard</w:t>
      </w:r>
      <w:r w:rsidR="00C661AC" w:rsidRPr="00C661AC">
        <w:rPr>
          <w:rFonts w:cs="Times New Roman"/>
        </w:rPr>
        <w:t xml:space="preserve"> https://www.dco.uscg.mil/Our-Organization/Assistant-Commandant-for-Prevention-Policy-CG-5P/Commercial-Regulations-Standards-CG-5PS/Office-of-Standards-Evaluation-and-Development-CG-REG/Annual-Vessel-Statistics/ (2021).</w:t>
      </w:r>
    </w:p>
    <w:p w14:paraId="643C5FFB" w14:textId="77777777" w:rsidR="00C661AC" w:rsidRPr="00C661AC" w:rsidRDefault="00C661AC" w:rsidP="00C661AC">
      <w:pPr>
        <w:pStyle w:val="Bibliography"/>
        <w:rPr>
          <w:rFonts w:cs="Times New Roman"/>
        </w:rPr>
      </w:pPr>
      <w:r w:rsidRPr="00C661AC">
        <w:rPr>
          <w:rFonts w:cs="Times New Roman"/>
        </w:rPr>
        <w:t>2.</w:t>
      </w:r>
      <w:r w:rsidRPr="00C661AC">
        <w:rPr>
          <w:rFonts w:cs="Times New Roman"/>
        </w:rPr>
        <w:tab/>
        <w:t xml:space="preserve">U.S. Army Corps of Engineers. Vessel Company Summary and Vessel Characteristics in 2020. </w:t>
      </w:r>
      <w:r w:rsidRPr="00C661AC">
        <w:rPr>
          <w:rFonts w:cs="Times New Roman"/>
          <w:i/>
          <w:iCs/>
        </w:rPr>
        <w:t>U.S. Army Corps of Engineers</w:t>
      </w:r>
      <w:r w:rsidRPr="00C661AC">
        <w:rPr>
          <w:rFonts w:cs="Times New Roman"/>
        </w:rPr>
        <w:t xml:space="preserve"> https://usace.contentdm.oclc.org/utils/getfile/collection/p16021coll2/id/7440 (2021).</w:t>
      </w:r>
    </w:p>
    <w:p w14:paraId="7B3B0555" w14:textId="77777777" w:rsidR="00C661AC" w:rsidRPr="00C661AC" w:rsidRDefault="00C661AC" w:rsidP="00C661AC">
      <w:pPr>
        <w:pStyle w:val="Bibliography"/>
        <w:rPr>
          <w:rFonts w:cs="Times New Roman"/>
        </w:rPr>
      </w:pPr>
      <w:r w:rsidRPr="00C661AC">
        <w:rPr>
          <w:rFonts w:cs="Times New Roman"/>
        </w:rPr>
        <w:t>3.</w:t>
      </w:r>
      <w:r w:rsidRPr="00C661AC">
        <w:rPr>
          <w:rFonts w:cs="Times New Roman"/>
        </w:rPr>
        <w:tab/>
        <w:t>IHS Markit. Lloyd’s Register of Ships. https://www.spglobal.com/marketintelligence/en/mi/products/maritime-ships-register.html (2021).</w:t>
      </w:r>
    </w:p>
    <w:p w14:paraId="22489653" w14:textId="77777777" w:rsidR="00C661AC" w:rsidRPr="00C661AC" w:rsidRDefault="00C661AC" w:rsidP="00C661AC">
      <w:pPr>
        <w:pStyle w:val="Bibliography"/>
        <w:rPr>
          <w:rFonts w:cs="Times New Roman"/>
        </w:rPr>
      </w:pPr>
      <w:r w:rsidRPr="00C661AC">
        <w:rPr>
          <w:rFonts w:cs="Times New Roman"/>
        </w:rPr>
        <w:t>4.</w:t>
      </w:r>
      <w:r w:rsidRPr="00C661AC">
        <w:rPr>
          <w:rFonts w:cs="Times New Roman"/>
        </w:rPr>
        <w:tab/>
        <w:t>Bureau of Ocean Energy Management &amp; National Oceanic and Atmospheric Administration. Vessel Traffic Data in 2021. https://marinecadastre.gov/ais/ (2022).</w:t>
      </w:r>
    </w:p>
    <w:p w14:paraId="55BBBF26" w14:textId="77777777" w:rsidR="00C661AC" w:rsidRPr="00C661AC" w:rsidRDefault="00C661AC" w:rsidP="00C661AC">
      <w:pPr>
        <w:pStyle w:val="Bibliography"/>
        <w:rPr>
          <w:rFonts w:cs="Times New Roman"/>
        </w:rPr>
      </w:pPr>
      <w:r w:rsidRPr="00C661AC">
        <w:rPr>
          <w:rFonts w:cs="Times New Roman"/>
        </w:rPr>
        <w:t>5.</w:t>
      </w:r>
      <w:r w:rsidRPr="00C661AC">
        <w:rPr>
          <w:rFonts w:cs="Times New Roman"/>
        </w:rPr>
        <w:tab/>
        <w:t xml:space="preserve">Federal Communications Commission. Maritime Mobile Service Identities - MMSI. </w:t>
      </w:r>
      <w:r w:rsidRPr="00C661AC">
        <w:rPr>
          <w:rFonts w:cs="Times New Roman"/>
          <w:i/>
          <w:iCs/>
        </w:rPr>
        <w:t>Federal Communications Commission</w:t>
      </w:r>
      <w:r w:rsidRPr="00C661AC">
        <w:rPr>
          <w:rFonts w:cs="Times New Roman"/>
        </w:rPr>
        <w:t xml:space="preserve"> https://www.fcc.gov/wireless/bureau-divisions/mobility-division/maritime-mobile/ship-radio-stations/maritime-mobile (2022).</w:t>
      </w:r>
    </w:p>
    <w:p w14:paraId="1EA0FC35" w14:textId="77777777" w:rsidR="00C661AC" w:rsidRPr="00C661AC" w:rsidRDefault="00C661AC" w:rsidP="00C661AC">
      <w:pPr>
        <w:pStyle w:val="Bibliography"/>
        <w:rPr>
          <w:rFonts w:cs="Times New Roman"/>
        </w:rPr>
      </w:pPr>
      <w:r w:rsidRPr="00C661AC">
        <w:rPr>
          <w:rFonts w:cs="Times New Roman"/>
        </w:rPr>
        <w:t>6.</w:t>
      </w:r>
      <w:r w:rsidRPr="00C661AC">
        <w:rPr>
          <w:rFonts w:cs="Times New Roman"/>
        </w:rPr>
        <w:tab/>
        <w:t xml:space="preserve">U.S. Department of Transportation. </w:t>
      </w:r>
      <w:r w:rsidRPr="00C661AC">
        <w:rPr>
          <w:rFonts w:cs="Times New Roman"/>
          <w:i/>
          <w:iCs/>
        </w:rPr>
        <w:t>50th Anniversary Edition of the National Transportation Statistics.</w:t>
      </w:r>
      <w:r w:rsidRPr="00C661AC">
        <w:rPr>
          <w:rFonts w:cs="Times New Roman"/>
        </w:rPr>
        <w:t xml:space="preserve"> https://www.bts.gov/sites/bts.dot.gov/files/2021-12/NTS-50th-complete-11-30-2021.pdf (2021).</w:t>
      </w:r>
    </w:p>
    <w:p w14:paraId="20F84A35" w14:textId="77777777" w:rsidR="00C661AC" w:rsidRPr="00C661AC" w:rsidRDefault="00C661AC" w:rsidP="00C661AC">
      <w:pPr>
        <w:pStyle w:val="Bibliography"/>
        <w:rPr>
          <w:rFonts w:cs="Times New Roman"/>
        </w:rPr>
      </w:pPr>
      <w:r w:rsidRPr="00C661AC">
        <w:rPr>
          <w:rFonts w:cs="Times New Roman"/>
        </w:rPr>
        <w:t>7.</w:t>
      </w:r>
      <w:r w:rsidRPr="00C661AC">
        <w:rPr>
          <w:rFonts w:cs="Times New Roman"/>
        </w:rPr>
        <w:tab/>
        <w:t xml:space="preserve">International Maritime Organization. </w:t>
      </w:r>
      <w:r w:rsidRPr="00C661AC">
        <w:rPr>
          <w:rFonts w:cs="Times New Roman"/>
          <w:i/>
          <w:iCs/>
        </w:rPr>
        <w:t>Fourth IMO GHG Study 2020</w:t>
      </w:r>
      <w:r w:rsidRPr="00C661AC">
        <w:rPr>
          <w:rFonts w:cs="Times New Roman"/>
        </w:rPr>
        <w:t>. https://www.imo.org/en/OurWork/Environment/Pages/Fourth-IMO-Greenhouse-Gas-Study-2020.aspx (2020).</w:t>
      </w:r>
    </w:p>
    <w:p w14:paraId="70439BA2" w14:textId="77777777" w:rsidR="00C661AC" w:rsidRPr="00C661AC" w:rsidRDefault="00C661AC" w:rsidP="00C661AC">
      <w:pPr>
        <w:pStyle w:val="Bibliography"/>
        <w:rPr>
          <w:rFonts w:cs="Times New Roman"/>
        </w:rPr>
      </w:pPr>
      <w:r w:rsidRPr="00C661AC">
        <w:rPr>
          <w:rFonts w:cs="Times New Roman"/>
        </w:rPr>
        <w:t>8.</w:t>
      </w:r>
      <w:r w:rsidRPr="00C661AC">
        <w:rPr>
          <w:rFonts w:cs="Times New Roman"/>
        </w:rPr>
        <w:tab/>
        <w:t xml:space="preserve">Eastern Research Group, Inc. </w:t>
      </w:r>
      <w:r w:rsidRPr="00C661AC">
        <w:rPr>
          <w:rFonts w:cs="Times New Roman"/>
          <w:i/>
          <w:iCs/>
        </w:rPr>
        <w:t>Category 1 and 2 Commercial Marine Vessel 2020 Emissions Inventory</w:t>
      </w:r>
      <w:r w:rsidRPr="00C661AC">
        <w:rPr>
          <w:rFonts w:cs="Times New Roman"/>
        </w:rPr>
        <w:t>. https://gaftp.epa.gov/air/nei/2020/doc/supporting_data/nonpoint/CMV/2020NEI_C1C2_Documentation.pdf (2022).</w:t>
      </w:r>
    </w:p>
    <w:p w14:paraId="6CB68185" w14:textId="77777777" w:rsidR="00C661AC" w:rsidRPr="00C661AC" w:rsidRDefault="00C661AC" w:rsidP="00C661AC">
      <w:pPr>
        <w:pStyle w:val="Bibliography"/>
        <w:rPr>
          <w:rFonts w:cs="Times New Roman"/>
        </w:rPr>
      </w:pPr>
      <w:r w:rsidRPr="00C661AC">
        <w:rPr>
          <w:rFonts w:cs="Times New Roman"/>
        </w:rPr>
        <w:t>9.</w:t>
      </w:r>
      <w:r w:rsidRPr="00C661AC">
        <w:rPr>
          <w:rFonts w:cs="Times New Roman"/>
        </w:rPr>
        <w:tab/>
        <w:t xml:space="preserve">Johansson, L., Jalkanen, J.-P. &amp; Kukkonen, J. Global assessment of shipping emissions in 2015 on a high spatial and temporal resolution. </w:t>
      </w:r>
      <w:r w:rsidRPr="00C661AC">
        <w:rPr>
          <w:rFonts w:cs="Times New Roman"/>
          <w:i/>
          <w:iCs/>
        </w:rPr>
        <w:t>Atmospheric Environment</w:t>
      </w:r>
      <w:r w:rsidRPr="00C661AC">
        <w:rPr>
          <w:rFonts w:cs="Times New Roman"/>
        </w:rPr>
        <w:t xml:space="preserve"> </w:t>
      </w:r>
      <w:r w:rsidRPr="00C661AC">
        <w:rPr>
          <w:rFonts w:cs="Times New Roman"/>
          <w:b/>
          <w:bCs/>
        </w:rPr>
        <w:t>167</w:t>
      </w:r>
      <w:r w:rsidRPr="00C661AC">
        <w:rPr>
          <w:rFonts w:cs="Times New Roman"/>
        </w:rPr>
        <w:t>, 403–415 (2017).</w:t>
      </w:r>
    </w:p>
    <w:p w14:paraId="3093CC45" w14:textId="77777777" w:rsidR="00C661AC" w:rsidRPr="00C661AC" w:rsidRDefault="00C661AC" w:rsidP="00C661AC">
      <w:pPr>
        <w:pStyle w:val="Bibliography"/>
        <w:rPr>
          <w:rFonts w:cs="Times New Roman"/>
        </w:rPr>
      </w:pPr>
      <w:r w:rsidRPr="00C661AC">
        <w:rPr>
          <w:rFonts w:cs="Times New Roman"/>
        </w:rPr>
        <w:t>10.</w:t>
      </w:r>
      <w:r w:rsidRPr="00C661AC">
        <w:rPr>
          <w:rFonts w:cs="Times New Roman"/>
        </w:rPr>
        <w:tab/>
        <w:t xml:space="preserve">Weng, J., Shi, K., Gan, X., Li, G. &amp; Huang, Z. Ship emission estimation with high spatial-temporal resolution in the Yangtze River estuary using AIS data. </w:t>
      </w:r>
      <w:r w:rsidRPr="00C661AC">
        <w:rPr>
          <w:rFonts w:cs="Times New Roman"/>
          <w:i/>
          <w:iCs/>
        </w:rPr>
        <w:t>Journal of Cleaner Production</w:t>
      </w:r>
      <w:r w:rsidRPr="00C661AC">
        <w:rPr>
          <w:rFonts w:cs="Times New Roman"/>
        </w:rPr>
        <w:t xml:space="preserve"> </w:t>
      </w:r>
      <w:r w:rsidRPr="00C661AC">
        <w:rPr>
          <w:rFonts w:cs="Times New Roman"/>
          <w:b/>
          <w:bCs/>
        </w:rPr>
        <w:t>248</w:t>
      </w:r>
      <w:r w:rsidRPr="00C661AC">
        <w:rPr>
          <w:rFonts w:cs="Times New Roman"/>
        </w:rPr>
        <w:t>, 119297 (2020).</w:t>
      </w:r>
    </w:p>
    <w:p w14:paraId="31103DC5" w14:textId="77777777" w:rsidR="00C661AC" w:rsidRPr="00C661AC" w:rsidRDefault="00C661AC" w:rsidP="00C661AC">
      <w:pPr>
        <w:pStyle w:val="Bibliography"/>
        <w:rPr>
          <w:rFonts w:cs="Times New Roman"/>
        </w:rPr>
      </w:pPr>
      <w:r w:rsidRPr="00C661AC">
        <w:rPr>
          <w:rFonts w:cs="Times New Roman"/>
        </w:rPr>
        <w:t>11.</w:t>
      </w:r>
      <w:r w:rsidRPr="00C661AC">
        <w:rPr>
          <w:rFonts w:cs="Times New Roman"/>
        </w:rPr>
        <w:tab/>
        <w:t>Olmer, N., Comer, B., Roy, B., Mao, X. &amp; Rutherford, D. Greenhouse gas emissions from global shipping, 2013–2015. (2017).</w:t>
      </w:r>
    </w:p>
    <w:p w14:paraId="571E8C13" w14:textId="77777777" w:rsidR="00C661AC" w:rsidRPr="00C661AC" w:rsidRDefault="00C661AC" w:rsidP="00C661AC">
      <w:pPr>
        <w:pStyle w:val="Bibliography"/>
        <w:rPr>
          <w:rFonts w:cs="Times New Roman"/>
        </w:rPr>
      </w:pPr>
      <w:r w:rsidRPr="00C661AC">
        <w:rPr>
          <w:rFonts w:cs="Times New Roman"/>
        </w:rPr>
        <w:t>12.</w:t>
      </w:r>
      <w:r w:rsidRPr="00C661AC">
        <w:rPr>
          <w:rFonts w:cs="Times New Roman"/>
        </w:rPr>
        <w:tab/>
        <w:t xml:space="preserve">European Maritime Safety Agency. </w:t>
      </w:r>
      <w:r w:rsidRPr="00C661AC">
        <w:rPr>
          <w:rFonts w:cs="Times New Roman"/>
          <w:i/>
          <w:iCs/>
        </w:rPr>
        <w:t>Study on Electrical Energy Storage for Ships</w:t>
      </w:r>
      <w:r w:rsidRPr="00C661AC">
        <w:rPr>
          <w:rFonts w:cs="Times New Roman"/>
        </w:rPr>
        <w:t>. https://www.emsa.europa.eu/publications/item/3895-study-on-electrical-energy-storage-for-ships.html (2020).</w:t>
      </w:r>
    </w:p>
    <w:p w14:paraId="49F0A91E" w14:textId="77777777" w:rsidR="00C661AC" w:rsidRPr="00C661AC" w:rsidRDefault="00C661AC" w:rsidP="00C661AC">
      <w:pPr>
        <w:pStyle w:val="Bibliography"/>
        <w:rPr>
          <w:rFonts w:cs="Times New Roman"/>
        </w:rPr>
      </w:pPr>
      <w:r w:rsidRPr="00C661AC">
        <w:rPr>
          <w:rFonts w:cs="Times New Roman"/>
        </w:rPr>
        <w:t>13.</w:t>
      </w:r>
      <w:r w:rsidRPr="00C661AC">
        <w:rPr>
          <w:rFonts w:cs="Times New Roman"/>
        </w:rPr>
        <w:tab/>
        <w:t xml:space="preserve">Hansen, S. MF Ampere, An Ocean of Opportunities. </w:t>
      </w:r>
      <w:r w:rsidRPr="00C661AC">
        <w:rPr>
          <w:rFonts w:cs="Times New Roman"/>
          <w:i/>
          <w:iCs/>
        </w:rPr>
        <w:t>Corvus Energy</w:t>
      </w:r>
      <w:r w:rsidRPr="00C661AC">
        <w:rPr>
          <w:rFonts w:cs="Times New Roman"/>
        </w:rPr>
        <w:t xml:space="preserve"> https://corvusenergy.com/an-ocean-of-opportunities/ (2016).</w:t>
      </w:r>
    </w:p>
    <w:p w14:paraId="3094B32D" w14:textId="77777777" w:rsidR="00C661AC" w:rsidRPr="00C661AC" w:rsidRDefault="00C661AC" w:rsidP="00C661AC">
      <w:pPr>
        <w:pStyle w:val="Bibliography"/>
        <w:rPr>
          <w:rFonts w:cs="Times New Roman"/>
        </w:rPr>
      </w:pPr>
      <w:r w:rsidRPr="00C661AC">
        <w:rPr>
          <w:rFonts w:cs="Times New Roman"/>
        </w:rPr>
        <w:t>14.</w:t>
      </w:r>
      <w:r w:rsidRPr="00C661AC">
        <w:rPr>
          <w:rFonts w:cs="Times New Roman"/>
        </w:rPr>
        <w:tab/>
        <w:t xml:space="preserve">U.S. Environmental Protection Agency. </w:t>
      </w:r>
      <w:r w:rsidRPr="00C661AC">
        <w:rPr>
          <w:rFonts w:cs="Times New Roman"/>
          <w:i/>
          <w:iCs/>
        </w:rPr>
        <w:t>Proposal to Designate an Emission Control Area for Nitrogen Oxides, Sulphur Oxides and Particulate Matter: Technical Support Document</w:t>
      </w:r>
      <w:r w:rsidRPr="00C661AC">
        <w:rPr>
          <w:rFonts w:cs="Times New Roman"/>
        </w:rPr>
        <w:t>. https://nepis.epa.gov/Exe/ZyNET.exe/P10081MU.TXT?ZyActionD=ZyDocument&amp;Client=EPA&amp;Index=2006+Thru+2010&amp;Docs=&amp;Query=&amp;Time=&amp;EndTime=&amp;SearchMethod=1&amp;TocRestrict=n&amp;Toc=&amp;TocEntry=&amp;QField=&amp;QFieldYear=&amp;QFieldMonth=&amp;QFieldDay=&amp;IntQFieldOp=0&amp;ExtQFieldOp=0&amp;XmlQuery=&amp;File=D%3A%5Czyfiles%5CIndex%20Data%5C06thru10%5CTxt%5C00000019%5CP10081MU.txt&amp;User=ANONYMOUS&amp;Password=anonymous&amp;SortMethod=h%7C-&amp;MaximumDocuments=1&amp;FuzzyDegree=0&amp;ImageQuality=r75g8/r75g8/x150y150g16/i425&amp;Display=hpfr&amp;DefSeekPage=x&amp;SearchBack=ZyActionL&amp;Back=ZyActionS&amp;BackDesc=Results%20page&amp;MaximumPages=1&amp;ZyEntry=1&amp;SeekPage=x&amp;ZyPURL (2009).</w:t>
      </w:r>
    </w:p>
    <w:p w14:paraId="53AA7F91" w14:textId="77777777" w:rsidR="00C661AC" w:rsidRPr="00C661AC" w:rsidRDefault="00C661AC" w:rsidP="00C661AC">
      <w:pPr>
        <w:pStyle w:val="Bibliography"/>
        <w:rPr>
          <w:rFonts w:cs="Times New Roman"/>
        </w:rPr>
      </w:pPr>
      <w:r w:rsidRPr="00C661AC">
        <w:rPr>
          <w:rFonts w:cs="Times New Roman"/>
        </w:rPr>
        <w:t>15.</w:t>
      </w:r>
      <w:r w:rsidRPr="00C661AC">
        <w:rPr>
          <w:rFonts w:cs="Times New Roman"/>
        </w:rPr>
        <w:tab/>
        <w:t xml:space="preserve">Barré, A. </w:t>
      </w:r>
      <w:r w:rsidRPr="00C661AC">
        <w:rPr>
          <w:rFonts w:cs="Times New Roman"/>
          <w:i/>
          <w:iCs/>
        </w:rPr>
        <w:t>et al.</w:t>
      </w:r>
      <w:r w:rsidRPr="00C661AC">
        <w:rPr>
          <w:rFonts w:cs="Times New Roman"/>
        </w:rPr>
        <w:t xml:space="preserve"> A review on lithium-ion battery ageing mechanisms and estimations for automotive applications. </w:t>
      </w:r>
      <w:r w:rsidRPr="00C661AC">
        <w:rPr>
          <w:rFonts w:cs="Times New Roman"/>
          <w:i/>
          <w:iCs/>
        </w:rPr>
        <w:t>Journal of Power Sources</w:t>
      </w:r>
      <w:r w:rsidRPr="00C661AC">
        <w:rPr>
          <w:rFonts w:cs="Times New Roman"/>
        </w:rPr>
        <w:t xml:space="preserve"> </w:t>
      </w:r>
      <w:r w:rsidRPr="00C661AC">
        <w:rPr>
          <w:rFonts w:cs="Times New Roman"/>
          <w:b/>
          <w:bCs/>
        </w:rPr>
        <w:t>241</w:t>
      </w:r>
      <w:r w:rsidRPr="00C661AC">
        <w:rPr>
          <w:rFonts w:cs="Times New Roman"/>
        </w:rPr>
        <w:t>, 680–689 (2013).</w:t>
      </w:r>
    </w:p>
    <w:p w14:paraId="4EECBCAF" w14:textId="77777777" w:rsidR="00C661AC" w:rsidRPr="00C661AC" w:rsidRDefault="00C661AC" w:rsidP="00C661AC">
      <w:pPr>
        <w:pStyle w:val="Bibliography"/>
        <w:rPr>
          <w:rFonts w:cs="Times New Roman"/>
        </w:rPr>
      </w:pPr>
      <w:r w:rsidRPr="00C661AC">
        <w:rPr>
          <w:rFonts w:cs="Times New Roman"/>
        </w:rPr>
        <w:t>16.</w:t>
      </w:r>
      <w:r w:rsidRPr="00C661AC">
        <w:rPr>
          <w:rFonts w:cs="Times New Roman"/>
        </w:rPr>
        <w:tab/>
        <w:t xml:space="preserve">Pelletier, S., Jabali, O., Laporte, G. &amp; Veneroni, M. Battery degradation and behaviour for electric vehicles: Review and numerical analyses of several models. </w:t>
      </w:r>
      <w:r w:rsidRPr="00C661AC">
        <w:rPr>
          <w:rFonts w:cs="Times New Roman"/>
          <w:i/>
          <w:iCs/>
        </w:rPr>
        <w:t>Transportation Research Part B: Methodological</w:t>
      </w:r>
      <w:r w:rsidRPr="00C661AC">
        <w:rPr>
          <w:rFonts w:cs="Times New Roman"/>
        </w:rPr>
        <w:t xml:space="preserve"> </w:t>
      </w:r>
      <w:r w:rsidRPr="00C661AC">
        <w:rPr>
          <w:rFonts w:cs="Times New Roman"/>
          <w:b/>
          <w:bCs/>
        </w:rPr>
        <w:t>103</w:t>
      </w:r>
      <w:r w:rsidRPr="00C661AC">
        <w:rPr>
          <w:rFonts w:cs="Times New Roman"/>
        </w:rPr>
        <w:t>, 158–187 (2017).</w:t>
      </w:r>
    </w:p>
    <w:p w14:paraId="6B0F6BB3" w14:textId="77777777" w:rsidR="00C661AC" w:rsidRPr="00C661AC" w:rsidRDefault="00C661AC" w:rsidP="00C661AC">
      <w:pPr>
        <w:pStyle w:val="Bibliography"/>
        <w:rPr>
          <w:rFonts w:cs="Times New Roman"/>
        </w:rPr>
      </w:pPr>
      <w:r w:rsidRPr="00C661AC">
        <w:rPr>
          <w:rFonts w:cs="Times New Roman"/>
        </w:rPr>
        <w:t>17.</w:t>
      </w:r>
      <w:r w:rsidRPr="00C661AC">
        <w:rPr>
          <w:rFonts w:cs="Times New Roman"/>
        </w:rPr>
        <w:tab/>
        <w:t>ten Cate Hoedemaker, S. An assessment of the relationship between battery size, charging strategy and battery lifetime. (2017).</w:t>
      </w:r>
    </w:p>
    <w:p w14:paraId="49A3A1F8" w14:textId="77777777" w:rsidR="00C661AC" w:rsidRPr="00C661AC" w:rsidRDefault="00C661AC" w:rsidP="00C661AC">
      <w:pPr>
        <w:pStyle w:val="Bibliography"/>
        <w:rPr>
          <w:rFonts w:cs="Times New Roman"/>
        </w:rPr>
      </w:pPr>
      <w:r w:rsidRPr="00C661AC">
        <w:rPr>
          <w:rFonts w:cs="Times New Roman"/>
        </w:rPr>
        <w:t>18.</w:t>
      </w:r>
      <w:r w:rsidRPr="00C661AC">
        <w:rPr>
          <w:rFonts w:cs="Times New Roman"/>
        </w:rPr>
        <w:tab/>
        <w:t xml:space="preserve">Intergovernmental Panel On Climate Change. </w:t>
      </w:r>
      <w:r w:rsidRPr="00C661AC">
        <w:rPr>
          <w:rFonts w:cs="Times New Roman"/>
          <w:i/>
          <w:iCs/>
        </w:rPr>
        <w:t>Climate Change 2021 – The Physical Science Basis: Working Group I Contribution to the Sixth Assessment Report of the Intergovernmental Panel on Climate Change</w:t>
      </w:r>
      <w:r w:rsidRPr="00C661AC">
        <w:rPr>
          <w:rFonts w:cs="Times New Roman"/>
        </w:rPr>
        <w:t>. (Cambridge University Press, 2023). doi:10.1017/9781009157896.</w:t>
      </w:r>
    </w:p>
    <w:p w14:paraId="25898F52" w14:textId="77777777" w:rsidR="00C661AC" w:rsidRPr="00C661AC" w:rsidRDefault="00C661AC" w:rsidP="00C661AC">
      <w:pPr>
        <w:pStyle w:val="Bibliography"/>
        <w:rPr>
          <w:rFonts w:cs="Times New Roman"/>
        </w:rPr>
      </w:pPr>
      <w:r w:rsidRPr="00C661AC">
        <w:rPr>
          <w:rFonts w:cs="Times New Roman"/>
        </w:rPr>
        <w:t>19.</w:t>
      </w:r>
      <w:r w:rsidRPr="00C661AC">
        <w:rPr>
          <w:rFonts w:cs="Times New Roman"/>
        </w:rPr>
        <w:tab/>
        <w:t>U.S. Environmental Protection Agency. Nonroad Diesel Fuel Standards. https://www.epa.gov/diesel-fuel-standards/diesel-fuel-standards-and-rulemakings (2022).</w:t>
      </w:r>
    </w:p>
    <w:p w14:paraId="294C09AB" w14:textId="77777777" w:rsidR="00C661AC" w:rsidRPr="00C661AC" w:rsidRDefault="00C661AC" w:rsidP="00C661AC">
      <w:pPr>
        <w:pStyle w:val="Bibliography"/>
        <w:rPr>
          <w:rFonts w:cs="Times New Roman"/>
        </w:rPr>
      </w:pPr>
      <w:r w:rsidRPr="00C661AC">
        <w:rPr>
          <w:rFonts w:cs="Times New Roman"/>
        </w:rPr>
        <w:t>20.</w:t>
      </w:r>
      <w:r w:rsidRPr="00C661AC">
        <w:rPr>
          <w:rFonts w:cs="Times New Roman"/>
        </w:rPr>
        <w:tab/>
        <w:t xml:space="preserve">Wang, M. </w:t>
      </w:r>
      <w:r w:rsidRPr="00C661AC">
        <w:rPr>
          <w:rFonts w:cs="Times New Roman"/>
          <w:i/>
          <w:iCs/>
        </w:rPr>
        <w:t>et al.</w:t>
      </w:r>
      <w:r w:rsidRPr="00C661AC">
        <w:rPr>
          <w:rFonts w:cs="Times New Roman"/>
        </w:rPr>
        <w:t xml:space="preserve"> </w:t>
      </w:r>
      <w:r w:rsidRPr="00C661AC">
        <w:rPr>
          <w:rFonts w:cs="Times New Roman"/>
          <w:i/>
          <w:iCs/>
        </w:rPr>
        <w:t>Summary of Expansions and Updates in GREET® 2021</w:t>
      </w:r>
      <w:r w:rsidRPr="00C661AC">
        <w:rPr>
          <w:rFonts w:cs="Times New Roman"/>
        </w:rPr>
        <w:t>. https://www.osti.gov/biblio/1824336 (2021) doi:10.2172/1824336.</w:t>
      </w:r>
    </w:p>
    <w:p w14:paraId="651BA688" w14:textId="77777777" w:rsidR="00C661AC" w:rsidRPr="00C661AC" w:rsidRDefault="00C661AC" w:rsidP="00C661AC">
      <w:pPr>
        <w:pStyle w:val="Bibliography"/>
        <w:rPr>
          <w:rFonts w:cs="Times New Roman"/>
        </w:rPr>
      </w:pPr>
      <w:r w:rsidRPr="00C661AC">
        <w:rPr>
          <w:rFonts w:cs="Times New Roman"/>
        </w:rPr>
        <w:t>21.</w:t>
      </w:r>
      <w:r w:rsidRPr="00C661AC">
        <w:rPr>
          <w:rFonts w:cs="Times New Roman"/>
        </w:rPr>
        <w:tab/>
        <w:t>California Air Resources Board. CHC Fact Sheet: Tugboats (Towing Vessels). https://ww2.arb.ca.gov/resources/fact-sheets/chc-fact-sheet-tugboats-towing-vessels (2021).</w:t>
      </w:r>
    </w:p>
    <w:p w14:paraId="70D09F32" w14:textId="77777777" w:rsidR="00C661AC" w:rsidRPr="00C661AC" w:rsidRDefault="00C661AC" w:rsidP="00C661AC">
      <w:pPr>
        <w:pStyle w:val="Bibliography"/>
        <w:rPr>
          <w:rFonts w:cs="Times New Roman"/>
        </w:rPr>
      </w:pPr>
      <w:r w:rsidRPr="00C661AC">
        <w:rPr>
          <w:rFonts w:cs="Times New Roman"/>
        </w:rPr>
        <w:t>22.</w:t>
      </w:r>
      <w:r w:rsidRPr="00C661AC">
        <w:rPr>
          <w:rFonts w:cs="Times New Roman"/>
        </w:rPr>
        <w:tab/>
        <w:t xml:space="preserve">Gagnon, P., Frazier, W., Cole, W. &amp; Hale, E. Cambium Documentation: Version 2021. </w:t>
      </w:r>
      <w:r w:rsidRPr="00C661AC">
        <w:rPr>
          <w:rFonts w:cs="Times New Roman"/>
          <w:i/>
          <w:iCs/>
        </w:rPr>
        <w:t>Renewable Energy</w:t>
      </w:r>
      <w:r w:rsidRPr="00C661AC">
        <w:rPr>
          <w:rFonts w:cs="Times New Roman"/>
        </w:rPr>
        <w:t xml:space="preserve"> (2021).</w:t>
      </w:r>
    </w:p>
    <w:p w14:paraId="0E7841AB" w14:textId="77777777" w:rsidR="00C661AC" w:rsidRPr="00C661AC" w:rsidRDefault="00C661AC" w:rsidP="00C661AC">
      <w:pPr>
        <w:pStyle w:val="Bibliography"/>
        <w:rPr>
          <w:rFonts w:cs="Times New Roman"/>
        </w:rPr>
      </w:pPr>
      <w:r w:rsidRPr="00C661AC">
        <w:rPr>
          <w:rFonts w:cs="Times New Roman"/>
        </w:rPr>
        <w:t>23.</w:t>
      </w:r>
      <w:r w:rsidRPr="00C661AC">
        <w:rPr>
          <w:rFonts w:cs="Times New Roman"/>
        </w:rPr>
        <w:tab/>
        <w:t xml:space="preserve">Gohlke, D., Zhou, Y., Wu, X. &amp; Courtney, C. </w:t>
      </w:r>
      <w:r w:rsidRPr="00C661AC">
        <w:rPr>
          <w:rFonts w:cs="Times New Roman"/>
          <w:i/>
          <w:iCs/>
        </w:rPr>
        <w:t>Assessment of Light-Duty Plug-in Electric Vehicles in the United States, 2010 – 2021</w:t>
      </w:r>
      <w:r w:rsidRPr="00C661AC">
        <w:rPr>
          <w:rFonts w:cs="Times New Roman"/>
        </w:rPr>
        <w:t>. https://www.osti.gov/biblio/1898424 (2022) doi:10.2172/1898424.</w:t>
      </w:r>
    </w:p>
    <w:p w14:paraId="367C0461" w14:textId="77777777" w:rsidR="00C661AC" w:rsidRPr="00C661AC" w:rsidRDefault="00C661AC" w:rsidP="00C661AC">
      <w:pPr>
        <w:pStyle w:val="Bibliography"/>
        <w:rPr>
          <w:rFonts w:cs="Times New Roman"/>
        </w:rPr>
      </w:pPr>
      <w:r w:rsidRPr="00C661AC">
        <w:rPr>
          <w:rFonts w:cs="Times New Roman"/>
        </w:rPr>
        <w:t>24.</w:t>
      </w:r>
      <w:r w:rsidRPr="00C661AC">
        <w:rPr>
          <w:rFonts w:cs="Times New Roman"/>
        </w:rPr>
        <w:tab/>
        <w:t xml:space="preserve">Sathre, R., Scown, C. D., Kavvada, O. &amp; Hendrickson, T. P. Energy and climate effects of second-life use of electric vehicle batteries in California through 2050. </w:t>
      </w:r>
      <w:r w:rsidRPr="00C661AC">
        <w:rPr>
          <w:rFonts w:cs="Times New Roman"/>
          <w:i/>
          <w:iCs/>
        </w:rPr>
        <w:t>Journal of Power Sources</w:t>
      </w:r>
      <w:r w:rsidRPr="00C661AC">
        <w:rPr>
          <w:rFonts w:cs="Times New Roman"/>
        </w:rPr>
        <w:t xml:space="preserve"> </w:t>
      </w:r>
      <w:r w:rsidRPr="00C661AC">
        <w:rPr>
          <w:rFonts w:cs="Times New Roman"/>
          <w:b/>
          <w:bCs/>
        </w:rPr>
        <w:t>288</w:t>
      </w:r>
      <w:r w:rsidRPr="00C661AC">
        <w:rPr>
          <w:rFonts w:cs="Times New Roman"/>
        </w:rPr>
        <w:t>, 82–91 (2015).</w:t>
      </w:r>
    </w:p>
    <w:p w14:paraId="4EC0CD1C" w14:textId="77777777" w:rsidR="00C661AC" w:rsidRPr="00C661AC" w:rsidRDefault="00C661AC" w:rsidP="00C661AC">
      <w:pPr>
        <w:pStyle w:val="Bibliography"/>
        <w:rPr>
          <w:rFonts w:cs="Times New Roman"/>
        </w:rPr>
      </w:pPr>
      <w:r w:rsidRPr="00C661AC">
        <w:rPr>
          <w:rFonts w:cs="Times New Roman"/>
        </w:rPr>
        <w:t>25.</w:t>
      </w:r>
      <w:r w:rsidRPr="00C661AC">
        <w:rPr>
          <w:rFonts w:cs="Times New Roman"/>
        </w:rPr>
        <w:tab/>
        <w:t xml:space="preserve">U.S. Environmental Protection Agency. Report on the Social Cost of  Greenhouse Gases: Estimates Incorporating Recent Scientific Advances. </w:t>
      </w:r>
      <w:r w:rsidRPr="00C661AC">
        <w:rPr>
          <w:rFonts w:cs="Times New Roman"/>
          <w:i/>
          <w:iCs/>
        </w:rPr>
        <w:t>U.S. Environmental Protection Agency</w:t>
      </w:r>
      <w:r w:rsidRPr="00C661AC">
        <w:rPr>
          <w:rFonts w:cs="Times New Roman"/>
        </w:rPr>
        <w:t xml:space="preserve"> https://cfpub.epa.gov/si/si_public_record_report.cfm?Lab=NCEE&amp;dirEntryId=356357 (2022).</w:t>
      </w:r>
    </w:p>
    <w:p w14:paraId="55899D23" w14:textId="77777777" w:rsidR="00C661AC" w:rsidRPr="00C661AC" w:rsidRDefault="00C661AC" w:rsidP="00C661AC">
      <w:pPr>
        <w:pStyle w:val="Bibliography"/>
        <w:rPr>
          <w:rFonts w:cs="Times New Roman"/>
        </w:rPr>
      </w:pPr>
      <w:r w:rsidRPr="00C661AC">
        <w:rPr>
          <w:rFonts w:cs="Times New Roman"/>
        </w:rPr>
        <w:t>26.</w:t>
      </w:r>
      <w:r w:rsidRPr="00C661AC">
        <w:rPr>
          <w:rFonts w:cs="Times New Roman"/>
        </w:rPr>
        <w:tab/>
        <w:t xml:space="preserve">Goodkind, A. L., Tessum, C. W., Coggins, J. S., Hill, J. D. &amp; Marshall, J. D. Fine-scale damage estimates of particulate matter air pollution reveal opportunities for location-specific mitigation of emissions. </w:t>
      </w:r>
      <w:r w:rsidRPr="00C661AC">
        <w:rPr>
          <w:rFonts w:cs="Times New Roman"/>
          <w:i/>
          <w:iCs/>
        </w:rPr>
        <w:t>Proceedings of the National Academy of Sciences</w:t>
      </w:r>
      <w:r w:rsidRPr="00C661AC">
        <w:rPr>
          <w:rFonts w:cs="Times New Roman"/>
        </w:rPr>
        <w:t xml:space="preserve"> </w:t>
      </w:r>
      <w:r w:rsidRPr="00C661AC">
        <w:rPr>
          <w:rFonts w:cs="Times New Roman"/>
          <w:b/>
          <w:bCs/>
        </w:rPr>
        <w:t>116</w:t>
      </w:r>
      <w:r w:rsidRPr="00C661AC">
        <w:rPr>
          <w:rFonts w:cs="Times New Roman"/>
        </w:rPr>
        <w:t>, 8775–8780 (2019).</w:t>
      </w:r>
    </w:p>
    <w:p w14:paraId="1B5E2C1F" w14:textId="77777777" w:rsidR="00C661AC" w:rsidRPr="00C661AC" w:rsidRDefault="00C661AC" w:rsidP="00C661AC">
      <w:pPr>
        <w:pStyle w:val="Bibliography"/>
        <w:rPr>
          <w:rFonts w:cs="Times New Roman"/>
        </w:rPr>
      </w:pPr>
      <w:r w:rsidRPr="00C661AC">
        <w:rPr>
          <w:rFonts w:cs="Times New Roman"/>
        </w:rPr>
        <w:t>27.</w:t>
      </w:r>
      <w:r w:rsidRPr="00C661AC">
        <w:rPr>
          <w:rFonts w:cs="Times New Roman"/>
        </w:rPr>
        <w:tab/>
        <w:t xml:space="preserve">Kersey, J., Popovich, N. D. &amp; Phadke, A. A. Rapid battery cost declines accelerate the prospects of all-electric interregional container shipping. </w:t>
      </w:r>
      <w:r w:rsidRPr="00C661AC">
        <w:rPr>
          <w:rFonts w:cs="Times New Roman"/>
          <w:i/>
          <w:iCs/>
        </w:rPr>
        <w:t>Nat Energy</w:t>
      </w:r>
      <w:r w:rsidRPr="00C661AC">
        <w:rPr>
          <w:rFonts w:cs="Times New Roman"/>
        </w:rPr>
        <w:t xml:space="preserve"> </w:t>
      </w:r>
      <w:r w:rsidRPr="00C661AC">
        <w:rPr>
          <w:rFonts w:cs="Times New Roman"/>
          <w:b/>
          <w:bCs/>
        </w:rPr>
        <w:t>7</w:t>
      </w:r>
      <w:r w:rsidRPr="00C661AC">
        <w:rPr>
          <w:rFonts w:cs="Times New Roman"/>
        </w:rPr>
        <w:t>, 664–674 (2022).</w:t>
      </w:r>
    </w:p>
    <w:p w14:paraId="06CF6407" w14:textId="77777777" w:rsidR="00C661AC" w:rsidRPr="00C661AC" w:rsidRDefault="00C661AC" w:rsidP="00C661AC">
      <w:pPr>
        <w:pStyle w:val="Bibliography"/>
        <w:rPr>
          <w:rFonts w:cs="Times New Roman"/>
        </w:rPr>
      </w:pPr>
      <w:r w:rsidRPr="00C661AC">
        <w:rPr>
          <w:rFonts w:cs="Times New Roman"/>
        </w:rPr>
        <w:t>28.</w:t>
      </w:r>
      <w:r w:rsidRPr="00C661AC">
        <w:rPr>
          <w:rFonts w:cs="Times New Roman"/>
        </w:rPr>
        <w:tab/>
        <w:t>U.S. Energy Information Administration. Annual Energy Outlook 2022.</w:t>
      </w:r>
    </w:p>
    <w:p w14:paraId="5D3D0DF3" w14:textId="77777777" w:rsidR="00C661AC" w:rsidRPr="00C661AC" w:rsidRDefault="00C661AC" w:rsidP="00C661AC">
      <w:pPr>
        <w:pStyle w:val="Bibliography"/>
        <w:rPr>
          <w:rFonts w:cs="Times New Roman"/>
        </w:rPr>
      </w:pPr>
      <w:r w:rsidRPr="00C661AC">
        <w:rPr>
          <w:rFonts w:cs="Times New Roman"/>
        </w:rPr>
        <w:t>29.</w:t>
      </w:r>
      <w:r w:rsidRPr="00C661AC">
        <w:rPr>
          <w:rFonts w:cs="Times New Roman"/>
        </w:rPr>
        <w:tab/>
        <w:t xml:space="preserve">Shahjalal, M. </w:t>
      </w:r>
      <w:r w:rsidRPr="00C661AC">
        <w:rPr>
          <w:rFonts w:cs="Times New Roman"/>
          <w:i/>
          <w:iCs/>
        </w:rPr>
        <w:t>et al.</w:t>
      </w:r>
      <w:r w:rsidRPr="00C661AC">
        <w:rPr>
          <w:rFonts w:cs="Times New Roman"/>
        </w:rPr>
        <w:t xml:space="preserve"> A review on second-life of Li-ion batteries: prospects, challenges, and issues. </w:t>
      </w:r>
      <w:r w:rsidRPr="00C661AC">
        <w:rPr>
          <w:rFonts w:cs="Times New Roman"/>
          <w:i/>
          <w:iCs/>
        </w:rPr>
        <w:t>Energy</w:t>
      </w:r>
      <w:r w:rsidRPr="00C661AC">
        <w:rPr>
          <w:rFonts w:cs="Times New Roman"/>
        </w:rPr>
        <w:t xml:space="preserve"> </w:t>
      </w:r>
      <w:r w:rsidRPr="00C661AC">
        <w:rPr>
          <w:rFonts w:cs="Times New Roman"/>
          <w:b/>
          <w:bCs/>
        </w:rPr>
        <w:t>241</w:t>
      </w:r>
      <w:r w:rsidRPr="00C661AC">
        <w:rPr>
          <w:rFonts w:cs="Times New Roman"/>
        </w:rPr>
        <w:t>, 122881 (2022).</w:t>
      </w:r>
    </w:p>
    <w:p w14:paraId="0A4CFFF8" w14:textId="77777777" w:rsidR="00C661AC" w:rsidRPr="00C661AC" w:rsidRDefault="00C661AC" w:rsidP="00C661AC">
      <w:pPr>
        <w:pStyle w:val="Bibliography"/>
        <w:rPr>
          <w:rFonts w:cs="Times New Roman"/>
        </w:rPr>
      </w:pPr>
      <w:r w:rsidRPr="00C661AC">
        <w:rPr>
          <w:rFonts w:cs="Times New Roman"/>
        </w:rPr>
        <w:t>30.</w:t>
      </w:r>
      <w:r w:rsidRPr="00C661AC">
        <w:rPr>
          <w:rFonts w:cs="Times New Roman"/>
        </w:rPr>
        <w:tab/>
        <w:t xml:space="preserve">Martinez-Laserna, E. </w:t>
      </w:r>
      <w:r w:rsidRPr="00C661AC">
        <w:rPr>
          <w:rFonts w:cs="Times New Roman"/>
          <w:i/>
          <w:iCs/>
        </w:rPr>
        <w:t>et al.</w:t>
      </w:r>
      <w:r w:rsidRPr="00C661AC">
        <w:rPr>
          <w:rFonts w:cs="Times New Roman"/>
        </w:rPr>
        <w:t xml:space="preserve"> Battery second life: Hype, hope or reality? A critical review of the state of the art. </w:t>
      </w:r>
      <w:r w:rsidRPr="00C661AC">
        <w:rPr>
          <w:rFonts w:cs="Times New Roman"/>
          <w:i/>
          <w:iCs/>
        </w:rPr>
        <w:t>Renewable and Sustainable Energy Reviews</w:t>
      </w:r>
      <w:r w:rsidRPr="00C661AC">
        <w:rPr>
          <w:rFonts w:cs="Times New Roman"/>
        </w:rPr>
        <w:t xml:space="preserve"> </w:t>
      </w:r>
      <w:r w:rsidRPr="00C661AC">
        <w:rPr>
          <w:rFonts w:cs="Times New Roman"/>
          <w:b/>
          <w:bCs/>
        </w:rPr>
        <w:t>93</w:t>
      </w:r>
      <w:r w:rsidRPr="00C661AC">
        <w:rPr>
          <w:rFonts w:cs="Times New Roman"/>
        </w:rPr>
        <w:t>, 701–718 (2018).</w:t>
      </w:r>
    </w:p>
    <w:p w14:paraId="470474A8" w14:textId="77777777" w:rsidR="00C661AC" w:rsidRPr="00C661AC" w:rsidRDefault="00C661AC" w:rsidP="00C661AC">
      <w:pPr>
        <w:pStyle w:val="Bibliography"/>
        <w:rPr>
          <w:rFonts w:cs="Times New Roman"/>
        </w:rPr>
      </w:pPr>
      <w:r w:rsidRPr="00C661AC">
        <w:rPr>
          <w:rFonts w:cs="Times New Roman"/>
        </w:rPr>
        <w:t>31.</w:t>
      </w:r>
      <w:r w:rsidRPr="00C661AC">
        <w:rPr>
          <w:rFonts w:cs="Times New Roman"/>
        </w:rPr>
        <w:tab/>
        <w:t>National Renewable Energy Laboratory. 2022 Annual Technology Baseline.</w:t>
      </w:r>
    </w:p>
    <w:p w14:paraId="10FC2747" w14:textId="77777777" w:rsidR="00C661AC" w:rsidRPr="00C661AC" w:rsidRDefault="00C661AC" w:rsidP="00C661AC">
      <w:pPr>
        <w:pStyle w:val="Bibliography"/>
        <w:rPr>
          <w:rFonts w:cs="Times New Roman"/>
        </w:rPr>
      </w:pPr>
      <w:r w:rsidRPr="00C661AC">
        <w:rPr>
          <w:rFonts w:cs="Times New Roman"/>
        </w:rPr>
        <w:t>32.</w:t>
      </w:r>
      <w:r w:rsidRPr="00C661AC">
        <w:rPr>
          <w:rFonts w:cs="Times New Roman"/>
        </w:rPr>
        <w:tab/>
        <w:t>Comer, B. Transitioning away from heavy fuel oil in Arctic shipping. (2019).</w:t>
      </w:r>
    </w:p>
    <w:p w14:paraId="347B84E4" w14:textId="77777777" w:rsidR="00C661AC" w:rsidRPr="00C661AC" w:rsidRDefault="00C661AC" w:rsidP="00C661AC">
      <w:pPr>
        <w:pStyle w:val="Bibliography"/>
        <w:rPr>
          <w:rFonts w:cs="Times New Roman"/>
        </w:rPr>
      </w:pPr>
      <w:r w:rsidRPr="00C661AC">
        <w:rPr>
          <w:rFonts w:cs="Times New Roman"/>
        </w:rPr>
        <w:t>33.</w:t>
      </w:r>
      <w:r w:rsidRPr="00C661AC">
        <w:rPr>
          <w:rFonts w:cs="Times New Roman"/>
        </w:rPr>
        <w:tab/>
        <w:t xml:space="preserve">MAN Energy Solutions. </w:t>
      </w:r>
      <w:r w:rsidRPr="00C661AC">
        <w:rPr>
          <w:rFonts w:cs="Times New Roman"/>
          <w:i/>
          <w:iCs/>
        </w:rPr>
        <w:t>Batteries on Board Ocean-Going Vessels</w:t>
      </w:r>
      <w:r w:rsidRPr="00C661AC">
        <w:rPr>
          <w:rFonts w:cs="Times New Roman"/>
        </w:rPr>
        <w:t>. https://www.man-es.com/docs/default-source/marine/tools/batteries-on-board-ocean-going-vessels.pdf (2020).</w:t>
      </w:r>
    </w:p>
    <w:p w14:paraId="01A5FE37" w14:textId="77777777" w:rsidR="00C661AC" w:rsidRPr="00C661AC" w:rsidRDefault="00C661AC" w:rsidP="00C661AC">
      <w:pPr>
        <w:pStyle w:val="Bibliography"/>
        <w:rPr>
          <w:rFonts w:cs="Times New Roman"/>
        </w:rPr>
      </w:pPr>
      <w:r w:rsidRPr="00C661AC">
        <w:rPr>
          <w:rFonts w:cs="Times New Roman"/>
        </w:rPr>
        <w:t>34.</w:t>
      </w:r>
      <w:r w:rsidRPr="00C661AC">
        <w:rPr>
          <w:rFonts w:cs="Times New Roman"/>
        </w:rPr>
        <w:tab/>
        <w:t xml:space="preserve">Katalenich, S. M. &amp; Jacobson, M. Z. Toward battery electric and hydrogen fuel cell military vehicles for land, air, and sea. </w:t>
      </w:r>
      <w:r w:rsidRPr="00C661AC">
        <w:rPr>
          <w:rFonts w:cs="Times New Roman"/>
          <w:i/>
          <w:iCs/>
        </w:rPr>
        <w:t>Energy</w:t>
      </w:r>
      <w:r w:rsidRPr="00C661AC">
        <w:rPr>
          <w:rFonts w:cs="Times New Roman"/>
        </w:rPr>
        <w:t xml:space="preserve"> </w:t>
      </w:r>
      <w:r w:rsidRPr="00C661AC">
        <w:rPr>
          <w:rFonts w:cs="Times New Roman"/>
          <w:b/>
          <w:bCs/>
        </w:rPr>
        <w:t>254</w:t>
      </w:r>
      <w:r w:rsidRPr="00C661AC">
        <w:rPr>
          <w:rFonts w:cs="Times New Roman"/>
        </w:rPr>
        <w:t>, 124355 (2022).</w:t>
      </w:r>
    </w:p>
    <w:p w14:paraId="58164039" w14:textId="77777777" w:rsidR="00C661AC" w:rsidRPr="00C661AC" w:rsidRDefault="00C661AC" w:rsidP="00C661AC">
      <w:pPr>
        <w:pStyle w:val="Bibliography"/>
        <w:rPr>
          <w:rFonts w:cs="Times New Roman"/>
        </w:rPr>
      </w:pPr>
      <w:r w:rsidRPr="00C661AC">
        <w:rPr>
          <w:rFonts w:cs="Times New Roman"/>
        </w:rPr>
        <w:t>35.</w:t>
      </w:r>
      <w:r w:rsidRPr="00C661AC">
        <w:rPr>
          <w:rFonts w:cs="Times New Roman"/>
        </w:rPr>
        <w:tab/>
        <w:t xml:space="preserve">Dai, Q., Kelly, J. C., Gaines, L. &amp; Wang, M. Life Cycle Analysis of Lithium-Ion Batteries for Automotive Applications. </w:t>
      </w:r>
      <w:r w:rsidRPr="00C661AC">
        <w:rPr>
          <w:rFonts w:cs="Times New Roman"/>
          <w:i/>
          <w:iCs/>
        </w:rPr>
        <w:t>Batteries</w:t>
      </w:r>
      <w:r w:rsidRPr="00C661AC">
        <w:rPr>
          <w:rFonts w:cs="Times New Roman"/>
        </w:rPr>
        <w:t xml:space="preserve"> </w:t>
      </w:r>
      <w:r w:rsidRPr="00C661AC">
        <w:rPr>
          <w:rFonts w:cs="Times New Roman"/>
          <w:b/>
          <w:bCs/>
        </w:rPr>
        <w:t>5</w:t>
      </w:r>
      <w:r w:rsidRPr="00C661AC">
        <w:rPr>
          <w:rFonts w:cs="Times New Roman"/>
        </w:rPr>
        <w:t>, 48 (2019).</w:t>
      </w:r>
    </w:p>
    <w:p w14:paraId="68AAA60B" w14:textId="77777777" w:rsidR="00C661AC" w:rsidRPr="00C661AC" w:rsidRDefault="00C661AC" w:rsidP="00C661AC">
      <w:pPr>
        <w:pStyle w:val="Bibliography"/>
        <w:rPr>
          <w:rFonts w:cs="Times New Roman"/>
        </w:rPr>
      </w:pPr>
      <w:r w:rsidRPr="00C661AC">
        <w:rPr>
          <w:rFonts w:cs="Times New Roman"/>
        </w:rPr>
        <w:t>36.</w:t>
      </w:r>
      <w:r w:rsidRPr="00C661AC">
        <w:rPr>
          <w:rFonts w:cs="Times New Roman"/>
        </w:rPr>
        <w:tab/>
        <w:t xml:space="preserve">Ghimire, P., Zadeh, M., Thorstensen, J. &amp; Pedersen, E. Data-Driven Efficiency Modeling and Analysis of All-Electric Ship Powertrain: A Comparison of Power System Architectures. </w:t>
      </w:r>
      <w:r w:rsidRPr="00C661AC">
        <w:rPr>
          <w:rFonts w:cs="Times New Roman"/>
          <w:i/>
          <w:iCs/>
        </w:rPr>
        <w:t>IEEE Transactions on Transportation Electrification</w:t>
      </w:r>
      <w:r w:rsidRPr="00C661AC">
        <w:rPr>
          <w:rFonts w:cs="Times New Roman"/>
        </w:rPr>
        <w:t xml:space="preserve"> </w:t>
      </w:r>
      <w:r w:rsidRPr="00C661AC">
        <w:rPr>
          <w:rFonts w:cs="Times New Roman"/>
          <w:b/>
          <w:bCs/>
        </w:rPr>
        <w:t>8</w:t>
      </w:r>
      <w:r w:rsidRPr="00C661AC">
        <w:rPr>
          <w:rFonts w:cs="Times New Roman"/>
        </w:rPr>
        <w:t>, 1930–1943 (2022).</w:t>
      </w:r>
    </w:p>
    <w:p w14:paraId="75B0E968" w14:textId="77777777" w:rsidR="00C661AC" w:rsidRPr="00C661AC" w:rsidRDefault="00C661AC" w:rsidP="00C661AC">
      <w:pPr>
        <w:pStyle w:val="Bibliography"/>
        <w:rPr>
          <w:rFonts w:cs="Times New Roman"/>
        </w:rPr>
      </w:pPr>
      <w:r w:rsidRPr="00C661AC">
        <w:rPr>
          <w:rFonts w:cs="Times New Roman"/>
        </w:rPr>
        <w:t>37.</w:t>
      </w:r>
      <w:r w:rsidRPr="00C661AC">
        <w:rPr>
          <w:rFonts w:cs="Times New Roman"/>
        </w:rPr>
        <w:tab/>
        <w:t xml:space="preserve">Popovich, N. D., Rajagopal, D., Tasar, E. &amp; Phadke, A. Economic, environmental and grid-resilience benefits of converting diesel trains to battery-electric. </w:t>
      </w:r>
      <w:r w:rsidRPr="00C661AC">
        <w:rPr>
          <w:rFonts w:cs="Times New Roman"/>
          <w:i/>
          <w:iCs/>
        </w:rPr>
        <w:t>Nat Energy</w:t>
      </w:r>
      <w:r w:rsidRPr="00C661AC">
        <w:rPr>
          <w:rFonts w:cs="Times New Roman"/>
        </w:rPr>
        <w:t xml:space="preserve"> </w:t>
      </w:r>
      <w:r w:rsidRPr="00C661AC">
        <w:rPr>
          <w:rFonts w:cs="Times New Roman"/>
          <w:b/>
          <w:bCs/>
        </w:rPr>
        <w:t>6</w:t>
      </w:r>
      <w:r w:rsidRPr="00C661AC">
        <w:rPr>
          <w:rFonts w:cs="Times New Roman"/>
        </w:rPr>
        <w:t>, 1017–1025 (2021).</w:t>
      </w:r>
    </w:p>
    <w:p w14:paraId="1EF72CD3" w14:textId="77777777" w:rsidR="00C661AC" w:rsidRPr="00C661AC" w:rsidRDefault="00C661AC" w:rsidP="00C661AC">
      <w:pPr>
        <w:pStyle w:val="Bibliography"/>
        <w:rPr>
          <w:rFonts w:cs="Times New Roman"/>
        </w:rPr>
      </w:pPr>
      <w:r w:rsidRPr="00C661AC">
        <w:rPr>
          <w:rFonts w:cs="Times New Roman"/>
        </w:rPr>
        <w:t>38.</w:t>
      </w:r>
      <w:r w:rsidRPr="00C661AC">
        <w:rPr>
          <w:rFonts w:cs="Times New Roman"/>
        </w:rPr>
        <w:tab/>
        <w:t xml:space="preserve">Gordon, O. Lithium-ion Battery Pack Prices Rise for First Time to an Average of $151/kWh. </w:t>
      </w:r>
      <w:r w:rsidRPr="00C661AC">
        <w:rPr>
          <w:rFonts w:cs="Times New Roman"/>
          <w:i/>
          <w:iCs/>
        </w:rPr>
        <w:t>BloombergNEF</w:t>
      </w:r>
      <w:r w:rsidRPr="00C661AC">
        <w:rPr>
          <w:rFonts w:cs="Times New Roman"/>
        </w:rPr>
        <w:t xml:space="preserve"> https://about.bnef.com/blog/lithium-ion-battery-pack-prices-rise-for-first-time-to-an-average-of-151-kwh/ (2022).</w:t>
      </w:r>
    </w:p>
    <w:p w14:paraId="0B7F5FD1" w14:textId="77777777" w:rsidR="00C661AC" w:rsidRPr="00C661AC" w:rsidRDefault="00C661AC" w:rsidP="00C661AC">
      <w:pPr>
        <w:pStyle w:val="Bibliography"/>
        <w:rPr>
          <w:rFonts w:cs="Times New Roman"/>
        </w:rPr>
      </w:pPr>
      <w:r w:rsidRPr="00C661AC">
        <w:rPr>
          <w:rFonts w:cs="Times New Roman"/>
        </w:rPr>
        <w:t>39.</w:t>
      </w:r>
      <w:r w:rsidRPr="00C661AC">
        <w:rPr>
          <w:rFonts w:cs="Times New Roman"/>
        </w:rPr>
        <w:tab/>
        <w:t xml:space="preserve">Zhang, Y., Sun, L., Fan, T., Ma, F. &amp; Xiong, Y. Speed and energy optimization method for the inland all-electric ship in battery-swapping mode. </w:t>
      </w:r>
      <w:r w:rsidRPr="00C661AC">
        <w:rPr>
          <w:rFonts w:cs="Times New Roman"/>
          <w:i/>
          <w:iCs/>
        </w:rPr>
        <w:t>Ocean Engineering</w:t>
      </w:r>
      <w:r w:rsidRPr="00C661AC">
        <w:rPr>
          <w:rFonts w:cs="Times New Roman"/>
        </w:rPr>
        <w:t xml:space="preserve"> </w:t>
      </w:r>
      <w:r w:rsidRPr="00C661AC">
        <w:rPr>
          <w:rFonts w:cs="Times New Roman"/>
          <w:b/>
          <w:bCs/>
        </w:rPr>
        <w:t>284</w:t>
      </w:r>
      <w:r w:rsidRPr="00C661AC">
        <w:rPr>
          <w:rFonts w:cs="Times New Roman"/>
        </w:rPr>
        <w:t>, 115234 (2023).</w:t>
      </w:r>
    </w:p>
    <w:p w14:paraId="308B7B24" w14:textId="77777777" w:rsidR="00C661AC" w:rsidRPr="00C661AC" w:rsidRDefault="00C661AC" w:rsidP="00C661AC">
      <w:pPr>
        <w:pStyle w:val="Bibliography"/>
        <w:rPr>
          <w:rFonts w:cs="Times New Roman"/>
        </w:rPr>
      </w:pPr>
      <w:r w:rsidRPr="00C661AC">
        <w:rPr>
          <w:rFonts w:cs="Times New Roman"/>
        </w:rPr>
        <w:t>40.</w:t>
      </w:r>
      <w:r w:rsidRPr="00C661AC">
        <w:rPr>
          <w:rFonts w:cs="Times New Roman"/>
        </w:rPr>
        <w:tab/>
        <w:t xml:space="preserve">U.S. Environmental Protection Agency. </w:t>
      </w:r>
      <w:r w:rsidRPr="00C661AC">
        <w:rPr>
          <w:rFonts w:cs="Times New Roman"/>
          <w:i/>
          <w:iCs/>
        </w:rPr>
        <w:t>Shore Power Technology Assessment at U.S. Ports</w:t>
      </w:r>
      <w:r w:rsidRPr="00C661AC">
        <w:rPr>
          <w:rFonts w:cs="Times New Roman"/>
        </w:rPr>
        <w:t>. https://www.epa.gov/ports-initiative/shore-power-technology-assessment-us-ports (2022).</w:t>
      </w:r>
    </w:p>
    <w:p w14:paraId="71FFDFFA" w14:textId="77777777" w:rsidR="00C661AC" w:rsidRPr="00C661AC" w:rsidRDefault="00C661AC" w:rsidP="00C661AC">
      <w:pPr>
        <w:pStyle w:val="Bibliography"/>
        <w:rPr>
          <w:rFonts w:cs="Times New Roman"/>
        </w:rPr>
      </w:pPr>
      <w:r w:rsidRPr="00C661AC">
        <w:rPr>
          <w:rFonts w:cs="Times New Roman"/>
        </w:rPr>
        <w:t>41.</w:t>
      </w:r>
      <w:r w:rsidRPr="00C661AC">
        <w:rPr>
          <w:rFonts w:cs="Times New Roman"/>
        </w:rPr>
        <w:tab/>
        <w:t xml:space="preserve">U.S. Department of Transportation. Principal Ports. </w:t>
      </w:r>
      <w:r w:rsidRPr="00C661AC">
        <w:rPr>
          <w:rFonts w:cs="Times New Roman"/>
          <w:i/>
          <w:iCs/>
        </w:rPr>
        <w:t>U.S. Department of Transportation</w:t>
      </w:r>
      <w:r w:rsidRPr="00C661AC">
        <w:rPr>
          <w:rFonts w:cs="Times New Roman"/>
        </w:rPr>
        <w:t xml:space="preserve"> https://data-usdot.opendata.arcgis.com/datasets/usdot::principal-ports/about (2022).</w:t>
      </w:r>
    </w:p>
    <w:p w14:paraId="00407A1A" w14:textId="77777777" w:rsidR="00C661AC" w:rsidRPr="00C661AC" w:rsidRDefault="00C661AC" w:rsidP="00C661AC">
      <w:pPr>
        <w:pStyle w:val="Bibliography"/>
        <w:rPr>
          <w:rFonts w:cs="Times New Roman"/>
        </w:rPr>
      </w:pPr>
      <w:r w:rsidRPr="00C661AC">
        <w:rPr>
          <w:rFonts w:cs="Times New Roman"/>
        </w:rPr>
        <w:t>42.</w:t>
      </w:r>
      <w:r w:rsidRPr="00C661AC">
        <w:rPr>
          <w:rFonts w:cs="Times New Roman"/>
        </w:rPr>
        <w:tab/>
        <w:t xml:space="preserve">U.S. Army Corps of Engineers. Principal Ports of the United States. Waterborne tonnage for principal U.S. ports and all 50 states and U.S. territories. </w:t>
      </w:r>
      <w:r w:rsidRPr="00C661AC">
        <w:rPr>
          <w:rFonts w:cs="Times New Roman"/>
          <w:i/>
          <w:iCs/>
        </w:rPr>
        <w:t>U.S. Army Corps of Engineers</w:t>
      </w:r>
      <w:r w:rsidRPr="00C661AC">
        <w:rPr>
          <w:rFonts w:cs="Times New Roman"/>
        </w:rPr>
        <w:t xml:space="preserve"> https://usace.contentdm.oclc.org/digital/collection/p16021coll2/id/7447 (2023).</w:t>
      </w:r>
    </w:p>
    <w:p w14:paraId="7BDB27BC" w14:textId="4498E9B9" w:rsidR="00391BCC" w:rsidRDefault="00A4388B" w:rsidP="00A4388B">
      <w:pPr>
        <w:ind w:left="360" w:hanging="360"/>
      </w:pPr>
      <w:r>
        <w:fldChar w:fldCharType="end"/>
      </w:r>
    </w:p>
    <w:sectPr w:rsidR="00391BCC" w:rsidSect="0041700B">
      <w:headerReference w:type="default" r:id="rId95"/>
      <w:footerReference w:type="even" r:id="rId96"/>
      <w:footerReference w:type="default" r:id="rId97"/>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2348F" w14:textId="77777777" w:rsidR="00590C69" w:rsidRDefault="00590C69" w:rsidP="006A63B3">
      <w:r>
        <w:separator/>
      </w:r>
    </w:p>
    <w:p w14:paraId="12170F2B" w14:textId="77777777" w:rsidR="00590C69" w:rsidRDefault="00590C69" w:rsidP="006A63B3"/>
    <w:p w14:paraId="19ADA776" w14:textId="77777777" w:rsidR="00590C69" w:rsidRDefault="00590C69" w:rsidP="006A63B3"/>
    <w:p w14:paraId="35FE0E3E" w14:textId="77777777" w:rsidR="00590C69" w:rsidRDefault="00590C69"/>
    <w:p w14:paraId="6E753916" w14:textId="77777777" w:rsidR="00590C69" w:rsidRDefault="00590C69" w:rsidP="0070180B"/>
    <w:p w14:paraId="221BF5A8" w14:textId="77777777" w:rsidR="00590C69" w:rsidRDefault="00590C69" w:rsidP="0070180B"/>
  </w:endnote>
  <w:endnote w:type="continuationSeparator" w:id="0">
    <w:p w14:paraId="52A893D7" w14:textId="77777777" w:rsidR="00590C69" w:rsidRDefault="00590C69" w:rsidP="006A63B3">
      <w:r>
        <w:continuationSeparator/>
      </w:r>
    </w:p>
    <w:p w14:paraId="283C7C3E" w14:textId="77777777" w:rsidR="00590C69" w:rsidRDefault="00590C69" w:rsidP="006A63B3"/>
    <w:p w14:paraId="337727E6" w14:textId="77777777" w:rsidR="00590C69" w:rsidRDefault="00590C69" w:rsidP="006A63B3"/>
    <w:p w14:paraId="7D426011" w14:textId="77777777" w:rsidR="00590C69" w:rsidRDefault="00590C69"/>
    <w:p w14:paraId="766C713F" w14:textId="77777777" w:rsidR="00590C69" w:rsidRDefault="00590C69" w:rsidP="0070180B"/>
    <w:p w14:paraId="39416E81" w14:textId="77777777" w:rsidR="00590C69" w:rsidRDefault="00590C69" w:rsidP="0070180B"/>
  </w:endnote>
  <w:endnote w:type="continuationNotice" w:id="1">
    <w:p w14:paraId="114D5E8C" w14:textId="77777777" w:rsidR="00590C69" w:rsidRDefault="00590C69">
      <w:pPr>
        <w:spacing w:line="240" w:lineRule="auto"/>
      </w:pPr>
    </w:p>
    <w:p w14:paraId="6030E9C3" w14:textId="77777777" w:rsidR="00590C69" w:rsidRDefault="00590C69"/>
    <w:p w14:paraId="4F84D3ED" w14:textId="77777777" w:rsidR="00590C69" w:rsidRDefault="00590C69" w:rsidP="0070180B"/>
    <w:p w14:paraId="35C30F21" w14:textId="77777777" w:rsidR="00590C69" w:rsidRDefault="00590C69" w:rsidP="007018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65520201"/>
      <w:docPartObj>
        <w:docPartGallery w:val="Page Numbers (Bottom of Page)"/>
        <w:docPartUnique/>
      </w:docPartObj>
    </w:sdtPr>
    <w:sdtEndPr>
      <w:rPr>
        <w:rStyle w:val="PageNumber"/>
      </w:rPr>
    </w:sdtEndPr>
    <w:sdtContent>
      <w:p w14:paraId="1E387B31" w14:textId="21873529" w:rsidR="00322B49" w:rsidRDefault="00322B49" w:rsidP="00244858">
        <w:pPr>
          <w:pStyle w:val="Footer"/>
          <w:rPr>
            <w:rStyle w:val="PageNumber"/>
            <w:rFonts w:ascii="Times New Roman" w:hAnsi="Times New Roman"/>
            <w:sz w:val="22"/>
          </w:rPr>
        </w:pPr>
        <w:r>
          <w:rPr>
            <w:rStyle w:val="PageNumber"/>
          </w:rPr>
          <w:fldChar w:fldCharType="begin"/>
        </w:r>
        <w:r>
          <w:rPr>
            <w:rStyle w:val="PageNumber"/>
          </w:rPr>
          <w:instrText xml:space="preserve"> PAGE </w:instrText>
        </w:r>
        <w:r>
          <w:rPr>
            <w:rStyle w:val="PageNumber"/>
          </w:rPr>
          <w:fldChar w:fldCharType="end"/>
        </w:r>
      </w:p>
    </w:sdtContent>
  </w:sdt>
  <w:p w14:paraId="44DAF010" w14:textId="77777777" w:rsidR="00322B49" w:rsidRDefault="00322B49" w:rsidP="002448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5165156"/>
      <w:docPartObj>
        <w:docPartGallery w:val="Page Numbers (Bottom of Page)"/>
        <w:docPartUnique/>
      </w:docPartObj>
    </w:sdtPr>
    <w:sdtEndPr>
      <w:rPr>
        <w:rStyle w:val="PageNumber"/>
      </w:rPr>
    </w:sdtEndPr>
    <w:sdtContent>
      <w:p w14:paraId="32E56119" w14:textId="19B23FFC" w:rsidR="00322B49" w:rsidRDefault="00322B49" w:rsidP="006F67C5">
        <w:pPr>
          <w:pStyle w:val="Footer"/>
          <w:jc w:val="right"/>
          <w:rPr>
            <w:rStyle w:val="PageNumber"/>
            <w:rFonts w:ascii="Times New Roman" w:hAnsi="Times New Roman"/>
            <w:sz w:val="22"/>
          </w:rPr>
        </w:pPr>
        <w:r>
          <w:rPr>
            <w:rStyle w:val="PageNumber"/>
            <w:sz w:val="18"/>
          </w:rPr>
          <w:fldChar w:fldCharType="begin"/>
        </w:r>
        <w:r>
          <w:rPr>
            <w:rStyle w:val="PageNumber"/>
            <w:sz w:val="18"/>
          </w:rPr>
          <w:instrText xml:space="preserve"> PAGE  \* Arabic </w:instrText>
        </w:r>
        <w:r>
          <w:rPr>
            <w:rStyle w:val="PageNumber"/>
            <w:sz w:val="18"/>
          </w:rPr>
          <w:fldChar w:fldCharType="separate"/>
        </w:r>
        <w:r>
          <w:rPr>
            <w:rStyle w:val="PageNumber"/>
            <w:noProof/>
            <w:sz w:val="18"/>
          </w:rPr>
          <w:t>2</w:t>
        </w:r>
        <w:r>
          <w:rPr>
            <w:rStyle w:val="PageNumber"/>
            <w:sz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6F4AA" w14:textId="77777777" w:rsidR="00590C69" w:rsidRDefault="00590C69" w:rsidP="006A63B3">
      <w:r>
        <w:separator/>
      </w:r>
    </w:p>
    <w:p w14:paraId="37E4EC6F" w14:textId="77777777" w:rsidR="00590C69" w:rsidRDefault="00590C69"/>
    <w:p w14:paraId="644F2D86" w14:textId="77777777" w:rsidR="00590C69" w:rsidRDefault="00590C69" w:rsidP="0070180B"/>
    <w:p w14:paraId="4C92474B" w14:textId="77777777" w:rsidR="00590C69" w:rsidRDefault="00590C69" w:rsidP="0070180B"/>
  </w:footnote>
  <w:footnote w:type="continuationSeparator" w:id="0">
    <w:p w14:paraId="1DE3A7A1" w14:textId="77777777" w:rsidR="00590C69" w:rsidRDefault="00590C69" w:rsidP="006A63B3">
      <w:r>
        <w:continuationSeparator/>
      </w:r>
    </w:p>
    <w:p w14:paraId="41A29897" w14:textId="77777777" w:rsidR="00590C69" w:rsidRDefault="00590C69" w:rsidP="006A63B3"/>
    <w:p w14:paraId="15C4AF2D" w14:textId="77777777" w:rsidR="00590C69" w:rsidRDefault="00590C69" w:rsidP="006A63B3"/>
    <w:p w14:paraId="35810E6A" w14:textId="77777777" w:rsidR="00590C69" w:rsidRDefault="00590C69"/>
    <w:p w14:paraId="3312D3C6" w14:textId="77777777" w:rsidR="00590C69" w:rsidRDefault="00590C69" w:rsidP="0070180B"/>
    <w:p w14:paraId="74530F8B" w14:textId="77777777" w:rsidR="00590C69" w:rsidRDefault="00590C69" w:rsidP="0070180B"/>
  </w:footnote>
  <w:footnote w:type="continuationNotice" w:id="1">
    <w:p w14:paraId="53E5D331" w14:textId="77777777" w:rsidR="00590C69" w:rsidRDefault="00590C69">
      <w:pPr>
        <w:spacing w:line="240" w:lineRule="auto"/>
      </w:pPr>
    </w:p>
    <w:p w14:paraId="32E3D45F" w14:textId="77777777" w:rsidR="00590C69" w:rsidRDefault="00590C69"/>
    <w:p w14:paraId="6957049F" w14:textId="77777777" w:rsidR="00590C69" w:rsidRDefault="00590C69" w:rsidP="0070180B"/>
    <w:p w14:paraId="4A5925DF" w14:textId="77777777" w:rsidR="00590C69" w:rsidRDefault="00590C69" w:rsidP="0070180B"/>
  </w:footnote>
  <w:footnote w:id="2">
    <w:p w14:paraId="06A8CC81" w14:textId="77777777" w:rsidR="00322B49" w:rsidRPr="00553072" w:rsidRDefault="00322B49" w:rsidP="001D3B63">
      <w:pPr>
        <w:pStyle w:val="FootnoteText"/>
        <w:rPr>
          <w:rFonts w:ascii="Times New Roman" w:hAnsi="Times New Roman" w:cs="Times New Roman"/>
        </w:rPr>
      </w:pPr>
      <w:r w:rsidRPr="00035F66">
        <w:rPr>
          <w:rStyle w:val="FootnoteReference"/>
        </w:rPr>
        <w:footnoteRef/>
      </w:r>
      <w:r w:rsidRPr="00553072">
        <w:rPr>
          <w:rFonts w:ascii="Times New Roman" w:hAnsi="Times New Roman" w:cs="Times New Roman"/>
        </w:rPr>
        <w:t xml:space="preserve"> </w:t>
      </w:r>
      <w:r>
        <w:rPr>
          <w:rFonts w:ascii="Times New Roman" w:hAnsi="Times New Roman" w:cs="Times New Roman"/>
        </w:rPr>
        <w:t>S</w:t>
      </w:r>
      <w:r w:rsidRPr="00553072">
        <w:rPr>
          <w:rFonts w:ascii="Times New Roman" w:hAnsi="Times New Roman" w:cs="Times New Roman"/>
        </w:rPr>
        <w:t>ome ships experienced MMSI changes during the selected year.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61F7D" w14:textId="7029A487" w:rsidR="00322B49" w:rsidRPr="00DA29B2" w:rsidRDefault="00322B49" w:rsidP="006A63B3">
    <w:pPr>
      <w:pStyle w:val="Header"/>
      <w:rPr>
        <w:bCs/>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D9C713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EAEC37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3CE6D9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E9EEFE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6A8A75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8A06E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438FC3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23AA65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C6A0A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BE356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3757EC"/>
    <w:multiLevelType w:val="hybridMultilevel"/>
    <w:tmpl w:val="A7C83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6E7F9C"/>
    <w:multiLevelType w:val="hybridMultilevel"/>
    <w:tmpl w:val="844E2C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A87FB6"/>
    <w:multiLevelType w:val="hybridMultilevel"/>
    <w:tmpl w:val="65223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B4094A"/>
    <w:multiLevelType w:val="hybridMultilevel"/>
    <w:tmpl w:val="2EE8E9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5E40068"/>
    <w:multiLevelType w:val="hybridMultilevel"/>
    <w:tmpl w:val="774AE7A4"/>
    <w:lvl w:ilvl="0" w:tplc="8A0EDA04">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6D75D1"/>
    <w:multiLevelType w:val="multilevel"/>
    <w:tmpl w:val="5450FC0A"/>
    <w:lvl w:ilvl="0">
      <w:start w:val="1"/>
      <w:numFmt w:val="upperLetter"/>
      <w:pStyle w:val="AppendixHeader"/>
      <w:lvlText w:val="Appendix %1."/>
      <w:lvlJc w:val="left"/>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7E14349"/>
    <w:multiLevelType w:val="hybridMultilevel"/>
    <w:tmpl w:val="78EED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BB1018C"/>
    <w:multiLevelType w:val="hybridMultilevel"/>
    <w:tmpl w:val="DAC68B1C"/>
    <w:lvl w:ilvl="0" w:tplc="65C8298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D57734"/>
    <w:multiLevelType w:val="hybridMultilevel"/>
    <w:tmpl w:val="F4AC2CA4"/>
    <w:lvl w:ilvl="0" w:tplc="D6DA207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953EAC"/>
    <w:multiLevelType w:val="hybridMultilevel"/>
    <w:tmpl w:val="7F44D6E0"/>
    <w:lvl w:ilvl="0" w:tplc="8A0EDA04">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0FC121A"/>
    <w:multiLevelType w:val="hybridMultilevel"/>
    <w:tmpl w:val="9B6636AC"/>
    <w:lvl w:ilvl="0" w:tplc="E3AE1FDC">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B92DC2"/>
    <w:multiLevelType w:val="hybridMultilevel"/>
    <w:tmpl w:val="2D42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700D58"/>
    <w:multiLevelType w:val="hybridMultilevel"/>
    <w:tmpl w:val="4886BC36"/>
    <w:lvl w:ilvl="0" w:tplc="375411AC">
      <w:start w:val="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A356741"/>
    <w:multiLevelType w:val="hybridMultilevel"/>
    <w:tmpl w:val="FA80C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4C7D7C"/>
    <w:multiLevelType w:val="hybridMultilevel"/>
    <w:tmpl w:val="15B06D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AB2904"/>
    <w:multiLevelType w:val="hybridMultilevel"/>
    <w:tmpl w:val="EBACCD0E"/>
    <w:lvl w:ilvl="0" w:tplc="CDE2E16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33353B9B"/>
    <w:multiLevelType w:val="hybridMultilevel"/>
    <w:tmpl w:val="682E1C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112F03"/>
    <w:multiLevelType w:val="hybridMultilevel"/>
    <w:tmpl w:val="929A8A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66507AC"/>
    <w:multiLevelType w:val="hybridMultilevel"/>
    <w:tmpl w:val="8C088E44"/>
    <w:lvl w:ilvl="0" w:tplc="A1F81BD2">
      <w:start w:val="1"/>
      <w:numFmt w:val="lowerLetter"/>
      <w:lvlText w:val="(%1)"/>
      <w:lvlJc w:val="left"/>
      <w:pPr>
        <w:ind w:left="5400" w:hanging="360"/>
      </w:pPr>
      <w:rPr>
        <w:rFonts w:hint="default"/>
      </w:r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29" w15:restartNumberingAfterBreak="0">
    <w:nsid w:val="379D3D05"/>
    <w:multiLevelType w:val="hybridMultilevel"/>
    <w:tmpl w:val="75FA6BF2"/>
    <w:lvl w:ilvl="0" w:tplc="98207484">
      <w:start w:val="1"/>
      <w:numFmt w:val="bullet"/>
      <w:lvlText w:val="o"/>
      <w:lvlJc w:val="left"/>
      <w:pPr>
        <w:tabs>
          <w:tab w:val="num" w:pos="720"/>
        </w:tabs>
        <w:ind w:left="720" w:hanging="360"/>
      </w:pPr>
      <w:rPr>
        <w:rFonts w:ascii="Courier New" w:hAnsi="Courier New" w:hint="default"/>
      </w:rPr>
    </w:lvl>
    <w:lvl w:ilvl="1" w:tplc="4E2E9796" w:tentative="1">
      <w:start w:val="1"/>
      <w:numFmt w:val="bullet"/>
      <w:lvlText w:val="o"/>
      <w:lvlJc w:val="left"/>
      <w:pPr>
        <w:tabs>
          <w:tab w:val="num" w:pos="1440"/>
        </w:tabs>
        <w:ind w:left="1440" w:hanging="360"/>
      </w:pPr>
      <w:rPr>
        <w:rFonts w:ascii="Courier New" w:hAnsi="Courier New" w:hint="default"/>
      </w:rPr>
    </w:lvl>
    <w:lvl w:ilvl="2" w:tplc="D4020308" w:tentative="1">
      <w:start w:val="1"/>
      <w:numFmt w:val="bullet"/>
      <w:lvlText w:val="o"/>
      <w:lvlJc w:val="left"/>
      <w:pPr>
        <w:tabs>
          <w:tab w:val="num" w:pos="2160"/>
        </w:tabs>
        <w:ind w:left="2160" w:hanging="360"/>
      </w:pPr>
      <w:rPr>
        <w:rFonts w:ascii="Courier New" w:hAnsi="Courier New" w:hint="default"/>
      </w:rPr>
    </w:lvl>
    <w:lvl w:ilvl="3" w:tplc="C85C232A" w:tentative="1">
      <w:start w:val="1"/>
      <w:numFmt w:val="bullet"/>
      <w:lvlText w:val="o"/>
      <w:lvlJc w:val="left"/>
      <w:pPr>
        <w:tabs>
          <w:tab w:val="num" w:pos="2880"/>
        </w:tabs>
        <w:ind w:left="2880" w:hanging="360"/>
      </w:pPr>
      <w:rPr>
        <w:rFonts w:ascii="Courier New" w:hAnsi="Courier New" w:hint="default"/>
      </w:rPr>
    </w:lvl>
    <w:lvl w:ilvl="4" w:tplc="5FC8D1E4" w:tentative="1">
      <w:start w:val="1"/>
      <w:numFmt w:val="bullet"/>
      <w:lvlText w:val="o"/>
      <w:lvlJc w:val="left"/>
      <w:pPr>
        <w:tabs>
          <w:tab w:val="num" w:pos="3600"/>
        </w:tabs>
        <w:ind w:left="3600" w:hanging="360"/>
      </w:pPr>
      <w:rPr>
        <w:rFonts w:ascii="Courier New" w:hAnsi="Courier New" w:hint="default"/>
      </w:rPr>
    </w:lvl>
    <w:lvl w:ilvl="5" w:tplc="AF2C9D0A" w:tentative="1">
      <w:start w:val="1"/>
      <w:numFmt w:val="bullet"/>
      <w:lvlText w:val="o"/>
      <w:lvlJc w:val="left"/>
      <w:pPr>
        <w:tabs>
          <w:tab w:val="num" w:pos="4320"/>
        </w:tabs>
        <w:ind w:left="4320" w:hanging="360"/>
      </w:pPr>
      <w:rPr>
        <w:rFonts w:ascii="Courier New" w:hAnsi="Courier New" w:hint="default"/>
      </w:rPr>
    </w:lvl>
    <w:lvl w:ilvl="6" w:tplc="2280CE5C" w:tentative="1">
      <w:start w:val="1"/>
      <w:numFmt w:val="bullet"/>
      <w:lvlText w:val="o"/>
      <w:lvlJc w:val="left"/>
      <w:pPr>
        <w:tabs>
          <w:tab w:val="num" w:pos="5040"/>
        </w:tabs>
        <w:ind w:left="5040" w:hanging="360"/>
      </w:pPr>
      <w:rPr>
        <w:rFonts w:ascii="Courier New" w:hAnsi="Courier New" w:hint="default"/>
      </w:rPr>
    </w:lvl>
    <w:lvl w:ilvl="7" w:tplc="4C4A0E16" w:tentative="1">
      <w:start w:val="1"/>
      <w:numFmt w:val="bullet"/>
      <w:lvlText w:val="o"/>
      <w:lvlJc w:val="left"/>
      <w:pPr>
        <w:tabs>
          <w:tab w:val="num" w:pos="5760"/>
        </w:tabs>
        <w:ind w:left="5760" w:hanging="360"/>
      </w:pPr>
      <w:rPr>
        <w:rFonts w:ascii="Courier New" w:hAnsi="Courier New" w:hint="default"/>
      </w:rPr>
    </w:lvl>
    <w:lvl w:ilvl="8" w:tplc="A73C36C6" w:tentative="1">
      <w:start w:val="1"/>
      <w:numFmt w:val="bullet"/>
      <w:lvlText w:val="o"/>
      <w:lvlJc w:val="left"/>
      <w:pPr>
        <w:tabs>
          <w:tab w:val="num" w:pos="6480"/>
        </w:tabs>
        <w:ind w:left="6480" w:hanging="360"/>
      </w:pPr>
      <w:rPr>
        <w:rFonts w:ascii="Courier New" w:hAnsi="Courier New" w:hint="default"/>
      </w:rPr>
    </w:lvl>
  </w:abstractNum>
  <w:abstractNum w:abstractNumId="30" w15:restartNumberingAfterBreak="0">
    <w:nsid w:val="45EF1FD3"/>
    <w:multiLevelType w:val="hybridMultilevel"/>
    <w:tmpl w:val="23D4C1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B20F41"/>
    <w:multiLevelType w:val="hybridMultilevel"/>
    <w:tmpl w:val="DA48BCFA"/>
    <w:lvl w:ilvl="0" w:tplc="ADD6552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DA4DBF"/>
    <w:multiLevelType w:val="hybridMultilevel"/>
    <w:tmpl w:val="D45A1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086DA1"/>
    <w:multiLevelType w:val="hybridMultilevel"/>
    <w:tmpl w:val="01741E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C1A1EEA"/>
    <w:multiLevelType w:val="hybridMultilevel"/>
    <w:tmpl w:val="DF80F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E56586B"/>
    <w:multiLevelType w:val="multilevel"/>
    <w:tmpl w:val="91AAD1CC"/>
    <w:lvl w:ilvl="0">
      <w:start w:val="1"/>
      <w:numFmt w:val="decimal"/>
      <w:lvlText w:val="%1."/>
      <w:lvlJc w:val="left"/>
      <w:pPr>
        <w:ind w:left="1440" w:hanging="360"/>
      </w:pPr>
    </w:lvl>
    <w:lvl w:ilvl="1">
      <w:start w:val="1"/>
      <w:numFmt w:val="decimal"/>
      <w:lvlText w:val="%1.%2"/>
      <w:lvlJc w:val="left"/>
      <w:pPr>
        <w:ind w:left="768" w:hanging="408"/>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36" w15:restartNumberingAfterBreak="0">
    <w:nsid w:val="5EFB7B84"/>
    <w:multiLevelType w:val="hybridMultilevel"/>
    <w:tmpl w:val="A9ACC4E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AE5967"/>
    <w:multiLevelType w:val="hybridMultilevel"/>
    <w:tmpl w:val="7440523C"/>
    <w:lvl w:ilvl="0" w:tplc="E2989960">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15:restartNumberingAfterBreak="0">
    <w:nsid w:val="60E029C9"/>
    <w:multiLevelType w:val="hybridMultilevel"/>
    <w:tmpl w:val="985464C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61923CA"/>
    <w:multiLevelType w:val="hybridMultilevel"/>
    <w:tmpl w:val="87D0D330"/>
    <w:lvl w:ilvl="0" w:tplc="62E8FC34">
      <w:start w:val="1"/>
      <w:numFmt w:val="bullet"/>
      <w:lvlText w:val="o"/>
      <w:lvlJc w:val="left"/>
      <w:pPr>
        <w:tabs>
          <w:tab w:val="num" w:pos="720"/>
        </w:tabs>
        <w:ind w:left="720" w:hanging="360"/>
      </w:pPr>
      <w:rPr>
        <w:rFonts w:ascii="Courier New" w:hAnsi="Courier New" w:hint="default"/>
      </w:rPr>
    </w:lvl>
    <w:lvl w:ilvl="1" w:tplc="ED2E9940" w:tentative="1">
      <w:start w:val="1"/>
      <w:numFmt w:val="bullet"/>
      <w:lvlText w:val="o"/>
      <w:lvlJc w:val="left"/>
      <w:pPr>
        <w:tabs>
          <w:tab w:val="num" w:pos="1440"/>
        </w:tabs>
        <w:ind w:left="1440" w:hanging="360"/>
      </w:pPr>
      <w:rPr>
        <w:rFonts w:ascii="Courier New" w:hAnsi="Courier New" w:hint="default"/>
      </w:rPr>
    </w:lvl>
    <w:lvl w:ilvl="2" w:tplc="927078A6" w:tentative="1">
      <w:start w:val="1"/>
      <w:numFmt w:val="bullet"/>
      <w:lvlText w:val="o"/>
      <w:lvlJc w:val="left"/>
      <w:pPr>
        <w:tabs>
          <w:tab w:val="num" w:pos="2160"/>
        </w:tabs>
        <w:ind w:left="2160" w:hanging="360"/>
      </w:pPr>
      <w:rPr>
        <w:rFonts w:ascii="Courier New" w:hAnsi="Courier New" w:hint="default"/>
      </w:rPr>
    </w:lvl>
    <w:lvl w:ilvl="3" w:tplc="159C7A26" w:tentative="1">
      <w:start w:val="1"/>
      <w:numFmt w:val="bullet"/>
      <w:lvlText w:val="o"/>
      <w:lvlJc w:val="left"/>
      <w:pPr>
        <w:tabs>
          <w:tab w:val="num" w:pos="2880"/>
        </w:tabs>
        <w:ind w:left="2880" w:hanging="360"/>
      </w:pPr>
      <w:rPr>
        <w:rFonts w:ascii="Courier New" w:hAnsi="Courier New" w:hint="default"/>
      </w:rPr>
    </w:lvl>
    <w:lvl w:ilvl="4" w:tplc="979CEA7E" w:tentative="1">
      <w:start w:val="1"/>
      <w:numFmt w:val="bullet"/>
      <w:lvlText w:val="o"/>
      <w:lvlJc w:val="left"/>
      <w:pPr>
        <w:tabs>
          <w:tab w:val="num" w:pos="3600"/>
        </w:tabs>
        <w:ind w:left="3600" w:hanging="360"/>
      </w:pPr>
      <w:rPr>
        <w:rFonts w:ascii="Courier New" w:hAnsi="Courier New" w:hint="default"/>
      </w:rPr>
    </w:lvl>
    <w:lvl w:ilvl="5" w:tplc="9180489E" w:tentative="1">
      <w:start w:val="1"/>
      <w:numFmt w:val="bullet"/>
      <w:lvlText w:val="o"/>
      <w:lvlJc w:val="left"/>
      <w:pPr>
        <w:tabs>
          <w:tab w:val="num" w:pos="4320"/>
        </w:tabs>
        <w:ind w:left="4320" w:hanging="360"/>
      </w:pPr>
      <w:rPr>
        <w:rFonts w:ascii="Courier New" w:hAnsi="Courier New" w:hint="default"/>
      </w:rPr>
    </w:lvl>
    <w:lvl w:ilvl="6" w:tplc="533EF766" w:tentative="1">
      <w:start w:val="1"/>
      <w:numFmt w:val="bullet"/>
      <w:lvlText w:val="o"/>
      <w:lvlJc w:val="left"/>
      <w:pPr>
        <w:tabs>
          <w:tab w:val="num" w:pos="5040"/>
        </w:tabs>
        <w:ind w:left="5040" w:hanging="360"/>
      </w:pPr>
      <w:rPr>
        <w:rFonts w:ascii="Courier New" w:hAnsi="Courier New" w:hint="default"/>
      </w:rPr>
    </w:lvl>
    <w:lvl w:ilvl="7" w:tplc="90B607DE" w:tentative="1">
      <w:start w:val="1"/>
      <w:numFmt w:val="bullet"/>
      <w:lvlText w:val="o"/>
      <w:lvlJc w:val="left"/>
      <w:pPr>
        <w:tabs>
          <w:tab w:val="num" w:pos="5760"/>
        </w:tabs>
        <w:ind w:left="5760" w:hanging="360"/>
      </w:pPr>
      <w:rPr>
        <w:rFonts w:ascii="Courier New" w:hAnsi="Courier New" w:hint="default"/>
      </w:rPr>
    </w:lvl>
    <w:lvl w:ilvl="8" w:tplc="467C93DA" w:tentative="1">
      <w:start w:val="1"/>
      <w:numFmt w:val="bullet"/>
      <w:lvlText w:val="o"/>
      <w:lvlJc w:val="left"/>
      <w:pPr>
        <w:tabs>
          <w:tab w:val="num" w:pos="6480"/>
        </w:tabs>
        <w:ind w:left="6480" w:hanging="360"/>
      </w:pPr>
      <w:rPr>
        <w:rFonts w:ascii="Courier New" w:hAnsi="Courier New" w:hint="default"/>
      </w:rPr>
    </w:lvl>
  </w:abstractNum>
  <w:abstractNum w:abstractNumId="40" w15:restartNumberingAfterBreak="0">
    <w:nsid w:val="66977448"/>
    <w:multiLevelType w:val="multilevel"/>
    <w:tmpl w:val="587ADA08"/>
    <w:lvl w:ilvl="0">
      <w:start w:val="1"/>
      <w:numFmt w:val="decimal"/>
      <w:pStyle w:val="Heading1"/>
      <w:lvlText w:val="%1."/>
      <w:lvlJc w:val="left"/>
      <w:pPr>
        <w:ind w:left="432" w:hanging="432"/>
      </w:pPr>
      <w:rPr>
        <w:rFonts w:hint="default"/>
        <w:color w:val="1F497D" w:themeColor="text2"/>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203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15:restartNumberingAfterBreak="0">
    <w:nsid w:val="69064F69"/>
    <w:multiLevelType w:val="hybridMultilevel"/>
    <w:tmpl w:val="7046A4FC"/>
    <w:lvl w:ilvl="0" w:tplc="E0D635F8">
      <w:start w:val="1"/>
      <w:numFmt w:val="bullet"/>
      <w:lvlText w:val="o"/>
      <w:lvlJc w:val="left"/>
      <w:pPr>
        <w:tabs>
          <w:tab w:val="num" w:pos="720"/>
        </w:tabs>
        <w:ind w:left="720" w:hanging="360"/>
      </w:pPr>
      <w:rPr>
        <w:rFonts w:ascii="Courier New" w:hAnsi="Courier New" w:hint="default"/>
      </w:rPr>
    </w:lvl>
    <w:lvl w:ilvl="1" w:tplc="F8D6D96A" w:tentative="1">
      <w:start w:val="1"/>
      <w:numFmt w:val="bullet"/>
      <w:lvlText w:val="o"/>
      <w:lvlJc w:val="left"/>
      <w:pPr>
        <w:tabs>
          <w:tab w:val="num" w:pos="1440"/>
        </w:tabs>
        <w:ind w:left="1440" w:hanging="360"/>
      </w:pPr>
      <w:rPr>
        <w:rFonts w:ascii="Courier New" w:hAnsi="Courier New" w:hint="default"/>
      </w:rPr>
    </w:lvl>
    <w:lvl w:ilvl="2" w:tplc="59F81BC6" w:tentative="1">
      <w:start w:val="1"/>
      <w:numFmt w:val="bullet"/>
      <w:lvlText w:val="o"/>
      <w:lvlJc w:val="left"/>
      <w:pPr>
        <w:tabs>
          <w:tab w:val="num" w:pos="2160"/>
        </w:tabs>
        <w:ind w:left="2160" w:hanging="360"/>
      </w:pPr>
      <w:rPr>
        <w:rFonts w:ascii="Courier New" w:hAnsi="Courier New" w:hint="default"/>
      </w:rPr>
    </w:lvl>
    <w:lvl w:ilvl="3" w:tplc="C440437A" w:tentative="1">
      <w:start w:val="1"/>
      <w:numFmt w:val="bullet"/>
      <w:lvlText w:val="o"/>
      <w:lvlJc w:val="left"/>
      <w:pPr>
        <w:tabs>
          <w:tab w:val="num" w:pos="2880"/>
        </w:tabs>
        <w:ind w:left="2880" w:hanging="360"/>
      </w:pPr>
      <w:rPr>
        <w:rFonts w:ascii="Courier New" w:hAnsi="Courier New" w:hint="default"/>
      </w:rPr>
    </w:lvl>
    <w:lvl w:ilvl="4" w:tplc="12F0C326" w:tentative="1">
      <w:start w:val="1"/>
      <w:numFmt w:val="bullet"/>
      <w:lvlText w:val="o"/>
      <w:lvlJc w:val="left"/>
      <w:pPr>
        <w:tabs>
          <w:tab w:val="num" w:pos="3600"/>
        </w:tabs>
        <w:ind w:left="3600" w:hanging="360"/>
      </w:pPr>
      <w:rPr>
        <w:rFonts w:ascii="Courier New" w:hAnsi="Courier New" w:hint="default"/>
      </w:rPr>
    </w:lvl>
    <w:lvl w:ilvl="5" w:tplc="1D909A30" w:tentative="1">
      <w:start w:val="1"/>
      <w:numFmt w:val="bullet"/>
      <w:lvlText w:val="o"/>
      <w:lvlJc w:val="left"/>
      <w:pPr>
        <w:tabs>
          <w:tab w:val="num" w:pos="4320"/>
        </w:tabs>
        <w:ind w:left="4320" w:hanging="360"/>
      </w:pPr>
      <w:rPr>
        <w:rFonts w:ascii="Courier New" w:hAnsi="Courier New" w:hint="default"/>
      </w:rPr>
    </w:lvl>
    <w:lvl w:ilvl="6" w:tplc="A536A7BC" w:tentative="1">
      <w:start w:val="1"/>
      <w:numFmt w:val="bullet"/>
      <w:lvlText w:val="o"/>
      <w:lvlJc w:val="left"/>
      <w:pPr>
        <w:tabs>
          <w:tab w:val="num" w:pos="5040"/>
        </w:tabs>
        <w:ind w:left="5040" w:hanging="360"/>
      </w:pPr>
      <w:rPr>
        <w:rFonts w:ascii="Courier New" w:hAnsi="Courier New" w:hint="default"/>
      </w:rPr>
    </w:lvl>
    <w:lvl w:ilvl="7" w:tplc="64742B90" w:tentative="1">
      <w:start w:val="1"/>
      <w:numFmt w:val="bullet"/>
      <w:lvlText w:val="o"/>
      <w:lvlJc w:val="left"/>
      <w:pPr>
        <w:tabs>
          <w:tab w:val="num" w:pos="5760"/>
        </w:tabs>
        <w:ind w:left="5760" w:hanging="360"/>
      </w:pPr>
      <w:rPr>
        <w:rFonts w:ascii="Courier New" w:hAnsi="Courier New" w:hint="default"/>
      </w:rPr>
    </w:lvl>
    <w:lvl w:ilvl="8" w:tplc="B9C67F98" w:tentative="1">
      <w:start w:val="1"/>
      <w:numFmt w:val="bullet"/>
      <w:lvlText w:val="o"/>
      <w:lvlJc w:val="left"/>
      <w:pPr>
        <w:tabs>
          <w:tab w:val="num" w:pos="6480"/>
        </w:tabs>
        <w:ind w:left="6480" w:hanging="360"/>
      </w:pPr>
      <w:rPr>
        <w:rFonts w:ascii="Courier New" w:hAnsi="Courier New" w:hint="default"/>
      </w:rPr>
    </w:lvl>
  </w:abstractNum>
  <w:abstractNum w:abstractNumId="42" w15:restartNumberingAfterBreak="0">
    <w:nsid w:val="6B05714E"/>
    <w:multiLevelType w:val="hybridMultilevel"/>
    <w:tmpl w:val="29260C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F9321E1"/>
    <w:multiLevelType w:val="hybridMultilevel"/>
    <w:tmpl w:val="CD7E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0B23E38"/>
    <w:multiLevelType w:val="hybridMultilevel"/>
    <w:tmpl w:val="758013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20E5207"/>
    <w:multiLevelType w:val="hybridMultilevel"/>
    <w:tmpl w:val="760875BC"/>
    <w:lvl w:ilvl="0" w:tplc="8A0EDA04">
      <w:numFmt w:val="bullet"/>
      <w:lvlText w:val="-"/>
      <w:lvlJc w:val="left"/>
      <w:pPr>
        <w:ind w:left="720" w:hanging="360"/>
      </w:pPr>
      <w:rPr>
        <w:rFonts w:ascii="Times New Roman" w:eastAsia="Batang"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753A7146"/>
    <w:multiLevelType w:val="hybridMultilevel"/>
    <w:tmpl w:val="253E1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D82A05"/>
    <w:multiLevelType w:val="multilevel"/>
    <w:tmpl w:val="F1FAAB48"/>
    <w:lvl w:ilvl="0">
      <w:start w:val="1"/>
      <w:numFmt w:val="decimal"/>
      <w:pStyle w:val="Heading"/>
      <w:lvlText w:val="%1."/>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6CB236D"/>
    <w:multiLevelType w:val="hybridMultilevel"/>
    <w:tmpl w:val="87D20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75C5F20"/>
    <w:multiLevelType w:val="multilevel"/>
    <w:tmpl w:val="50D68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76C3887"/>
    <w:multiLevelType w:val="hybridMultilevel"/>
    <w:tmpl w:val="94761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1A54D1"/>
    <w:multiLevelType w:val="hybridMultilevel"/>
    <w:tmpl w:val="A566E3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C644CC6"/>
    <w:multiLevelType w:val="hybridMultilevel"/>
    <w:tmpl w:val="B4804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CAD5C03"/>
    <w:multiLevelType w:val="hybridMultilevel"/>
    <w:tmpl w:val="35D8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E1535AF"/>
    <w:multiLevelType w:val="hybridMultilevel"/>
    <w:tmpl w:val="9810181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E8D38BA"/>
    <w:multiLevelType w:val="hybridMultilevel"/>
    <w:tmpl w:val="FF980676"/>
    <w:lvl w:ilvl="0" w:tplc="4616052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40"/>
  </w:num>
  <w:num w:numId="3">
    <w:abstractNumId w:val="15"/>
  </w:num>
  <w:num w:numId="4">
    <w:abstractNumId w:val="39"/>
  </w:num>
  <w:num w:numId="5">
    <w:abstractNumId w:val="41"/>
  </w:num>
  <w:num w:numId="6">
    <w:abstractNumId w:val="29"/>
  </w:num>
  <w:num w:numId="7">
    <w:abstractNumId w:val="50"/>
  </w:num>
  <w:num w:numId="8">
    <w:abstractNumId w:val="12"/>
  </w:num>
  <w:num w:numId="9">
    <w:abstractNumId w:val="30"/>
  </w:num>
  <w:num w:numId="10">
    <w:abstractNumId w:val="23"/>
  </w:num>
  <w:num w:numId="11">
    <w:abstractNumId w:val="48"/>
  </w:num>
  <w:num w:numId="12">
    <w:abstractNumId w:val="0"/>
  </w:num>
  <w:num w:numId="13">
    <w:abstractNumId w:val="1"/>
  </w:num>
  <w:num w:numId="14">
    <w:abstractNumId w:val="2"/>
  </w:num>
  <w:num w:numId="15">
    <w:abstractNumId w:val="3"/>
  </w:num>
  <w:num w:numId="16">
    <w:abstractNumId w:val="8"/>
  </w:num>
  <w:num w:numId="17">
    <w:abstractNumId w:val="4"/>
  </w:num>
  <w:num w:numId="18">
    <w:abstractNumId w:val="5"/>
  </w:num>
  <w:num w:numId="19">
    <w:abstractNumId w:val="6"/>
  </w:num>
  <w:num w:numId="20">
    <w:abstractNumId w:val="7"/>
  </w:num>
  <w:num w:numId="21">
    <w:abstractNumId w:val="9"/>
  </w:num>
  <w:num w:numId="22">
    <w:abstractNumId w:val="54"/>
  </w:num>
  <w:num w:numId="23">
    <w:abstractNumId w:val="35"/>
  </w:num>
  <w:num w:numId="24">
    <w:abstractNumId w:val="51"/>
  </w:num>
  <w:num w:numId="25">
    <w:abstractNumId w:val="52"/>
  </w:num>
  <w:num w:numId="26">
    <w:abstractNumId w:val="53"/>
  </w:num>
  <w:num w:numId="27">
    <w:abstractNumId w:val="19"/>
  </w:num>
  <w:num w:numId="28">
    <w:abstractNumId w:val="45"/>
  </w:num>
  <w:num w:numId="29">
    <w:abstractNumId w:val="21"/>
  </w:num>
  <w:num w:numId="30">
    <w:abstractNumId w:val="10"/>
  </w:num>
  <w:num w:numId="31">
    <w:abstractNumId w:val="24"/>
  </w:num>
  <w:num w:numId="32">
    <w:abstractNumId w:val="37"/>
  </w:num>
  <w:num w:numId="33">
    <w:abstractNumId w:val="28"/>
  </w:num>
  <w:num w:numId="34">
    <w:abstractNumId w:val="17"/>
  </w:num>
  <w:num w:numId="35">
    <w:abstractNumId w:val="43"/>
  </w:num>
  <w:num w:numId="36">
    <w:abstractNumId w:val="13"/>
  </w:num>
  <w:num w:numId="37">
    <w:abstractNumId w:val="44"/>
  </w:num>
  <w:num w:numId="38">
    <w:abstractNumId w:val="42"/>
  </w:num>
  <w:num w:numId="39">
    <w:abstractNumId w:val="33"/>
  </w:num>
  <w:num w:numId="40">
    <w:abstractNumId w:val="27"/>
  </w:num>
  <w:num w:numId="41">
    <w:abstractNumId w:val="38"/>
  </w:num>
  <w:num w:numId="42">
    <w:abstractNumId w:val="36"/>
  </w:num>
  <w:num w:numId="43">
    <w:abstractNumId w:val="11"/>
  </w:num>
  <w:num w:numId="44">
    <w:abstractNumId w:val="22"/>
  </w:num>
  <w:num w:numId="45">
    <w:abstractNumId w:val="20"/>
  </w:num>
  <w:num w:numId="46">
    <w:abstractNumId w:val="16"/>
  </w:num>
  <w:num w:numId="47">
    <w:abstractNumId w:val="25"/>
  </w:num>
  <w:num w:numId="48">
    <w:abstractNumId w:val="49"/>
  </w:num>
  <w:num w:numId="49">
    <w:abstractNumId w:val="14"/>
  </w:num>
  <w:num w:numId="50">
    <w:abstractNumId w:val="55"/>
  </w:num>
  <w:num w:numId="51">
    <w:abstractNumId w:val="32"/>
  </w:num>
  <w:num w:numId="52">
    <w:abstractNumId w:val="46"/>
  </w:num>
  <w:num w:numId="53">
    <w:abstractNumId w:val="31"/>
  </w:num>
  <w:num w:numId="54">
    <w:abstractNumId w:val="26"/>
  </w:num>
  <w:num w:numId="55">
    <w:abstractNumId w:val="34"/>
  </w:num>
  <w:num w:numId="56">
    <w:abstractNumId w:val="1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CzMDMwNjYwsTA0MDVW0lEKTi0uzszPAykwrQUA7dd8nSwAAAA="/>
    <w:docVar w:name="EN.Layout" w:val="&lt;ENLayout&gt;&lt;Style&gt;Author-DateLBNL&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v22t0s5bztp2ne0r5cpddfr5pvrs0dvt9zz&quot;&gt;My EndNote Library&lt;record-ids&gt;&lt;item&gt;67&lt;/item&gt;&lt;item&gt;174&lt;/item&gt;&lt;item&gt;242&lt;/item&gt;&lt;item&gt;247&lt;/item&gt;&lt;item&gt;249&lt;/item&gt;&lt;item&gt;250&lt;/item&gt;&lt;item&gt;270&lt;/item&gt;&lt;item&gt;271&lt;/item&gt;&lt;item&gt;272&lt;/item&gt;&lt;item&gt;273&lt;/item&gt;&lt;item&gt;274&lt;/item&gt;&lt;item&gt;275&lt;/item&gt;&lt;item&gt;276&lt;/item&gt;&lt;item&gt;288&lt;/item&gt;&lt;item&gt;405&lt;/item&gt;&lt;/record-ids&gt;&lt;/item&gt;&lt;/Libraries&gt;"/>
  </w:docVars>
  <w:rsids>
    <w:rsidRoot w:val="00AE27B7"/>
    <w:rsid w:val="000001BB"/>
    <w:rsid w:val="0000036E"/>
    <w:rsid w:val="000003EA"/>
    <w:rsid w:val="00000539"/>
    <w:rsid w:val="00000687"/>
    <w:rsid w:val="000008FE"/>
    <w:rsid w:val="000009B2"/>
    <w:rsid w:val="00000ADB"/>
    <w:rsid w:val="00000D46"/>
    <w:rsid w:val="00000DD2"/>
    <w:rsid w:val="00000EBA"/>
    <w:rsid w:val="00000FBD"/>
    <w:rsid w:val="000011CF"/>
    <w:rsid w:val="00001302"/>
    <w:rsid w:val="00001693"/>
    <w:rsid w:val="000016CE"/>
    <w:rsid w:val="0000170E"/>
    <w:rsid w:val="00001AAA"/>
    <w:rsid w:val="00001AAD"/>
    <w:rsid w:val="00001C72"/>
    <w:rsid w:val="00001CA3"/>
    <w:rsid w:val="00001D2D"/>
    <w:rsid w:val="00001E10"/>
    <w:rsid w:val="00001E2C"/>
    <w:rsid w:val="00002025"/>
    <w:rsid w:val="00002088"/>
    <w:rsid w:val="000023CB"/>
    <w:rsid w:val="000025F7"/>
    <w:rsid w:val="00002618"/>
    <w:rsid w:val="00002857"/>
    <w:rsid w:val="0000293F"/>
    <w:rsid w:val="00002BC0"/>
    <w:rsid w:val="00002C16"/>
    <w:rsid w:val="00002C36"/>
    <w:rsid w:val="00002C5E"/>
    <w:rsid w:val="00002DC5"/>
    <w:rsid w:val="00002FFD"/>
    <w:rsid w:val="000034DB"/>
    <w:rsid w:val="00003607"/>
    <w:rsid w:val="00003B7B"/>
    <w:rsid w:val="00004877"/>
    <w:rsid w:val="0000493D"/>
    <w:rsid w:val="00004A01"/>
    <w:rsid w:val="00004C54"/>
    <w:rsid w:val="00004DC2"/>
    <w:rsid w:val="00004E6E"/>
    <w:rsid w:val="00004EFC"/>
    <w:rsid w:val="00004FC8"/>
    <w:rsid w:val="000053EC"/>
    <w:rsid w:val="0000548C"/>
    <w:rsid w:val="0000559F"/>
    <w:rsid w:val="00005A14"/>
    <w:rsid w:val="00005B98"/>
    <w:rsid w:val="00005C76"/>
    <w:rsid w:val="00005D8B"/>
    <w:rsid w:val="00006084"/>
    <w:rsid w:val="000063FB"/>
    <w:rsid w:val="000064FA"/>
    <w:rsid w:val="00006836"/>
    <w:rsid w:val="00006BB9"/>
    <w:rsid w:val="000070F9"/>
    <w:rsid w:val="00007173"/>
    <w:rsid w:val="00007341"/>
    <w:rsid w:val="000073F9"/>
    <w:rsid w:val="000076CE"/>
    <w:rsid w:val="0000786D"/>
    <w:rsid w:val="00007BC4"/>
    <w:rsid w:val="00007BCE"/>
    <w:rsid w:val="00007F58"/>
    <w:rsid w:val="00007FA9"/>
    <w:rsid w:val="000105B8"/>
    <w:rsid w:val="00010833"/>
    <w:rsid w:val="00010841"/>
    <w:rsid w:val="00010CCC"/>
    <w:rsid w:val="00010EB2"/>
    <w:rsid w:val="00010ED7"/>
    <w:rsid w:val="00011275"/>
    <w:rsid w:val="00011443"/>
    <w:rsid w:val="00011469"/>
    <w:rsid w:val="00011507"/>
    <w:rsid w:val="000115E4"/>
    <w:rsid w:val="000115FC"/>
    <w:rsid w:val="00011642"/>
    <w:rsid w:val="0001176B"/>
    <w:rsid w:val="0001177D"/>
    <w:rsid w:val="0001191E"/>
    <w:rsid w:val="000119C3"/>
    <w:rsid w:val="00011D82"/>
    <w:rsid w:val="00011E0D"/>
    <w:rsid w:val="00012007"/>
    <w:rsid w:val="0001208F"/>
    <w:rsid w:val="00012353"/>
    <w:rsid w:val="00012575"/>
    <w:rsid w:val="00012633"/>
    <w:rsid w:val="00012702"/>
    <w:rsid w:val="00012810"/>
    <w:rsid w:val="00012AEE"/>
    <w:rsid w:val="00012B5D"/>
    <w:rsid w:val="00012D26"/>
    <w:rsid w:val="00012DF3"/>
    <w:rsid w:val="00012E25"/>
    <w:rsid w:val="00012E5C"/>
    <w:rsid w:val="0001328C"/>
    <w:rsid w:val="0001344A"/>
    <w:rsid w:val="0001356D"/>
    <w:rsid w:val="00013977"/>
    <w:rsid w:val="0001425B"/>
    <w:rsid w:val="00014606"/>
    <w:rsid w:val="00014A7C"/>
    <w:rsid w:val="00014CDA"/>
    <w:rsid w:val="00014E93"/>
    <w:rsid w:val="000153B1"/>
    <w:rsid w:val="0001545A"/>
    <w:rsid w:val="00015870"/>
    <w:rsid w:val="000158FA"/>
    <w:rsid w:val="00015A60"/>
    <w:rsid w:val="00015AA7"/>
    <w:rsid w:val="00015BAD"/>
    <w:rsid w:val="00015D33"/>
    <w:rsid w:val="000161DC"/>
    <w:rsid w:val="0001629B"/>
    <w:rsid w:val="00016409"/>
    <w:rsid w:val="00016507"/>
    <w:rsid w:val="000166D7"/>
    <w:rsid w:val="0001699C"/>
    <w:rsid w:val="00016D09"/>
    <w:rsid w:val="000173D5"/>
    <w:rsid w:val="00017801"/>
    <w:rsid w:val="000178C0"/>
    <w:rsid w:val="00017A99"/>
    <w:rsid w:val="00017BD5"/>
    <w:rsid w:val="00017CF2"/>
    <w:rsid w:val="00017FAC"/>
    <w:rsid w:val="00020046"/>
    <w:rsid w:val="000204D2"/>
    <w:rsid w:val="00020578"/>
    <w:rsid w:val="000207FD"/>
    <w:rsid w:val="000208B6"/>
    <w:rsid w:val="000208EA"/>
    <w:rsid w:val="00020CA9"/>
    <w:rsid w:val="00020EB0"/>
    <w:rsid w:val="00020FA8"/>
    <w:rsid w:val="0002119B"/>
    <w:rsid w:val="000211A3"/>
    <w:rsid w:val="00021229"/>
    <w:rsid w:val="00021984"/>
    <w:rsid w:val="00021D88"/>
    <w:rsid w:val="00021DA2"/>
    <w:rsid w:val="0002207C"/>
    <w:rsid w:val="00022088"/>
    <w:rsid w:val="00022163"/>
    <w:rsid w:val="000221A2"/>
    <w:rsid w:val="0002226E"/>
    <w:rsid w:val="00022391"/>
    <w:rsid w:val="00022992"/>
    <w:rsid w:val="00022AE7"/>
    <w:rsid w:val="00022B6D"/>
    <w:rsid w:val="00022BA7"/>
    <w:rsid w:val="00022C8B"/>
    <w:rsid w:val="00022D9B"/>
    <w:rsid w:val="000231F4"/>
    <w:rsid w:val="0002320B"/>
    <w:rsid w:val="000234CA"/>
    <w:rsid w:val="0002365B"/>
    <w:rsid w:val="00023699"/>
    <w:rsid w:val="000236B4"/>
    <w:rsid w:val="0002373C"/>
    <w:rsid w:val="0002376F"/>
    <w:rsid w:val="000237C8"/>
    <w:rsid w:val="00023BE6"/>
    <w:rsid w:val="00023F41"/>
    <w:rsid w:val="00023FA9"/>
    <w:rsid w:val="00024007"/>
    <w:rsid w:val="000242E4"/>
    <w:rsid w:val="0002438D"/>
    <w:rsid w:val="000243BE"/>
    <w:rsid w:val="00024605"/>
    <w:rsid w:val="00024FDE"/>
    <w:rsid w:val="00025069"/>
    <w:rsid w:val="000252F5"/>
    <w:rsid w:val="0002557B"/>
    <w:rsid w:val="00025630"/>
    <w:rsid w:val="0002583A"/>
    <w:rsid w:val="000259AE"/>
    <w:rsid w:val="000259D7"/>
    <w:rsid w:val="00025A49"/>
    <w:rsid w:val="00025B1E"/>
    <w:rsid w:val="00025BC0"/>
    <w:rsid w:val="00025C55"/>
    <w:rsid w:val="00025C79"/>
    <w:rsid w:val="0002610E"/>
    <w:rsid w:val="000263C2"/>
    <w:rsid w:val="000263E4"/>
    <w:rsid w:val="00026429"/>
    <w:rsid w:val="00026472"/>
    <w:rsid w:val="00026578"/>
    <w:rsid w:val="000265DD"/>
    <w:rsid w:val="00026678"/>
    <w:rsid w:val="000266CE"/>
    <w:rsid w:val="000267CE"/>
    <w:rsid w:val="00026912"/>
    <w:rsid w:val="00026A5C"/>
    <w:rsid w:val="00026C39"/>
    <w:rsid w:val="00026C6C"/>
    <w:rsid w:val="00026D03"/>
    <w:rsid w:val="00026E20"/>
    <w:rsid w:val="00026ECC"/>
    <w:rsid w:val="0002715B"/>
    <w:rsid w:val="000275EE"/>
    <w:rsid w:val="00027F22"/>
    <w:rsid w:val="00030276"/>
    <w:rsid w:val="000302E4"/>
    <w:rsid w:val="0003047F"/>
    <w:rsid w:val="0003065B"/>
    <w:rsid w:val="00030857"/>
    <w:rsid w:val="00030C8F"/>
    <w:rsid w:val="00030D04"/>
    <w:rsid w:val="00030D17"/>
    <w:rsid w:val="00030F5A"/>
    <w:rsid w:val="00031358"/>
    <w:rsid w:val="00031426"/>
    <w:rsid w:val="0003161C"/>
    <w:rsid w:val="00031653"/>
    <w:rsid w:val="0003180E"/>
    <w:rsid w:val="00031AB2"/>
    <w:rsid w:val="00031B9D"/>
    <w:rsid w:val="00031C74"/>
    <w:rsid w:val="00031EFC"/>
    <w:rsid w:val="00031FB0"/>
    <w:rsid w:val="0003225F"/>
    <w:rsid w:val="00032493"/>
    <w:rsid w:val="00032636"/>
    <w:rsid w:val="0003269B"/>
    <w:rsid w:val="000326B8"/>
    <w:rsid w:val="00032A37"/>
    <w:rsid w:val="00032C30"/>
    <w:rsid w:val="00032DB4"/>
    <w:rsid w:val="00032E35"/>
    <w:rsid w:val="00032E3C"/>
    <w:rsid w:val="00033135"/>
    <w:rsid w:val="00033B82"/>
    <w:rsid w:val="00033F87"/>
    <w:rsid w:val="00034159"/>
    <w:rsid w:val="000342E8"/>
    <w:rsid w:val="00034301"/>
    <w:rsid w:val="000343FC"/>
    <w:rsid w:val="0003448C"/>
    <w:rsid w:val="00034B30"/>
    <w:rsid w:val="000351E6"/>
    <w:rsid w:val="00035258"/>
    <w:rsid w:val="00035294"/>
    <w:rsid w:val="000352A4"/>
    <w:rsid w:val="000352C3"/>
    <w:rsid w:val="00035462"/>
    <w:rsid w:val="00035818"/>
    <w:rsid w:val="000359B6"/>
    <w:rsid w:val="00035B78"/>
    <w:rsid w:val="00035BA1"/>
    <w:rsid w:val="00035C75"/>
    <w:rsid w:val="00035CA7"/>
    <w:rsid w:val="00035F66"/>
    <w:rsid w:val="00035FA9"/>
    <w:rsid w:val="000361AE"/>
    <w:rsid w:val="00036905"/>
    <w:rsid w:val="000369EC"/>
    <w:rsid w:val="000369F3"/>
    <w:rsid w:val="00036AA0"/>
    <w:rsid w:val="00036D85"/>
    <w:rsid w:val="00036E39"/>
    <w:rsid w:val="00036FF3"/>
    <w:rsid w:val="00037258"/>
    <w:rsid w:val="00037374"/>
    <w:rsid w:val="00037430"/>
    <w:rsid w:val="0003754E"/>
    <w:rsid w:val="00037573"/>
    <w:rsid w:val="00037609"/>
    <w:rsid w:val="00037673"/>
    <w:rsid w:val="000376C5"/>
    <w:rsid w:val="0003780A"/>
    <w:rsid w:val="00037982"/>
    <w:rsid w:val="00037ABB"/>
    <w:rsid w:val="00037C56"/>
    <w:rsid w:val="00037E40"/>
    <w:rsid w:val="00037FD0"/>
    <w:rsid w:val="00040445"/>
    <w:rsid w:val="000404C9"/>
    <w:rsid w:val="00040546"/>
    <w:rsid w:val="00040A19"/>
    <w:rsid w:val="00040A33"/>
    <w:rsid w:val="00040CCB"/>
    <w:rsid w:val="00040E6C"/>
    <w:rsid w:val="00041022"/>
    <w:rsid w:val="0004107A"/>
    <w:rsid w:val="000413CC"/>
    <w:rsid w:val="000416B0"/>
    <w:rsid w:val="0004186E"/>
    <w:rsid w:val="00041875"/>
    <w:rsid w:val="00041AF7"/>
    <w:rsid w:val="00041CD6"/>
    <w:rsid w:val="00041DC3"/>
    <w:rsid w:val="00041ECF"/>
    <w:rsid w:val="0004200C"/>
    <w:rsid w:val="0004202C"/>
    <w:rsid w:val="0004228A"/>
    <w:rsid w:val="000422EA"/>
    <w:rsid w:val="00042383"/>
    <w:rsid w:val="000423CB"/>
    <w:rsid w:val="0004290C"/>
    <w:rsid w:val="000429C3"/>
    <w:rsid w:val="00042AB7"/>
    <w:rsid w:val="00042D29"/>
    <w:rsid w:val="00042E0F"/>
    <w:rsid w:val="00042E50"/>
    <w:rsid w:val="00042E5A"/>
    <w:rsid w:val="00043023"/>
    <w:rsid w:val="00043603"/>
    <w:rsid w:val="0004373A"/>
    <w:rsid w:val="000437E2"/>
    <w:rsid w:val="00043B25"/>
    <w:rsid w:val="00043B73"/>
    <w:rsid w:val="00043C9C"/>
    <w:rsid w:val="00044069"/>
    <w:rsid w:val="0004434E"/>
    <w:rsid w:val="00044621"/>
    <w:rsid w:val="0004477E"/>
    <w:rsid w:val="0004479A"/>
    <w:rsid w:val="0004479C"/>
    <w:rsid w:val="000447F7"/>
    <w:rsid w:val="000449CF"/>
    <w:rsid w:val="00044A21"/>
    <w:rsid w:val="00044D1F"/>
    <w:rsid w:val="00044E20"/>
    <w:rsid w:val="00045001"/>
    <w:rsid w:val="000454F1"/>
    <w:rsid w:val="000455D5"/>
    <w:rsid w:val="000456C4"/>
    <w:rsid w:val="000458B1"/>
    <w:rsid w:val="000459A5"/>
    <w:rsid w:val="000459C7"/>
    <w:rsid w:val="00045CFD"/>
    <w:rsid w:val="00045D17"/>
    <w:rsid w:val="00045DF2"/>
    <w:rsid w:val="00045E40"/>
    <w:rsid w:val="00045EFB"/>
    <w:rsid w:val="0004606E"/>
    <w:rsid w:val="00046129"/>
    <w:rsid w:val="00046185"/>
    <w:rsid w:val="00046378"/>
    <w:rsid w:val="0004679E"/>
    <w:rsid w:val="00046818"/>
    <w:rsid w:val="00046891"/>
    <w:rsid w:val="00046906"/>
    <w:rsid w:val="00046B9F"/>
    <w:rsid w:val="00046C80"/>
    <w:rsid w:val="00046E31"/>
    <w:rsid w:val="00046E92"/>
    <w:rsid w:val="00046F29"/>
    <w:rsid w:val="00046F6C"/>
    <w:rsid w:val="000471C2"/>
    <w:rsid w:val="000473FF"/>
    <w:rsid w:val="00047845"/>
    <w:rsid w:val="00047AE9"/>
    <w:rsid w:val="00047CF8"/>
    <w:rsid w:val="00047D68"/>
    <w:rsid w:val="00047FAC"/>
    <w:rsid w:val="0005018F"/>
    <w:rsid w:val="000501E3"/>
    <w:rsid w:val="00050339"/>
    <w:rsid w:val="000504CB"/>
    <w:rsid w:val="00050701"/>
    <w:rsid w:val="00050944"/>
    <w:rsid w:val="00050B80"/>
    <w:rsid w:val="00050E3F"/>
    <w:rsid w:val="00050F55"/>
    <w:rsid w:val="00051344"/>
    <w:rsid w:val="000515CD"/>
    <w:rsid w:val="00051A6F"/>
    <w:rsid w:val="00051E5D"/>
    <w:rsid w:val="0005213F"/>
    <w:rsid w:val="000524CD"/>
    <w:rsid w:val="000525E2"/>
    <w:rsid w:val="0005262F"/>
    <w:rsid w:val="00052690"/>
    <w:rsid w:val="00052981"/>
    <w:rsid w:val="00052B1B"/>
    <w:rsid w:val="00052B4A"/>
    <w:rsid w:val="00052E85"/>
    <w:rsid w:val="000531B2"/>
    <w:rsid w:val="0005322E"/>
    <w:rsid w:val="00053388"/>
    <w:rsid w:val="00053674"/>
    <w:rsid w:val="000537E8"/>
    <w:rsid w:val="00053958"/>
    <w:rsid w:val="00053BED"/>
    <w:rsid w:val="00053DED"/>
    <w:rsid w:val="00053E82"/>
    <w:rsid w:val="00053F04"/>
    <w:rsid w:val="000540A4"/>
    <w:rsid w:val="00054100"/>
    <w:rsid w:val="0005423D"/>
    <w:rsid w:val="00054309"/>
    <w:rsid w:val="000544DE"/>
    <w:rsid w:val="00054C00"/>
    <w:rsid w:val="00054E58"/>
    <w:rsid w:val="000550B1"/>
    <w:rsid w:val="00055154"/>
    <w:rsid w:val="00055251"/>
    <w:rsid w:val="00055624"/>
    <w:rsid w:val="000557D6"/>
    <w:rsid w:val="000557E8"/>
    <w:rsid w:val="0005593E"/>
    <w:rsid w:val="00055A9E"/>
    <w:rsid w:val="00055B57"/>
    <w:rsid w:val="00056184"/>
    <w:rsid w:val="000564E7"/>
    <w:rsid w:val="00056A16"/>
    <w:rsid w:val="00056B81"/>
    <w:rsid w:val="00056D60"/>
    <w:rsid w:val="00056DC1"/>
    <w:rsid w:val="00056DF8"/>
    <w:rsid w:val="00057095"/>
    <w:rsid w:val="000570B0"/>
    <w:rsid w:val="000574BB"/>
    <w:rsid w:val="000579A0"/>
    <w:rsid w:val="00057BF5"/>
    <w:rsid w:val="00057C3B"/>
    <w:rsid w:val="00057E34"/>
    <w:rsid w:val="00057F23"/>
    <w:rsid w:val="0006029C"/>
    <w:rsid w:val="000603E6"/>
    <w:rsid w:val="00060402"/>
    <w:rsid w:val="0006047F"/>
    <w:rsid w:val="000604E6"/>
    <w:rsid w:val="000605C6"/>
    <w:rsid w:val="0006060B"/>
    <w:rsid w:val="00060702"/>
    <w:rsid w:val="00060901"/>
    <w:rsid w:val="00060B33"/>
    <w:rsid w:val="000611FD"/>
    <w:rsid w:val="00061336"/>
    <w:rsid w:val="0006152A"/>
    <w:rsid w:val="000617B0"/>
    <w:rsid w:val="00061BA4"/>
    <w:rsid w:val="00061C5A"/>
    <w:rsid w:val="00061D43"/>
    <w:rsid w:val="00061E55"/>
    <w:rsid w:val="00061E86"/>
    <w:rsid w:val="00062562"/>
    <w:rsid w:val="0006257B"/>
    <w:rsid w:val="000626D8"/>
    <w:rsid w:val="00062A75"/>
    <w:rsid w:val="00062C4E"/>
    <w:rsid w:val="00063129"/>
    <w:rsid w:val="000631EA"/>
    <w:rsid w:val="000632C6"/>
    <w:rsid w:val="0006341A"/>
    <w:rsid w:val="000634FC"/>
    <w:rsid w:val="000636C1"/>
    <w:rsid w:val="0006380D"/>
    <w:rsid w:val="000639FC"/>
    <w:rsid w:val="00063DBC"/>
    <w:rsid w:val="00064087"/>
    <w:rsid w:val="0006484F"/>
    <w:rsid w:val="0006488E"/>
    <w:rsid w:val="000648A2"/>
    <w:rsid w:val="00064977"/>
    <w:rsid w:val="000649E6"/>
    <w:rsid w:val="00064B98"/>
    <w:rsid w:val="00064C55"/>
    <w:rsid w:val="00064D4E"/>
    <w:rsid w:val="00064DC3"/>
    <w:rsid w:val="00065000"/>
    <w:rsid w:val="000650A3"/>
    <w:rsid w:val="000651B3"/>
    <w:rsid w:val="0006533C"/>
    <w:rsid w:val="00065444"/>
    <w:rsid w:val="000655C8"/>
    <w:rsid w:val="0006575C"/>
    <w:rsid w:val="00065878"/>
    <w:rsid w:val="00065933"/>
    <w:rsid w:val="00065A8E"/>
    <w:rsid w:val="00065C2B"/>
    <w:rsid w:val="00065C3F"/>
    <w:rsid w:val="00065C65"/>
    <w:rsid w:val="00065F31"/>
    <w:rsid w:val="00065FB3"/>
    <w:rsid w:val="00066135"/>
    <w:rsid w:val="000661C5"/>
    <w:rsid w:val="0006623A"/>
    <w:rsid w:val="000667FE"/>
    <w:rsid w:val="0006685C"/>
    <w:rsid w:val="00066DFD"/>
    <w:rsid w:val="00067076"/>
    <w:rsid w:val="00067091"/>
    <w:rsid w:val="000671C6"/>
    <w:rsid w:val="00067203"/>
    <w:rsid w:val="00067234"/>
    <w:rsid w:val="000675C5"/>
    <w:rsid w:val="0006761D"/>
    <w:rsid w:val="000676DC"/>
    <w:rsid w:val="00067B84"/>
    <w:rsid w:val="00067BCC"/>
    <w:rsid w:val="0007059A"/>
    <w:rsid w:val="000706BA"/>
    <w:rsid w:val="00070A4B"/>
    <w:rsid w:val="00070B81"/>
    <w:rsid w:val="00070E1B"/>
    <w:rsid w:val="00071253"/>
    <w:rsid w:val="000712B5"/>
    <w:rsid w:val="00071700"/>
    <w:rsid w:val="00071B07"/>
    <w:rsid w:val="000720CE"/>
    <w:rsid w:val="000720E4"/>
    <w:rsid w:val="00072154"/>
    <w:rsid w:val="000721BF"/>
    <w:rsid w:val="00072484"/>
    <w:rsid w:val="00072B9A"/>
    <w:rsid w:val="00072DAD"/>
    <w:rsid w:val="00072E77"/>
    <w:rsid w:val="0007301F"/>
    <w:rsid w:val="0007340D"/>
    <w:rsid w:val="0007382C"/>
    <w:rsid w:val="0007388D"/>
    <w:rsid w:val="000738CB"/>
    <w:rsid w:val="00073AF7"/>
    <w:rsid w:val="00073B0C"/>
    <w:rsid w:val="00073B31"/>
    <w:rsid w:val="00073BE6"/>
    <w:rsid w:val="00073BFA"/>
    <w:rsid w:val="00073CF9"/>
    <w:rsid w:val="00073EE6"/>
    <w:rsid w:val="000742F2"/>
    <w:rsid w:val="000744F1"/>
    <w:rsid w:val="000745DE"/>
    <w:rsid w:val="00074784"/>
    <w:rsid w:val="00074A6F"/>
    <w:rsid w:val="00074D32"/>
    <w:rsid w:val="00074D6C"/>
    <w:rsid w:val="00074F4F"/>
    <w:rsid w:val="00075018"/>
    <w:rsid w:val="000750B6"/>
    <w:rsid w:val="000750D0"/>
    <w:rsid w:val="0007520D"/>
    <w:rsid w:val="00075302"/>
    <w:rsid w:val="0007564E"/>
    <w:rsid w:val="000758A8"/>
    <w:rsid w:val="000759C5"/>
    <w:rsid w:val="00075A0E"/>
    <w:rsid w:val="00075AA5"/>
    <w:rsid w:val="00075B45"/>
    <w:rsid w:val="00075CAE"/>
    <w:rsid w:val="000761FB"/>
    <w:rsid w:val="0007652B"/>
    <w:rsid w:val="000769E6"/>
    <w:rsid w:val="00076BC3"/>
    <w:rsid w:val="00076DB4"/>
    <w:rsid w:val="00076DE2"/>
    <w:rsid w:val="000771D9"/>
    <w:rsid w:val="000773B1"/>
    <w:rsid w:val="000777E0"/>
    <w:rsid w:val="00077B82"/>
    <w:rsid w:val="00077CEE"/>
    <w:rsid w:val="00077E47"/>
    <w:rsid w:val="000802A8"/>
    <w:rsid w:val="00080370"/>
    <w:rsid w:val="000805F6"/>
    <w:rsid w:val="000809AB"/>
    <w:rsid w:val="00080A57"/>
    <w:rsid w:val="00080B8D"/>
    <w:rsid w:val="00080D8E"/>
    <w:rsid w:val="00080DAF"/>
    <w:rsid w:val="00080EAD"/>
    <w:rsid w:val="00080F1C"/>
    <w:rsid w:val="000812C4"/>
    <w:rsid w:val="0008166C"/>
    <w:rsid w:val="000818BD"/>
    <w:rsid w:val="00081B81"/>
    <w:rsid w:val="00081CAA"/>
    <w:rsid w:val="00081F10"/>
    <w:rsid w:val="00081F5C"/>
    <w:rsid w:val="0008217F"/>
    <w:rsid w:val="000822E8"/>
    <w:rsid w:val="00082398"/>
    <w:rsid w:val="00082591"/>
    <w:rsid w:val="000825AA"/>
    <w:rsid w:val="00082812"/>
    <w:rsid w:val="00082B3D"/>
    <w:rsid w:val="00082E54"/>
    <w:rsid w:val="00082F24"/>
    <w:rsid w:val="00083311"/>
    <w:rsid w:val="00083573"/>
    <w:rsid w:val="000835B7"/>
    <w:rsid w:val="000835C8"/>
    <w:rsid w:val="000839A6"/>
    <w:rsid w:val="00083A30"/>
    <w:rsid w:val="00083E46"/>
    <w:rsid w:val="0008402F"/>
    <w:rsid w:val="00084141"/>
    <w:rsid w:val="000842AD"/>
    <w:rsid w:val="0008453E"/>
    <w:rsid w:val="0008478C"/>
    <w:rsid w:val="000849B5"/>
    <w:rsid w:val="00084AC0"/>
    <w:rsid w:val="00084D5D"/>
    <w:rsid w:val="000850FF"/>
    <w:rsid w:val="00085113"/>
    <w:rsid w:val="000851CD"/>
    <w:rsid w:val="000854FB"/>
    <w:rsid w:val="000858C9"/>
    <w:rsid w:val="000858CB"/>
    <w:rsid w:val="00085A54"/>
    <w:rsid w:val="00085FA4"/>
    <w:rsid w:val="0008603D"/>
    <w:rsid w:val="0008616B"/>
    <w:rsid w:val="0008679C"/>
    <w:rsid w:val="00086B85"/>
    <w:rsid w:val="00086E27"/>
    <w:rsid w:val="00087034"/>
    <w:rsid w:val="0008715A"/>
    <w:rsid w:val="0008757F"/>
    <w:rsid w:val="000876D1"/>
    <w:rsid w:val="0008776D"/>
    <w:rsid w:val="00087B7F"/>
    <w:rsid w:val="00087C87"/>
    <w:rsid w:val="00087E34"/>
    <w:rsid w:val="000900D5"/>
    <w:rsid w:val="000901FA"/>
    <w:rsid w:val="00090204"/>
    <w:rsid w:val="0009055F"/>
    <w:rsid w:val="00090A24"/>
    <w:rsid w:val="00090AD2"/>
    <w:rsid w:val="00090B91"/>
    <w:rsid w:val="00090C93"/>
    <w:rsid w:val="00090F4B"/>
    <w:rsid w:val="00091272"/>
    <w:rsid w:val="0009147E"/>
    <w:rsid w:val="000914D8"/>
    <w:rsid w:val="000919C6"/>
    <w:rsid w:val="00091B15"/>
    <w:rsid w:val="00091F69"/>
    <w:rsid w:val="00092238"/>
    <w:rsid w:val="0009256D"/>
    <w:rsid w:val="00092954"/>
    <w:rsid w:val="0009296E"/>
    <w:rsid w:val="00092998"/>
    <w:rsid w:val="00092EA2"/>
    <w:rsid w:val="00092F21"/>
    <w:rsid w:val="00093743"/>
    <w:rsid w:val="0009387A"/>
    <w:rsid w:val="0009390F"/>
    <w:rsid w:val="000939CA"/>
    <w:rsid w:val="00093A2D"/>
    <w:rsid w:val="00093B1D"/>
    <w:rsid w:val="00093D09"/>
    <w:rsid w:val="000940A0"/>
    <w:rsid w:val="000941CF"/>
    <w:rsid w:val="000945EF"/>
    <w:rsid w:val="00094799"/>
    <w:rsid w:val="0009486C"/>
    <w:rsid w:val="0009496A"/>
    <w:rsid w:val="00094A7A"/>
    <w:rsid w:val="00095008"/>
    <w:rsid w:val="00095365"/>
    <w:rsid w:val="0009550E"/>
    <w:rsid w:val="000956F6"/>
    <w:rsid w:val="00095809"/>
    <w:rsid w:val="00095B43"/>
    <w:rsid w:val="00095D6D"/>
    <w:rsid w:val="00095E6A"/>
    <w:rsid w:val="00095F38"/>
    <w:rsid w:val="00095FA2"/>
    <w:rsid w:val="00096054"/>
    <w:rsid w:val="000960A4"/>
    <w:rsid w:val="000962B3"/>
    <w:rsid w:val="00096335"/>
    <w:rsid w:val="00096349"/>
    <w:rsid w:val="000964E2"/>
    <w:rsid w:val="00096653"/>
    <w:rsid w:val="0009682D"/>
    <w:rsid w:val="00096870"/>
    <w:rsid w:val="00096950"/>
    <w:rsid w:val="00096AC1"/>
    <w:rsid w:val="00096B1B"/>
    <w:rsid w:val="00096CB2"/>
    <w:rsid w:val="0009737B"/>
    <w:rsid w:val="000976A4"/>
    <w:rsid w:val="00097B46"/>
    <w:rsid w:val="00097CA6"/>
    <w:rsid w:val="00097E17"/>
    <w:rsid w:val="00097F1E"/>
    <w:rsid w:val="000A00F8"/>
    <w:rsid w:val="000A01D1"/>
    <w:rsid w:val="000A0483"/>
    <w:rsid w:val="000A05CC"/>
    <w:rsid w:val="000A068F"/>
    <w:rsid w:val="000A0919"/>
    <w:rsid w:val="000A0ADD"/>
    <w:rsid w:val="000A0CB9"/>
    <w:rsid w:val="000A0D9E"/>
    <w:rsid w:val="000A0E1A"/>
    <w:rsid w:val="000A1192"/>
    <w:rsid w:val="000A1250"/>
    <w:rsid w:val="000A1339"/>
    <w:rsid w:val="000A14FF"/>
    <w:rsid w:val="000A15FC"/>
    <w:rsid w:val="000A1712"/>
    <w:rsid w:val="000A18AD"/>
    <w:rsid w:val="000A1A63"/>
    <w:rsid w:val="000A1CE2"/>
    <w:rsid w:val="000A1DA6"/>
    <w:rsid w:val="000A1E51"/>
    <w:rsid w:val="000A224F"/>
    <w:rsid w:val="000A22D5"/>
    <w:rsid w:val="000A23F9"/>
    <w:rsid w:val="000A2460"/>
    <w:rsid w:val="000A2796"/>
    <w:rsid w:val="000A28D0"/>
    <w:rsid w:val="000A2BA2"/>
    <w:rsid w:val="000A2C15"/>
    <w:rsid w:val="000A312D"/>
    <w:rsid w:val="000A33A7"/>
    <w:rsid w:val="000A33DB"/>
    <w:rsid w:val="000A3417"/>
    <w:rsid w:val="000A36DB"/>
    <w:rsid w:val="000A37F7"/>
    <w:rsid w:val="000A3AC5"/>
    <w:rsid w:val="000A4114"/>
    <w:rsid w:val="000A4276"/>
    <w:rsid w:val="000A42E5"/>
    <w:rsid w:val="000A49E9"/>
    <w:rsid w:val="000A4BCA"/>
    <w:rsid w:val="000A4D8B"/>
    <w:rsid w:val="000A4DF5"/>
    <w:rsid w:val="000A5299"/>
    <w:rsid w:val="000A57A7"/>
    <w:rsid w:val="000A5842"/>
    <w:rsid w:val="000A5878"/>
    <w:rsid w:val="000A58D0"/>
    <w:rsid w:val="000A6051"/>
    <w:rsid w:val="000A6265"/>
    <w:rsid w:val="000A66A6"/>
    <w:rsid w:val="000A68C0"/>
    <w:rsid w:val="000A6905"/>
    <w:rsid w:val="000A6923"/>
    <w:rsid w:val="000A6AB8"/>
    <w:rsid w:val="000A6AD8"/>
    <w:rsid w:val="000A6BC2"/>
    <w:rsid w:val="000A6C4B"/>
    <w:rsid w:val="000A6E89"/>
    <w:rsid w:val="000A72A1"/>
    <w:rsid w:val="000A7456"/>
    <w:rsid w:val="000A74F4"/>
    <w:rsid w:val="000A7710"/>
    <w:rsid w:val="000A784D"/>
    <w:rsid w:val="000A7A02"/>
    <w:rsid w:val="000A7A40"/>
    <w:rsid w:val="000A7BD5"/>
    <w:rsid w:val="000A7C36"/>
    <w:rsid w:val="000A7D3F"/>
    <w:rsid w:val="000B004A"/>
    <w:rsid w:val="000B01B0"/>
    <w:rsid w:val="000B0280"/>
    <w:rsid w:val="000B03BC"/>
    <w:rsid w:val="000B03CA"/>
    <w:rsid w:val="000B03CF"/>
    <w:rsid w:val="000B0436"/>
    <w:rsid w:val="000B0558"/>
    <w:rsid w:val="000B0573"/>
    <w:rsid w:val="000B0611"/>
    <w:rsid w:val="000B0759"/>
    <w:rsid w:val="000B08EE"/>
    <w:rsid w:val="000B0AE4"/>
    <w:rsid w:val="000B0EED"/>
    <w:rsid w:val="000B11AF"/>
    <w:rsid w:val="000B11B7"/>
    <w:rsid w:val="000B12A8"/>
    <w:rsid w:val="000B15C4"/>
    <w:rsid w:val="000B1778"/>
    <w:rsid w:val="000B1920"/>
    <w:rsid w:val="000B21DE"/>
    <w:rsid w:val="000B2531"/>
    <w:rsid w:val="000B272C"/>
    <w:rsid w:val="000B2755"/>
    <w:rsid w:val="000B27ED"/>
    <w:rsid w:val="000B2816"/>
    <w:rsid w:val="000B2A6A"/>
    <w:rsid w:val="000B2A86"/>
    <w:rsid w:val="000B2BC7"/>
    <w:rsid w:val="000B2C0C"/>
    <w:rsid w:val="000B2E62"/>
    <w:rsid w:val="000B2EE5"/>
    <w:rsid w:val="000B2F37"/>
    <w:rsid w:val="000B2F6D"/>
    <w:rsid w:val="000B3020"/>
    <w:rsid w:val="000B3110"/>
    <w:rsid w:val="000B31CF"/>
    <w:rsid w:val="000B352B"/>
    <w:rsid w:val="000B357B"/>
    <w:rsid w:val="000B3710"/>
    <w:rsid w:val="000B3D72"/>
    <w:rsid w:val="000B3EAF"/>
    <w:rsid w:val="000B3F12"/>
    <w:rsid w:val="000B4206"/>
    <w:rsid w:val="000B4451"/>
    <w:rsid w:val="000B4605"/>
    <w:rsid w:val="000B49A9"/>
    <w:rsid w:val="000B4C52"/>
    <w:rsid w:val="000B4E2C"/>
    <w:rsid w:val="000B4E83"/>
    <w:rsid w:val="000B4EE2"/>
    <w:rsid w:val="000B5284"/>
    <w:rsid w:val="000B53FD"/>
    <w:rsid w:val="000B545F"/>
    <w:rsid w:val="000B5583"/>
    <w:rsid w:val="000B55B1"/>
    <w:rsid w:val="000B5739"/>
    <w:rsid w:val="000B5A10"/>
    <w:rsid w:val="000B5B56"/>
    <w:rsid w:val="000B5F31"/>
    <w:rsid w:val="000B62FD"/>
    <w:rsid w:val="000B642E"/>
    <w:rsid w:val="000B6493"/>
    <w:rsid w:val="000B6501"/>
    <w:rsid w:val="000B6554"/>
    <w:rsid w:val="000B6AA8"/>
    <w:rsid w:val="000B6FA5"/>
    <w:rsid w:val="000B6FEC"/>
    <w:rsid w:val="000B70F9"/>
    <w:rsid w:val="000B713D"/>
    <w:rsid w:val="000B71D0"/>
    <w:rsid w:val="000B71EE"/>
    <w:rsid w:val="000B7212"/>
    <w:rsid w:val="000B730F"/>
    <w:rsid w:val="000B739E"/>
    <w:rsid w:val="000B753D"/>
    <w:rsid w:val="000B75F8"/>
    <w:rsid w:val="000B7D25"/>
    <w:rsid w:val="000B7E04"/>
    <w:rsid w:val="000B7E68"/>
    <w:rsid w:val="000B7EEE"/>
    <w:rsid w:val="000C0309"/>
    <w:rsid w:val="000C0327"/>
    <w:rsid w:val="000C0508"/>
    <w:rsid w:val="000C06EA"/>
    <w:rsid w:val="000C085E"/>
    <w:rsid w:val="000C0959"/>
    <w:rsid w:val="000C0982"/>
    <w:rsid w:val="000C0CD0"/>
    <w:rsid w:val="000C102C"/>
    <w:rsid w:val="000C1489"/>
    <w:rsid w:val="000C1814"/>
    <w:rsid w:val="000C1C80"/>
    <w:rsid w:val="000C2150"/>
    <w:rsid w:val="000C277C"/>
    <w:rsid w:val="000C27CD"/>
    <w:rsid w:val="000C2862"/>
    <w:rsid w:val="000C290C"/>
    <w:rsid w:val="000C2A1F"/>
    <w:rsid w:val="000C2BA4"/>
    <w:rsid w:val="000C2E0D"/>
    <w:rsid w:val="000C2FAE"/>
    <w:rsid w:val="000C30A9"/>
    <w:rsid w:val="000C32AC"/>
    <w:rsid w:val="000C34C3"/>
    <w:rsid w:val="000C3765"/>
    <w:rsid w:val="000C3910"/>
    <w:rsid w:val="000C39EF"/>
    <w:rsid w:val="000C3ABA"/>
    <w:rsid w:val="000C40A1"/>
    <w:rsid w:val="000C442E"/>
    <w:rsid w:val="000C468E"/>
    <w:rsid w:val="000C469A"/>
    <w:rsid w:val="000C46AB"/>
    <w:rsid w:val="000C47C2"/>
    <w:rsid w:val="000C4803"/>
    <w:rsid w:val="000C48B1"/>
    <w:rsid w:val="000C48DE"/>
    <w:rsid w:val="000C4BAF"/>
    <w:rsid w:val="000C4C26"/>
    <w:rsid w:val="000C4C47"/>
    <w:rsid w:val="000C5005"/>
    <w:rsid w:val="000C50C8"/>
    <w:rsid w:val="000C5350"/>
    <w:rsid w:val="000C5408"/>
    <w:rsid w:val="000C589A"/>
    <w:rsid w:val="000C5A92"/>
    <w:rsid w:val="000C5BD0"/>
    <w:rsid w:val="000C5C8D"/>
    <w:rsid w:val="000C5D15"/>
    <w:rsid w:val="000C63FF"/>
    <w:rsid w:val="000C65A2"/>
    <w:rsid w:val="000C66D7"/>
    <w:rsid w:val="000C6701"/>
    <w:rsid w:val="000C67B0"/>
    <w:rsid w:val="000C67D8"/>
    <w:rsid w:val="000C69B9"/>
    <w:rsid w:val="000C6C8A"/>
    <w:rsid w:val="000C6DA2"/>
    <w:rsid w:val="000C6F43"/>
    <w:rsid w:val="000C7081"/>
    <w:rsid w:val="000C7298"/>
    <w:rsid w:val="000C757F"/>
    <w:rsid w:val="000C790A"/>
    <w:rsid w:val="000C7B86"/>
    <w:rsid w:val="000C7BDE"/>
    <w:rsid w:val="000C7D8F"/>
    <w:rsid w:val="000C7E11"/>
    <w:rsid w:val="000C7E24"/>
    <w:rsid w:val="000D02AF"/>
    <w:rsid w:val="000D02E1"/>
    <w:rsid w:val="000D04F0"/>
    <w:rsid w:val="000D05F5"/>
    <w:rsid w:val="000D0AA6"/>
    <w:rsid w:val="000D0E3B"/>
    <w:rsid w:val="000D0FA3"/>
    <w:rsid w:val="000D111F"/>
    <w:rsid w:val="000D11BC"/>
    <w:rsid w:val="000D159A"/>
    <w:rsid w:val="000D15A7"/>
    <w:rsid w:val="000D15CA"/>
    <w:rsid w:val="000D18FA"/>
    <w:rsid w:val="000D1A9F"/>
    <w:rsid w:val="000D1D45"/>
    <w:rsid w:val="000D1E4C"/>
    <w:rsid w:val="000D2471"/>
    <w:rsid w:val="000D2491"/>
    <w:rsid w:val="000D25C5"/>
    <w:rsid w:val="000D26EB"/>
    <w:rsid w:val="000D2845"/>
    <w:rsid w:val="000D28DC"/>
    <w:rsid w:val="000D296F"/>
    <w:rsid w:val="000D2A21"/>
    <w:rsid w:val="000D2A87"/>
    <w:rsid w:val="000D2BA4"/>
    <w:rsid w:val="000D2ECA"/>
    <w:rsid w:val="000D2F6D"/>
    <w:rsid w:val="000D324F"/>
    <w:rsid w:val="000D33B6"/>
    <w:rsid w:val="000D34B5"/>
    <w:rsid w:val="000D34C1"/>
    <w:rsid w:val="000D34D2"/>
    <w:rsid w:val="000D3704"/>
    <w:rsid w:val="000D3984"/>
    <w:rsid w:val="000D3CC3"/>
    <w:rsid w:val="000D3DA7"/>
    <w:rsid w:val="000D404D"/>
    <w:rsid w:val="000D40C1"/>
    <w:rsid w:val="000D42AA"/>
    <w:rsid w:val="000D42FA"/>
    <w:rsid w:val="000D4507"/>
    <w:rsid w:val="000D456E"/>
    <w:rsid w:val="000D46EE"/>
    <w:rsid w:val="000D47C7"/>
    <w:rsid w:val="000D48D0"/>
    <w:rsid w:val="000D48E3"/>
    <w:rsid w:val="000D4A78"/>
    <w:rsid w:val="000D4CD0"/>
    <w:rsid w:val="000D4E10"/>
    <w:rsid w:val="000D4E26"/>
    <w:rsid w:val="000D4E50"/>
    <w:rsid w:val="000D5074"/>
    <w:rsid w:val="000D50B1"/>
    <w:rsid w:val="000D58F4"/>
    <w:rsid w:val="000D58FD"/>
    <w:rsid w:val="000D5907"/>
    <w:rsid w:val="000D5AA5"/>
    <w:rsid w:val="000D5EE9"/>
    <w:rsid w:val="000D6213"/>
    <w:rsid w:val="000D6262"/>
    <w:rsid w:val="000D683A"/>
    <w:rsid w:val="000D6A6C"/>
    <w:rsid w:val="000D6C1F"/>
    <w:rsid w:val="000D6EA8"/>
    <w:rsid w:val="000D70C1"/>
    <w:rsid w:val="000D711A"/>
    <w:rsid w:val="000D717B"/>
    <w:rsid w:val="000D72D3"/>
    <w:rsid w:val="000D7B10"/>
    <w:rsid w:val="000D7C2C"/>
    <w:rsid w:val="000D7DC4"/>
    <w:rsid w:val="000D7F9F"/>
    <w:rsid w:val="000D7FCC"/>
    <w:rsid w:val="000E001F"/>
    <w:rsid w:val="000E0804"/>
    <w:rsid w:val="000E09A2"/>
    <w:rsid w:val="000E0B28"/>
    <w:rsid w:val="000E0CF9"/>
    <w:rsid w:val="000E0E1F"/>
    <w:rsid w:val="000E0FDC"/>
    <w:rsid w:val="000E1375"/>
    <w:rsid w:val="000E1458"/>
    <w:rsid w:val="000E1460"/>
    <w:rsid w:val="000E1583"/>
    <w:rsid w:val="000E170E"/>
    <w:rsid w:val="000E1D5D"/>
    <w:rsid w:val="000E1E64"/>
    <w:rsid w:val="000E1ED6"/>
    <w:rsid w:val="000E202B"/>
    <w:rsid w:val="000E204C"/>
    <w:rsid w:val="000E20F0"/>
    <w:rsid w:val="000E20F3"/>
    <w:rsid w:val="000E2122"/>
    <w:rsid w:val="000E251B"/>
    <w:rsid w:val="000E2641"/>
    <w:rsid w:val="000E2715"/>
    <w:rsid w:val="000E283A"/>
    <w:rsid w:val="000E2A66"/>
    <w:rsid w:val="000E2B84"/>
    <w:rsid w:val="000E2C9F"/>
    <w:rsid w:val="000E2CD2"/>
    <w:rsid w:val="000E2E58"/>
    <w:rsid w:val="000E2F4C"/>
    <w:rsid w:val="000E2FAE"/>
    <w:rsid w:val="000E315E"/>
    <w:rsid w:val="000E316F"/>
    <w:rsid w:val="000E3208"/>
    <w:rsid w:val="000E32BA"/>
    <w:rsid w:val="000E33A3"/>
    <w:rsid w:val="000E3500"/>
    <w:rsid w:val="000E454C"/>
    <w:rsid w:val="000E4947"/>
    <w:rsid w:val="000E497F"/>
    <w:rsid w:val="000E4E79"/>
    <w:rsid w:val="000E500F"/>
    <w:rsid w:val="000E5080"/>
    <w:rsid w:val="000E528F"/>
    <w:rsid w:val="000E58F6"/>
    <w:rsid w:val="000E5D68"/>
    <w:rsid w:val="000E5E09"/>
    <w:rsid w:val="000E5EBB"/>
    <w:rsid w:val="000E5F23"/>
    <w:rsid w:val="000E5F4C"/>
    <w:rsid w:val="000E5FDC"/>
    <w:rsid w:val="000E628F"/>
    <w:rsid w:val="000E6361"/>
    <w:rsid w:val="000E663A"/>
    <w:rsid w:val="000E667F"/>
    <w:rsid w:val="000E684B"/>
    <w:rsid w:val="000E69A3"/>
    <w:rsid w:val="000E6A52"/>
    <w:rsid w:val="000E6AF0"/>
    <w:rsid w:val="000E6CCB"/>
    <w:rsid w:val="000E70D3"/>
    <w:rsid w:val="000E7116"/>
    <w:rsid w:val="000E7237"/>
    <w:rsid w:val="000E737E"/>
    <w:rsid w:val="000E7622"/>
    <w:rsid w:val="000E7725"/>
    <w:rsid w:val="000E78D5"/>
    <w:rsid w:val="000E7B41"/>
    <w:rsid w:val="000E7C47"/>
    <w:rsid w:val="000E7EE0"/>
    <w:rsid w:val="000F019E"/>
    <w:rsid w:val="000F02A5"/>
    <w:rsid w:val="000F02BC"/>
    <w:rsid w:val="000F0600"/>
    <w:rsid w:val="000F087D"/>
    <w:rsid w:val="000F0B68"/>
    <w:rsid w:val="000F0F58"/>
    <w:rsid w:val="000F1194"/>
    <w:rsid w:val="000F14ED"/>
    <w:rsid w:val="000F1783"/>
    <w:rsid w:val="000F1912"/>
    <w:rsid w:val="000F1BA0"/>
    <w:rsid w:val="000F22CF"/>
    <w:rsid w:val="000F25B6"/>
    <w:rsid w:val="000F2729"/>
    <w:rsid w:val="000F2B83"/>
    <w:rsid w:val="000F2CEE"/>
    <w:rsid w:val="000F3035"/>
    <w:rsid w:val="000F353D"/>
    <w:rsid w:val="000F3761"/>
    <w:rsid w:val="000F38C2"/>
    <w:rsid w:val="000F390F"/>
    <w:rsid w:val="000F39ED"/>
    <w:rsid w:val="000F3A8E"/>
    <w:rsid w:val="000F3DC6"/>
    <w:rsid w:val="000F3F4C"/>
    <w:rsid w:val="000F45FD"/>
    <w:rsid w:val="000F4941"/>
    <w:rsid w:val="000F4B2D"/>
    <w:rsid w:val="000F4F84"/>
    <w:rsid w:val="000F4F9A"/>
    <w:rsid w:val="000F50AA"/>
    <w:rsid w:val="000F5312"/>
    <w:rsid w:val="000F533B"/>
    <w:rsid w:val="000F5458"/>
    <w:rsid w:val="000F561B"/>
    <w:rsid w:val="000F5A75"/>
    <w:rsid w:val="000F5C2D"/>
    <w:rsid w:val="000F5D5D"/>
    <w:rsid w:val="000F609B"/>
    <w:rsid w:val="000F6571"/>
    <w:rsid w:val="000F6766"/>
    <w:rsid w:val="000F68E9"/>
    <w:rsid w:val="000F695F"/>
    <w:rsid w:val="000F6A38"/>
    <w:rsid w:val="000F6BD0"/>
    <w:rsid w:val="000F6E4E"/>
    <w:rsid w:val="000F71CB"/>
    <w:rsid w:val="000F72A2"/>
    <w:rsid w:val="000F74FB"/>
    <w:rsid w:val="000F76EC"/>
    <w:rsid w:val="000F76F5"/>
    <w:rsid w:val="000F7743"/>
    <w:rsid w:val="000F779B"/>
    <w:rsid w:val="000F77D9"/>
    <w:rsid w:val="000F77E7"/>
    <w:rsid w:val="000F7876"/>
    <w:rsid w:val="000F7BBA"/>
    <w:rsid w:val="000F7BBB"/>
    <w:rsid w:val="000F7C80"/>
    <w:rsid w:val="000F7F79"/>
    <w:rsid w:val="000F7F99"/>
    <w:rsid w:val="00100190"/>
    <w:rsid w:val="001004CD"/>
    <w:rsid w:val="00100550"/>
    <w:rsid w:val="00100603"/>
    <w:rsid w:val="001008D0"/>
    <w:rsid w:val="00100AC2"/>
    <w:rsid w:val="00100BC4"/>
    <w:rsid w:val="00100F7A"/>
    <w:rsid w:val="0010106F"/>
    <w:rsid w:val="0010122E"/>
    <w:rsid w:val="0010134F"/>
    <w:rsid w:val="00101592"/>
    <w:rsid w:val="001016BE"/>
    <w:rsid w:val="001017E2"/>
    <w:rsid w:val="00101856"/>
    <w:rsid w:val="00101BD5"/>
    <w:rsid w:val="00101CF1"/>
    <w:rsid w:val="00101E26"/>
    <w:rsid w:val="00102066"/>
    <w:rsid w:val="00102228"/>
    <w:rsid w:val="0010227D"/>
    <w:rsid w:val="001023EF"/>
    <w:rsid w:val="0010244E"/>
    <w:rsid w:val="00102B16"/>
    <w:rsid w:val="00102C79"/>
    <w:rsid w:val="00102ECE"/>
    <w:rsid w:val="001032FE"/>
    <w:rsid w:val="001033B5"/>
    <w:rsid w:val="0010348D"/>
    <w:rsid w:val="0010353D"/>
    <w:rsid w:val="00103571"/>
    <w:rsid w:val="001036D3"/>
    <w:rsid w:val="0010372D"/>
    <w:rsid w:val="0010383B"/>
    <w:rsid w:val="0010392B"/>
    <w:rsid w:val="0010399B"/>
    <w:rsid w:val="00103A05"/>
    <w:rsid w:val="00103A38"/>
    <w:rsid w:val="00103AC9"/>
    <w:rsid w:val="00103CC4"/>
    <w:rsid w:val="00103CE6"/>
    <w:rsid w:val="00103D50"/>
    <w:rsid w:val="001040D2"/>
    <w:rsid w:val="00104455"/>
    <w:rsid w:val="0010471B"/>
    <w:rsid w:val="001049B5"/>
    <w:rsid w:val="00104A26"/>
    <w:rsid w:val="00104B40"/>
    <w:rsid w:val="00104B70"/>
    <w:rsid w:val="00104C17"/>
    <w:rsid w:val="00104C2E"/>
    <w:rsid w:val="00104CCA"/>
    <w:rsid w:val="001050BE"/>
    <w:rsid w:val="001051C6"/>
    <w:rsid w:val="00105270"/>
    <w:rsid w:val="00105597"/>
    <w:rsid w:val="001057D8"/>
    <w:rsid w:val="00105867"/>
    <w:rsid w:val="001058F6"/>
    <w:rsid w:val="0010595B"/>
    <w:rsid w:val="00105BC3"/>
    <w:rsid w:val="00105E5D"/>
    <w:rsid w:val="001065E7"/>
    <w:rsid w:val="00106934"/>
    <w:rsid w:val="001069B9"/>
    <w:rsid w:val="001069FD"/>
    <w:rsid w:val="00106D19"/>
    <w:rsid w:val="00106DBB"/>
    <w:rsid w:val="00106DFD"/>
    <w:rsid w:val="00106F15"/>
    <w:rsid w:val="00106FE3"/>
    <w:rsid w:val="001070C3"/>
    <w:rsid w:val="001071C5"/>
    <w:rsid w:val="0010750F"/>
    <w:rsid w:val="00107741"/>
    <w:rsid w:val="00107FDD"/>
    <w:rsid w:val="0011004F"/>
    <w:rsid w:val="001100AF"/>
    <w:rsid w:val="0011031A"/>
    <w:rsid w:val="001104BE"/>
    <w:rsid w:val="001104F5"/>
    <w:rsid w:val="00110575"/>
    <w:rsid w:val="00110643"/>
    <w:rsid w:val="00110BB7"/>
    <w:rsid w:val="00110E0F"/>
    <w:rsid w:val="00110ED3"/>
    <w:rsid w:val="001113EA"/>
    <w:rsid w:val="001115BE"/>
    <w:rsid w:val="00111617"/>
    <w:rsid w:val="0011162D"/>
    <w:rsid w:val="00111751"/>
    <w:rsid w:val="0011185A"/>
    <w:rsid w:val="00111A92"/>
    <w:rsid w:val="00111BF9"/>
    <w:rsid w:val="00111C1C"/>
    <w:rsid w:val="00111D4C"/>
    <w:rsid w:val="00111D67"/>
    <w:rsid w:val="001120A0"/>
    <w:rsid w:val="00112253"/>
    <w:rsid w:val="001123F0"/>
    <w:rsid w:val="00112416"/>
    <w:rsid w:val="00112624"/>
    <w:rsid w:val="00112663"/>
    <w:rsid w:val="00112748"/>
    <w:rsid w:val="00112877"/>
    <w:rsid w:val="0011291D"/>
    <w:rsid w:val="00112AD9"/>
    <w:rsid w:val="00112C64"/>
    <w:rsid w:val="00112D39"/>
    <w:rsid w:val="00112D3A"/>
    <w:rsid w:val="00112E5E"/>
    <w:rsid w:val="00112FAD"/>
    <w:rsid w:val="00113242"/>
    <w:rsid w:val="001132AF"/>
    <w:rsid w:val="0011331B"/>
    <w:rsid w:val="001133F2"/>
    <w:rsid w:val="00113439"/>
    <w:rsid w:val="001134E4"/>
    <w:rsid w:val="00113BC4"/>
    <w:rsid w:val="00113DE0"/>
    <w:rsid w:val="001140A5"/>
    <w:rsid w:val="00114220"/>
    <w:rsid w:val="00114510"/>
    <w:rsid w:val="0011495A"/>
    <w:rsid w:val="00114D98"/>
    <w:rsid w:val="00114DAF"/>
    <w:rsid w:val="00114DDF"/>
    <w:rsid w:val="001151B2"/>
    <w:rsid w:val="00115488"/>
    <w:rsid w:val="00115719"/>
    <w:rsid w:val="00115899"/>
    <w:rsid w:val="00115926"/>
    <w:rsid w:val="00115A35"/>
    <w:rsid w:val="00115BB5"/>
    <w:rsid w:val="001161B6"/>
    <w:rsid w:val="001161D5"/>
    <w:rsid w:val="0011645F"/>
    <w:rsid w:val="001165D9"/>
    <w:rsid w:val="00116619"/>
    <w:rsid w:val="0011661E"/>
    <w:rsid w:val="00116675"/>
    <w:rsid w:val="00116690"/>
    <w:rsid w:val="00116721"/>
    <w:rsid w:val="0011683F"/>
    <w:rsid w:val="001169AD"/>
    <w:rsid w:val="00116AB4"/>
    <w:rsid w:val="001170C1"/>
    <w:rsid w:val="001171EF"/>
    <w:rsid w:val="00117252"/>
    <w:rsid w:val="00117321"/>
    <w:rsid w:val="001177E9"/>
    <w:rsid w:val="00117863"/>
    <w:rsid w:val="00117871"/>
    <w:rsid w:val="00117A09"/>
    <w:rsid w:val="00117AF5"/>
    <w:rsid w:val="00117C62"/>
    <w:rsid w:val="00117EB9"/>
    <w:rsid w:val="00117FB0"/>
    <w:rsid w:val="001200DD"/>
    <w:rsid w:val="001205DF"/>
    <w:rsid w:val="001205EC"/>
    <w:rsid w:val="00120762"/>
    <w:rsid w:val="00120B5C"/>
    <w:rsid w:val="00120CED"/>
    <w:rsid w:val="00121327"/>
    <w:rsid w:val="00121860"/>
    <w:rsid w:val="00121A4B"/>
    <w:rsid w:val="00121CF6"/>
    <w:rsid w:val="00121F85"/>
    <w:rsid w:val="00122114"/>
    <w:rsid w:val="00122219"/>
    <w:rsid w:val="001222B0"/>
    <w:rsid w:val="001223C4"/>
    <w:rsid w:val="00122B87"/>
    <w:rsid w:val="00122C99"/>
    <w:rsid w:val="00122CF9"/>
    <w:rsid w:val="00123241"/>
    <w:rsid w:val="0012376B"/>
    <w:rsid w:val="0012397C"/>
    <w:rsid w:val="00123D45"/>
    <w:rsid w:val="00124012"/>
    <w:rsid w:val="00124378"/>
    <w:rsid w:val="0012494A"/>
    <w:rsid w:val="00124CFB"/>
    <w:rsid w:val="00125168"/>
    <w:rsid w:val="001252B0"/>
    <w:rsid w:val="001252B3"/>
    <w:rsid w:val="0012555B"/>
    <w:rsid w:val="001255EA"/>
    <w:rsid w:val="001256BC"/>
    <w:rsid w:val="0012580F"/>
    <w:rsid w:val="00125997"/>
    <w:rsid w:val="0012599A"/>
    <w:rsid w:val="001259FD"/>
    <w:rsid w:val="00125A54"/>
    <w:rsid w:val="00125CF4"/>
    <w:rsid w:val="00125D17"/>
    <w:rsid w:val="00125E51"/>
    <w:rsid w:val="001260D6"/>
    <w:rsid w:val="00126468"/>
    <w:rsid w:val="001267FB"/>
    <w:rsid w:val="00126819"/>
    <w:rsid w:val="00126A15"/>
    <w:rsid w:val="00126E41"/>
    <w:rsid w:val="00126E43"/>
    <w:rsid w:val="001272DA"/>
    <w:rsid w:val="001273D6"/>
    <w:rsid w:val="001273EA"/>
    <w:rsid w:val="0012747D"/>
    <w:rsid w:val="0012751F"/>
    <w:rsid w:val="001275DF"/>
    <w:rsid w:val="00127653"/>
    <w:rsid w:val="00127717"/>
    <w:rsid w:val="00127AEC"/>
    <w:rsid w:val="00127CE5"/>
    <w:rsid w:val="00127D9E"/>
    <w:rsid w:val="00127EA1"/>
    <w:rsid w:val="00130283"/>
    <w:rsid w:val="0013049E"/>
    <w:rsid w:val="0013056A"/>
    <w:rsid w:val="00130600"/>
    <w:rsid w:val="00130E91"/>
    <w:rsid w:val="00131274"/>
    <w:rsid w:val="00131601"/>
    <w:rsid w:val="001316C1"/>
    <w:rsid w:val="00131984"/>
    <w:rsid w:val="00131AFB"/>
    <w:rsid w:val="00131C27"/>
    <w:rsid w:val="00131E1F"/>
    <w:rsid w:val="00131E67"/>
    <w:rsid w:val="00132640"/>
    <w:rsid w:val="00132721"/>
    <w:rsid w:val="00132795"/>
    <w:rsid w:val="00132934"/>
    <w:rsid w:val="00132A59"/>
    <w:rsid w:val="00132C21"/>
    <w:rsid w:val="00132D27"/>
    <w:rsid w:val="00132EE9"/>
    <w:rsid w:val="00133126"/>
    <w:rsid w:val="001332F7"/>
    <w:rsid w:val="001335E6"/>
    <w:rsid w:val="001336B7"/>
    <w:rsid w:val="00133C51"/>
    <w:rsid w:val="00133EB9"/>
    <w:rsid w:val="00133ECC"/>
    <w:rsid w:val="00133F68"/>
    <w:rsid w:val="00134352"/>
    <w:rsid w:val="001347D8"/>
    <w:rsid w:val="001348EB"/>
    <w:rsid w:val="00134AD7"/>
    <w:rsid w:val="00134F24"/>
    <w:rsid w:val="00135369"/>
    <w:rsid w:val="0013543D"/>
    <w:rsid w:val="00135ED8"/>
    <w:rsid w:val="00135EFD"/>
    <w:rsid w:val="001361BB"/>
    <w:rsid w:val="0013663D"/>
    <w:rsid w:val="0013691B"/>
    <w:rsid w:val="001369D0"/>
    <w:rsid w:val="00137374"/>
    <w:rsid w:val="001374B1"/>
    <w:rsid w:val="0013752F"/>
    <w:rsid w:val="0013765F"/>
    <w:rsid w:val="00137786"/>
    <w:rsid w:val="001377CB"/>
    <w:rsid w:val="0013783B"/>
    <w:rsid w:val="0013791C"/>
    <w:rsid w:val="00137924"/>
    <w:rsid w:val="0013798B"/>
    <w:rsid w:val="00137AAC"/>
    <w:rsid w:val="00137C31"/>
    <w:rsid w:val="00137ECF"/>
    <w:rsid w:val="00137F4F"/>
    <w:rsid w:val="00140042"/>
    <w:rsid w:val="001400B1"/>
    <w:rsid w:val="00140277"/>
    <w:rsid w:val="00140352"/>
    <w:rsid w:val="001404B3"/>
    <w:rsid w:val="0014056D"/>
    <w:rsid w:val="00140622"/>
    <w:rsid w:val="0014068C"/>
    <w:rsid w:val="00140712"/>
    <w:rsid w:val="001407A2"/>
    <w:rsid w:val="00140803"/>
    <w:rsid w:val="00140E1D"/>
    <w:rsid w:val="00140EA7"/>
    <w:rsid w:val="0014100C"/>
    <w:rsid w:val="001413F3"/>
    <w:rsid w:val="00141620"/>
    <w:rsid w:val="0014188A"/>
    <w:rsid w:val="00141C56"/>
    <w:rsid w:val="00142219"/>
    <w:rsid w:val="0014251D"/>
    <w:rsid w:val="00142520"/>
    <w:rsid w:val="0014253A"/>
    <w:rsid w:val="00142B81"/>
    <w:rsid w:val="0014335D"/>
    <w:rsid w:val="001435A9"/>
    <w:rsid w:val="001435BE"/>
    <w:rsid w:val="001437B0"/>
    <w:rsid w:val="0014401D"/>
    <w:rsid w:val="00144319"/>
    <w:rsid w:val="0014440C"/>
    <w:rsid w:val="001445B3"/>
    <w:rsid w:val="001447FB"/>
    <w:rsid w:val="00144975"/>
    <w:rsid w:val="00144C04"/>
    <w:rsid w:val="00144FAA"/>
    <w:rsid w:val="0014531C"/>
    <w:rsid w:val="00145357"/>
    <w:rsid w:val="00145784"/>
    <w:rsid w:val="001460D8"/>
    <w:rsid w:val="00146143"/>
    <w:rsid w:val="001465A6"/>
    <w:rsid w:val="00146628"/>
    <w:rsid w:val="001466A4"/>
    <w:rsid w:val="00146943"/>
    <w:rsid w:val="00146991"/>
    <w:rsid w:val="001469D7"/>
    <w:rsid w:val="00146CD1"/>
    <w:rsid w:val="00146FD4"/>
    <w:rsid w:val="00147281"/>
    <w:rsid w:val="001474EC"/>
    <w:rsid w:val="001474F1"/>
    <w:rsid w:val="0014768B"/>
    <w:rsid w:val="00147C08"/>
    <w:rsid w:val="00147FD4"/>
    <w:rsid w:val="00150205"/>
    <w:rsid w:val="00150261"/>
    <w:rsid w:val="0015064C"/>
    <w:rsid w:val="00150757"/>
    <w:rsid w:val="00150A4F"/>
    <w:rsid w:val="00150AEB"/>
    <w:rsid w:val="00150C73"/>
    <w:rsid w:val="00150E6A"/>
    <w:rsid w:val="001510EB"/>
    <w:rsid w:val="00151360"/>
    <w:rsid w:val="00151495"/>
    <w:rsid w:val="001514E3"/>
    <w:rsid w:val="00151571"/>
    <w:rsid w:val="00151606"/>
    <w:rsid w:val="001519A4"/>
    <w:rsid w:val="00151AF0"/>
    <w:rsid w:val="00151C41"/>
    <w:rsid w:val="00151C7B"/>
    <w:rsid w:val="00151FCE"/>
    <w:rsid w:val="00152068"/>
    <w:rsid w:val="00152090"/>
    <w:rsid w:val="001521BD"/>
    <w:rsid w:val="0015243F"/>
    <w:rsid w:val="00152A65"/>
    <w:rsid w:val="00152E4D"/>
    <w:rsid w:val="00152EC5"/>
    <w:rsid w:val="00153782"/>
    <w:rsid w:val="00153A34"/>
    <w:rsid w:val="00153A78"/>
    <w:rsid w:val="00153AA1"/>
    <w:rsid w:val="00153AB0"/>
    <w:rsid w:val="00153BFF"/>
    <w:rsid w:val="00153C30"/>
    <w:rsid w:val="001541DE"/>
    <w:rsid w:val="001542D4"/>
    <w:rsid w:val="001544EA"/>
    <w:rsid w:val="001546AE"/>
    <w:rsid w:val="00154742"/>
    <w:rsid w:val="00154794"/>
    <w:rsid w:val="00154823"/>
    <w:rsid w:val="00154B95"/>
    <w:rsid w:val="00154D0D"/>
    <w:rsid w:val="00155080"/>
    <w:rsid w:val="00155106"/>
    <w:rsid w:val="001552D4"/>
    <w:rsid w:val="001553A9"/>
    <w:rsid w:val="001555EA"/>
    <w:rsid w:val="001557A9"/>
    <w:rsid w:val="00155825"/>
    <w:rsid w:val="00155C5E"/>
    <w:rsid w:val="00155F32"/>
    <w:rsid w:val="0015606A"/>
    <w:rsid w:val="001560C6"/>
    <w:rsid w:val="00156561"/>
    <w:rsid w:val="0015665A"/>
    <w:rsid w:val="00156DD7"/>
    <w:rsid w:val="00156F23"/>
    <w:rsid w:val="001570DB"/>
    <w:rsid w:val="00157332"/>
    <w:rsid w:val="001573AA"/>
    <w:rsid w:val="001573D9"/>
    <w:rsid w:val="00157425"/>
    <w:rsid w:val="00157493"/>
    <w:rsid w:val="0015764C"/>
    <w:rsid w:val="00157D40"/>
    <w:rsid w:val="001600E3"/>
    <w:rsid w:val="00160383"/>
    <w:rsid w:val="0016047D"/>
    <w:rsid w:val="00160556"/>
    <w:rsid w:val="00160714"/>
    <w:rsid w:val="0016073D"/>
    <w:rsid w:val="0016096D"/>
    <w:rsid w:val="00160981"/>
    <w:rsid w:val="00160AA7"/>
    <w:rsid w:val="00160BD4"/>
    <w:rsid w:val="00160C3F"/>
    <w:rsid w:val="00160DBE"/>
    <w:rsid w:val="00160E0C"/>
    <w:rsid w:val="00160F89"/>
    <w:rsid w:val="00160FB1"/>
    <w:rsid w:val="00161210"/>
    <w:rsid w:val="0016144C"/>
    <w:rsid w:val="001618EA"/>
    <w:rsid w:val="00161945"/>
    <w:rsid w:val="00161951"/>
    <w:rsid w:val="001619E1"/>
    <w:rsid w:val="00161B99"/>
    <w:rsid w:val="00161DAA"/>
    <w:rsid w:val="00161F3A"/>
    <w:rsid w:val="001624C6"/>
    <w:rsid w:val="0016291F"/>
    <w:rsid w:val="001629A1"/>
    <w:rsid w:val="00162AC2"/>
    <w:rsid w:val="00162B95"/>
    <w:rsid w:val="00162C2A"/>
    <w:rsid w:val="00162D28"/>
    <w:rsid w:val="00162DA7"/>
    <w:rsid w:val="00162FF7"/>
    <w:rsid w:val="001632BF"/>
    <w:rsid w:val="001635DB"/>
    <w:rsid w:val="00163A00"/>
    <w:rsid w:val="00163A0F"/>
    <w:rsid w:val="00163A92"/>
    <w:rsid w:val="00163ADF"/>
    <w:rsid w:val="001646A3"/>
    <w:rsid w:val="00164840"/>
    <w:rsid w:val="0016492F"/>
    <w:rsid w:val="00164934"/>
    <w:rsid w:val="001649F1"/>
    <w:rsid w:val="00164B38"/>
    <w:rsid w:val="00164BFC"/>
    <w:rsid w:val="00164D96"/>
    <w:rsid w:val="00164F70"/>
    <w:rsid w:val="00164FDA"/>
    <w:rsid w:val="00165306"/>
    <w:rsid w:val="001654AE"/>
    <w:rsid w:val="001656D5"/>
    <w:rsid w:val="001658DC"/>
    <w:rsid w:val="001658EA"/>
    <w:rsid w:val="001658FB"/>
    <w:rsid w:val="00165B08"/>
    <w:rsid w:val="00165D75"/>
    <w:rsid w:val="00165E76"/>
    <w:rsid w:val="00165ED0"/>
    <w:rsid w:val="00166350"/>
    <w:rsid w:val="001664B7"/>
    <w:rsid w:val="001665C6"/>
    <w:rsid w:val="00166978"/>
    <w:rsid w:val="00166AA1"/>
    <w:rsid w:val="00166D72"/>
    <w:rsid w:val="00166E34"/>
    <w:rsid w:val="001670CB"/>
    <w:rsid w:val="00167210"/>
    <w:rsid w:val="0016731B"/>
    <w:rsid w:val="00167431"/>
    <w:rsid w:val="001674DC"/>
    <w:rsid w:val="00167973"/>
    <w:rsid w:val="00167CC5"/>
    <w:rsid w:val="00167F3B"/>
    <w:rsid w:val="00170311"/>
    <w:rsid w:val="00170339"/>
    <w:rsid w:val="00170569"/>
    <w:rsid w:val="00170719"/>
    <w:rsid w:val="00170BD6"/>
    <w:rsid w:val="00170EFE"/>
    <w:rsid w:val="00171737"/>
    <w:rsid w:val="00171A4E"/>
    <w:rsid w:val="00171A6B"/>
    <w:rsid w:val="00171BD8"/>
    <w:rsid w:val="00171C9D"/>
    <w:rsid w:val="00171DB1"/>
    <w:rsid w:val="001723F4"/>
    <w:rsid w:val="001724FA"/>
    <w:rsid w:val="00172536"/>
    <w:rsid w:val="00172693"/>
    <w:rsid w:val="00172868"/>
    <w:rsid w:val="00172A42"/>
    <w:rsid w:val="00172D63"/>
    <w:rsid w:val="00173442"/>
    <w:rsid w:val="00173867"/>
    <w:rsid w:val="00173886"/>
    <w:rsid w:val="001738D1"/>
    <w:rsid w:val="0017397E"/>
    <w:rsid w:val="001739C0"/>
    <w:rsid w:val="001739EF"/>
    <w:rsid w:val="00173A5E"/>
    <w:rsid w:val="00173E66"/>
    <w:rsid w:val="00173ECD"/>
    <w:rsid w:val="00173F56"/>
    <w:rsid w:val="00174090"/>
    <w:rsid w:val="0017434A"/>
    <w:rsid w:val="0017440B"/>
    <w:rsid w:val="00174696"/>
    <w:rsid w:val="0017487F"/>
    <w:rsid w:val="00174908"/>
    <w:rsid w:val="00174971"/>
    <w:rsid w:val="00174B42"/>
    <w:rsid w:val="00174D63"/>
    <w:rsid w:val="00174E72"/>
    <w:rsid w:val="00175229"/>
    <w:rsid w:val="00175369"/>
    <w:rsid w:val="001753A9"/>
    <w:rsid w:val="00175734"/>
    <w:rsid w:val="00175D8D"/>
    <w:rsid w:val="00176047"/>
    <w:rsid w:val="001761E1"/>
    <w:rsid w:val="001766EE"/>
    <w:rsid w:val="00176709"/>
    <w:rsid w:val="0017691C"/>
    <w:rsid w:val="00176A2E"/>
    <w:rsid w:val="00176AA8"/>
    <w:rsid w:val="00176CA5"/>
    <w:rsid w:val="00176DCB"/>
    <w:rsid w:val="00176E7F"/>
    <w:rsid w:val="00176EFB"/>
    <w:rsid w:val="00177328"/>
    <w:rsid w:val="00177474"/>
    <w:rsid w:val="00177622"/>
    <w:rsid w:val="001776C8"/>
    <w:rsid w:val="00177882"/>
    <w:rsid w:val="00177946"/>
    <w:rsid w:val="00177960"/>
    <w:rsid w:val="00177C72"/>
    <w:rsid w:val="00177DF0"/>
    <w:rsid w:val="00177E9A"/>
    <w:rsid w:val="00177F15"/>
    <w:rsid w:val="00180516"/>
    <w:rsid w:val="00180DBC"/>
    <w:rsid w:val="00180E07"/>
    <w:rsid w:val="00180ED0"/>
    <w:rsid w:val="00180F92"/>
    <w:rsid w:val="00181035"/>
    <w:rsid w:val="00181113"/>
    <w:rsid w:val="0018113A"/>
    <w:rsid w:val="00181618"/>
    <w:rsid w:val="00181929"/>
    <w:rsid w:val="00181B8D"/>
    <w:rsid w:val="00181C5D"/>
    <w:rsid w:val="00181DAD"/>
    <w:rsid w:val="00182197"/>
    <w:rsid w:val="00182289"/>
    <w:rsid w:val="0018263D"/>
    <w:rsid w:val="001826D7"/>
    <w:rsid w:val="00182755"/>
    <w:rsid w:val="0018297B"/>
    <w:rsid w:val="00182C89"/>
    <w:rsid w:val="00182E25"/>
    <w:rsid w:val="00182EA5"/>
    <w:rsid w:val="0018326B"/>
    <w:rsid w:val="001832AE"/>
    <w:rsid w:val="001832E5"/>
    <w:rsid w:val="00183406"/>
    <w:rsid w:val="00183414"/>
    <w:rsid w:val="0018347D"/>
    <w:rsid w:val="0018349E"/>
    <w:rsid w:val="00183590"/>
    <w:rsid w:val="00183781"/>
    <w:rsid w:val="0018392E"/>
    <w:rsid w:val="00183D23"/>
    <w:rsid w:val="00183E90"/>
    <w:rsid w:val="00183E92"/>
    <w:rsid w:val="001841E8"/>
    <w:rsid w:val="00184270"/>
    <w:rsid w:val="0018429A"/>
    <w:rsid w:val="001843E8"/>
    <w:rsid w:val="001844DF"/>
    <w:rsid w:val="001844E1"/>
    <w:rsid w:val="00184665"/>
    <w:rsid w:val="00184CDA"/>
    <w:rsid w:val="00184D34"/>
    <w:rsid w:val="00184E0E"/>
    <w:rsid w:val="00185055"/>
    <w:rsid w:val="0018509C"/>
    <w:rsid w:val="001850D0"/>
    <w:rsid w:val="001852D8"/>
    <w:rsid w:val="00185365"/>
    <w:rsid w:val="00185528"/>
    <w:rsid w:val="00185728"/>
    <w:rsid w:val="001857F9"/>
    <w:rsid w:val="00185BE7"/>
    <w:rsid w:val="00185E30"/>
    <w:rsid w:val="0018609C"/>
    <w:rsid w:val="001862BB"/>
    <w:rsid w:val="00186316"/>
    <w:rsid w:val="0018646C"/>
    <w:rsid w:val="001868E6"/>
    <w:rsid w:val="00186A21"/>
    <w:rsid w:val="00186A4E"/>
    <w:rsid w:val="00187787"/>
    <w:rsid w:val="001878F9"/>
    <w:rsid w:val="00187946"/>
    <w:rsid w:val="00187984"/>
    <w:rsid w:val="00187AEF"/>
    <w:rsid w:val="00187D3F"/>
    <w:rsid w:val="0019005D"/>
    <w:rsid w:val="001903CE"/>
    <w:rsid w:val="001906B1"/>
    <w:rsid w:val="001906D3"/>
    <w:rsid w:val="0019074E"/>
    <w:rsid w:val="00190823"/>
    <w:rsid w:val="00190AE0"/>
    <w:rsid w:val="00190D99"/>
    <w:rsid w:val="00190E46"/>
    <w:rsid w:val="00190F27"/>
    <w:rsid w:val="00191047"/>
    <w:rsid w:val="001910C0"/>
    <w:rsid w:val="0019165F"/>
    <w:rsid w:val="00191862"/>
    <w:rsid w:val="00191933"/>
    <w:rsid w:val="00191935"/>
    <w:rsid w:val="00191C65"/>
    <w:rsid w:val="00191C6D"/>
    <w:rsid w:val="00191C86"/>
    <w:rsid w:val="00191F0E"/>
    <w:rsid w:val="001920ED"/>
    <w:rsid w:val="00192181"/>
    <w:rsid w:val="0019231C"/>
    <w:rsid w:val="001924B2"/>
    <w:rsid w:val="001925B5"/>
    <w:rsid w:val="00192657"/>
    <w:rsid w:val="001926BD"/>
    <w:rsid w:val="001926C0"/>
    <w:rsid w:val="0019270E"/>
    <w:rsid w:val="0019273E"/>
    <w:rsid w:val="00192792"/>
    <w:rsid w:val="001927CB"/>
    <w:rsid w:val="00192A73"/>
    <w:rsid w:val="00192B05"/>
    <w:rsid w:val="00192B65"/>
    <w:rsid w:val="00192D59"/>
    <w:rsid w:val="00192F86"/>
    <w:rsid w:val="0019337A"/>
    <w:rsid w:val="001933AD"/>
    <w:rsid w:val="001935A4"/>
    <w:rsid w:val="001936B5"/>
    <w:rsid w:val="00193708"/>
    <w:rsid w:val="00193962"/>
    <w:rsid w:val="001939B5"/>
    <w:rsid w:val="00193A08"/>
    <w:rsid w:val="00193A99"/>
    <w:rsid w:val="00193B34"/>
    <w:rsid w:val="00193E2C"/>
    <w:rsid w:val="00194511"/>
    <w:rsid w:val="00194588"/>
    <w:rsid w:val="001945F7"/>
    <w:rsid w:val="0019480A"/>
    <w:rsid w:val="0019499F"/>
    <w:rsid w:val="00194AC8"/>
    <w:rsid w:val="00194B79"/>
    <w:rsid w:val="00194CE4"/>
    <w:rsid w:val="00194DD3"/>
    <w:rsid w:val="0019524E"/>
    <w:rsid w:val="0019548F"/>
    <w:rsid w:val="00195902"/>
    <w:rsid w:val="00195964"/>
    <w:rsid w:val="001959AD"/>
    <w:rsid w:val="00195AAE"/>
    <w:rsid w:val="00195AC2"/>
    <w:rsid w:val="00195FAC"/>
    <w:rsid w:val="0019634E"/>
    <w:rsid w:val="0019650E"/>
    <w:rsid w:val="001966EB"/>
    <w:rsid w:val="00196A0A"/>
    <w:rsid w:val="00196AB0"/>
    <w:rsid w:val="00196E3B"/>
    <w:rsid w:val="00196EC6"/>
    <w:rsid w:val="0019717D"/>
    <w:rsid w:val="00197274"/>
    <w:rsid w:val="001972C1"/>
    <w:rsid w:val="001972F3"/>
    <w:rsid w:val="00197341"/>
    <w:rsid w:val="001973B4"/>
    <w:rsid w:val="001973CE"/>
    <w:rsid w:val="001974F1"/>
    <w:rsid w:val="001975FD"/>
    <w:rsid w:val="001977E7"/>
    <w:rsid w:val="00197DCD"/>
    <w:rsid w:val="00197E21"/>
    <w:rsid w:val="00197EDD"/>
    <w:rsid w:val="00197F4F"/>
    <w:rsid w:val="001A0090"/>
    <w:rsid w:val="001A056C"/>
    <w:rsid w:val="001A075F"/>
    <w:rsid w:val="001A07AB"/>
    <w:rsid w:val="001A08A2"/>
    <w:rsid w:val="001A0DA2"/>
    <w:rsid w:val="001A0DC9"/>
    <w:rsid w:val="001A0F13"/>
    <w:rsid w:val="001A128D"/>
    <w:rsid w:val="001A13CA"/>
    <w:rsid w:val="001A1523"/>
    <w:rsid w:val="001A15C1"/>
    <w:rsid w:val="001A1606"/>
    <w:rsid w:val="001A1765"/>
    <w:rsid w:val="001A1980"/>
    <w:rsid w:val="001A1A0F"/>
    <w:rsid w:val="001A1C1C"/>
    <w:rsid w:val="001A1CB0"/>
    <w:rsid w:val="001A2190"/>
    <w:rsid w:val="001A2412"/>
    <w:rsid w:val="001A26F1"/>
    <w:rsid w:val="001A2A1A"/>
    <w:rsid w:val="001A33DE"/>
    <w:rsid w:val="001A340F"/>
    <w:rsid w:val="001A3495"/>
    <w:rsid w:val="001A3A81"/>
    <w:rsid w:val="001A3BD3"/>
    <w:rsid w:val="001A3F42"/>
    <w:rsid w:val="001A40A9"/>
    <w:rsid w:val="001A40DC"/>
    <w:rsid w:val="001A44CB"/>
    <w:rsid w:val="001A476A"/>
    <w:rsid w:val="001A4C0C"/>
    <w:rsid w:val="001A4D2B"/>
    <w:rsid w:val="001A514E"/>
    <w:rsid w:val="001A5451"/>
    <w:rsid w:val="001A5493"/>
    <w:rsid w:val="001A54BE"/>
    <w:rsid w:val="001A55F2"/>
    <w:rsid w:val="001A5684"/>
    <w:rsid w:val="001A576C"/>
    <w:rsid w:val="001A5D5E"/>
    <w:rsid w:val="001A5F4A"/>
    <w:rsid w:val="001A6034"/>
    <w:rsid w:val="001A61E0"/>
    <w:rsid w:val="001A6594"/>
    <w:rsid w:val="001A679F"/>
    <w:rsid w:val="001A6BAF"/>
    <w:rsid w:val="001A6E64"/>
    <w:rsid w:val="001A737E"/>
    <w:rsid w:val="001A7390"/>
    <w:rsid w:val="001A7498"/>
    <w:rsid w:val="001A7510"/>
    <w:rsid w:val="001A75C5"/>
    <w:rsid w:val="001A76A1"/>
    <w:rsid w:val="001A795E"/>
    <w:rsid w:val="001A7BB4"/>
    <w:rsid w:val="001A7BEA"/>
    <w:rsid w:val="001B0187"/>
    <w:rsid w:val="001B02D8"/>
    <w:rsid w:val="001B0554"/>
    <w:rsid w:val="001B0766"/>
    <w:rsid w:val="001B09E8"/>
    <w:rsid w:val="001B0B25"/>
    <w:rsid w:val="001B0BCC"/>
    <w:rsid w:val="001B0C39"/>
    <w:rsid w:val="001B1002"/>
    <w:rsid w:val="001B12B7"/>
    <w:rsid w:val="001B12EA"/>
    <w:rsid w:val="001B14BE"/>
    <w:rsid w:val="001B150C"/>
    <w:rsid w:val="001B1A0E"/>
    <w:rsid w:val="001B1D15"/>
    <w:rsid w:val="001B1D1C"/>
    <w:rsid w:val="001B1E3A"/>
    <w:rsid w:val="001B1F25"/>
    <w:rsid w:val="001B1F33"/>
    <w:rsid w:val="001B2045"/>
    <w:rsid w:val="001B2220"/>
    <w:rsid w:val="001B2514"/>
    <w:rsid w:val="001B2522"/>
    <w:rsid w:val="001B26E1"/>
    <w:rsid w:val="001B2794"/>
    <w:rsid w:val="001B27D3"/>
    <w:rsid w:val="001B29A9"/>
    <w:rsid w:val="001B2A3D"/>
    <w:rsid w:val="001B2B63"/>
    <w:rsid w:val="001B2C07"/>
    <w:rsid w:val="001B2DCB"/>
    <w:rsid w:val="001B300F"/>
    <w:rsid w:val="001B31C3"/>
    <w:rsid w:val="001B3582"/>
    <w:rsid w:val="001B35CA"/>
    <w:rsid w:val="001B3752"/>
    <w:rsid w:val="001B3AE5"/>
    <w:rsid w:val="001B3B44"/>
    <w:rsid w:val="001B3B76"/>
    <w:rsid w:val="001B3B96"/>
    <w:rsid w:val="001B4015"/>
    <w:rsid w:val="001B4061"/>
    <w:rsid w:val="001B4282"/>
    <w:rsid w:val="001B4405"/>
    <w:rsid w:val="001B463C"/>
    <w:rsid w:val="001B477C"/>
    <w:rsid w:val="001B47AB"/>
    <w:rsid w:val="001B49BB"/>
    <w:rsid w:val="001B4D1E"/>
    <w:rsid w:val="001B4D4E"/>
    <w:rsid w:val="001B4EC7"/>
    <w:rsid w:val="001B4FB1"/>
    <w:rsid w:val="001B50F8"/>
    <w:rsid w:val="001B5582"/>
    <w:rsid w:val="001B55A2"/>
    <w:rsid w:val="001B590D"/>
    <w:rsid w:val="001B5EAD"/>
    <w:rsid w:val="001B6052"/>
    <w:rsid w:val="001B61E2"/>
    <w:rsid w:val="001B6294"/>
    <w:rsid w:val="001B6749"/>
    <w:rsid w:val="001B674F"/>
    <w:rsid w:val="001B6913"/>
    <w:rsid w:val="001B715F"/>
    <w:rsid w:val="001B741F"/>
    <w:rsid w:val="001B7523"/>
    <w:rsid w:val="001B7620"/>
    <w:rsid w:val="001B777F"/>
    <w:rsid w:val="001B783E"/>
    <w:rsid w:val="001B7885"/>
    <w:rsid w:val="001B7F42"/>
    <w:rsid w:val="001C0368"/>
    <w:rsid w:val="001C062C"/>
    <w:rsid w:val="001C0654"/>
    <w:rsid w:val="001C07E0"/>
    <w:rsid w:val="001C0929"/>
    <w:rsid w:val="001C0B38"/>
    <w:rsid w:val="001C0D10"/>
    <w:rsid w:val="001C0D7A"/>
    <w:rsid w:val="001C0E3F"/>
    <w:rsid w:val="001C12C8"/>
    <w:rsid w:val="001C17EE"/>
    <w:rsid w:val="001C1C5E"/>
    <w:rsid w:val="001C1CF7"/>
    <w:rsid w:val="001C1F5F"/>
    <w:rsid w:val="001C1F6A"/>
    <w:rsid w:val="001C202B"/>
    <w:rsid w:val="001C228F"/>
    <w:rsid w:val="001C2290"/>
    <w:rsid w:val="001C243F"/>
    <w:rsid w:val="001C24AE"/>
    <w:rsid w:val="001C2538"/>
    <w:rsid w:val="001C25A7"/>
    <w:rsid w:val="001C275A"/>
    <w:rsid w:val="001C2788"/>
    <w:rsid w:val="001C28B5"/>
    <w:rsid w:val="001C2907"/>
    <w:rsid w:val="001C29C6"/>
    <w:rsid w:val="001C2BD3"/>
    <w:rsid w:val="001C2C8D"/>
    <w:rsid w:val="001C2D20"/>
    <w:rsid w:val="001C3004"/>
    <w:rsid w:val="001C3043"/>
    <w:rsid w:val="001C36E8"/>
    <w:rsid w:val="001C3CE1"/>
    <w:rsid w:val="001C43D0"/>
    <w:rsid w:val="001C43D7"/>
    <w:rsid w:val="001C4491"/>
    <w:rsid w:val="001C45D1"/>
    <w:rsid w:val="001C4781"/>
    <w:rsid w:val="001C4F5A"/>
    <w:rsid w:val="001C50AB"/>
    <w:rsid w:val="001C52AB"/>
    <w:rsid w:val="001C539A"/>
    <w:rsid w:val="001C58BE"/>
    <w:rsid w:val="001C5B6E"/>
    <w:rsid w:val="001C5BDB"/>
    <w:rsid w:val="001C5DA8"/>
    <w:rsid w:val="001C5F01"/>
    <w:rsid w:val="001C5F8E"/>
    <w:rsid w:val="001C60C2"/>
    <w:rsid w:val="001C6386"/>
    <w:rsid w:val="001C649C"/>
    <w:rsid w:val="001C68FA"/>
    <w:rsid w:val="001C691A"/>
    <w:rsid w:val="001C6969"/>
    <w:rsid w:val="001C6C34"/>
    <w:rsid w:val="001C6FEB"/>
    <w:rsid w:val="001C723A"/>
    <w:rsid w:val="001C732C"/>
    <w:rsid w:val="001C77D0"/>
    <w:rsid w:val="001C7B7F"/>
    <w:rsid w:val="001C7D4F"/>
    <w:rsid w:val="001D016E"/>
    <w:rsid w:val="001D02AB"/>
    <w:rsid w:val="001D040B"/>
    <w:rsid w:val="001D04EC"/>
    <w:rsid w:val="001D04FD"/>
    <w:rsid w:val="001D0551"/>
    <w:rsid w:val="001D078A"/>
    <w:rsid w:val="001D07FE"/>
    <w:rsid w:val="001D0840"/>
    <w:rsid w:val="001D0A37"/>
    <w:rsid w:val="001D0C73"/>
    <w:rsid w:val="001D0FC7"/>
    <w:rsid w:val="001D10C0"/>
    <w:rsid w:val="001D1220"/>
    <w:rsid w:val="001D15EF"/>
    <w:rsid w:val="001D1A5E"/>
    <w:rsid w:val="001D1B67"/>
    <w:rsid w:val="001D1D3D"/>
    <w:rsid w:val="001D1F06"/>
    <w:rsid w:val="001D1FD1"/>
    <w:rsid w:val="001D26A1"/>
    <w:rsid w:val="001D281B"/>
    <w:rsid w:val="001D2AB2"/>
    <w:rsid w:val="001D2B3C"/>
    <w:rsid w:val="001D2BA9"/>
    <w:rsid w:val="001D2BD8"/>
    <w:rsid w:val="001D2E4E"/>
    <w:rsid w:val="001D2FF7"/>
    <w:rsid w:val="001D3147"/>
    <w:rsid w:val="001D32BE"/>
    <w:rsid w:val="001D357B"/>
    <w:rsid w:val="001D3B63"/>
    <w:rsid w:val="001D3FBE"/>
    <w:rsid w:val="001D3FF6"/>
    <w:rsid w:val="001D4008"/>
    <w:rsid w:val="001D4279"/>
    <w:rsid w:val="001D46B6"/>
    <w:rsid w:val="001D47CA"/>
    <w:rsid w:val="001D4B07"/>
    <w:rsid w:val="001D4C0E"/>
    <w:rsid w:val="001D4C59"/>
    <w:rsid w:val="001D4C75"/>
    <w:rsid w:val="001D4E3E"/>
    <w:rsid w:val="001D5ED5"/>
    <w:rsid w:val="001D61A2"/>
    <w:rsid w:val="001D62C5"/>
    <w:rsid w:val="001D633D"/>
    <w:rsid w:val="001D64B5"/>
    <w:rsid w:val="001D673C"/>
    <w:rsid w:val="001D6781"/>
    <w:rsid w:val="001D6BFD"/>
    <w:rsid w:val="001D6D8E"/>
    <w:rsid w:val="001D703C"/>
    <w:rsid w:val="001D70F3"/>
    <w:rsid w:val="001D71F1"/>
    <w:rsid w:val="001D7278"/>
    <w:rsid w:val="001D72D4"/>
    <w:rsid w:val="001D7425"/>
    <w:rsid w:val="001D753D"/>
    <w:rsid w:val="001D7580"/>
    <w:rsid w:val="001D76AD"/>
    <w:rsid w:val="001D772A"/>
    <w:rsid w:val="001D780C"/>
    <w:rsid w:val="001D7CDC"/>
    <w:rsid w:val="001E031E"/>
    <w:rsid w:val="001E033F"/>
    <w:rsid w:val="001E03BF"/>
    <w:rsid w:val="001E0445"/>
    <w:rsid w:val="001E05AC"/>
    <w:rsid w:val="001E0711"/>
    <w:rsid w:val="001E0906"/>
    <w:rsid w:val="001E0AA9"/>
    <w:rsid w:val="001E0F6A"/>
    <w:rsid w:val="001E117C"/>
    <w:rsid w:val="001E1232"/>
    <w:rsid w:val="001E16A3"/>
    <w:rsid w:val="001E17A9"/>
    <w:rsid w:val="001E1B33"/>
    <w:rsid w:val="001E1CBB"/>
    <w:rsid w:val="001E1E7B"/>
    <w:rsid w:val="001E1E9F"/>
    <w:rsid w:val="001E1EA8"/>
    <w:rsid w:val="001E2143"/>
    <w:rsid w:val="001E22CB"/>
    <w:rsid w:val="001E22E1"/>
    <w:rsid w:val="001E255A"/>
    <w:rsid w:val="001E2629"/>
    <w:rsid w:val="001E26D3"/>
    <w:rsid w:val="001E2973"/>
    <w:rsid w:val="001E2E8D"/>
    <w:rsid w:val="001E3152"/>
    <w:rsid w:val="001E33D0"/>
    <w:rsid w:val="001E359E"/>
    <w:rsid w:val="001E36B3"/>
    <w:rsid w:val="001E36DA"/>
    <w:rsid w:val="001E3773"/>
    <w:rsid w:val="001E38B2"/>
    <w:rsid w:val="001E3F67"/>
    <w:rsid w:val="001E40A3"/>
    <w:rsid w:val="001E4126"/>
    <w:rsid w:val="001E423F"/>
    <w:rsid w:val="001E4285"/>
    <w:rsid w:val="001E43F8"/>
    <w:rsid w:val="001E4406"/>
    <w:rsid w:val="001E448B"/>
    <w:rsid w:val="001E4839"/>
    <w:rsid w:val="001E48B7"/>
    <w:rsid w:val="001E4972"/>
    <w:rsid w:val="001E49F5"/>
    <w:rsid w:val="001E4D51"/>
    <w:rsid w:val="001E52AB"/>
    <w:rsid w:val="001E530C"/>
    <w:rsid w:val="001E533D"/>
    <w:rsid w:val="001E5549"/>
    <w:rsid w:val="001E570F"/>
    <w:rsid w:val="001E5B2F"/>
    <w:rsid w:val="001E6129"/>
    <w:rsid w:val="001E62CE"/>
    <w:rsid w:val="001E64FE"/>
    <w:rsid w:val="001E674E"/>
    <w:rsid w:val="001E6C7F"/>
    <w:rsid w:val="001E6F50"/>
    <w:rsid w:val="001E7072"/>
    <w:rsid w:val="001E71D8"/>
    <w:rsid w:val="001E71E1"/>
    <w:rsid w:val="001E731A"/>
    <w:rsid w:val="001E73E2"/>
    <w:rsid w:val="001E7601"/>
    <w:rsid w:val="001E7843"/>
    <w:rsid w:val="001E7917"/>
    <w:rsid w:val="001E7B41"/>
    <w:rsid w:val="001E7F53"/>
    <w:rsid w:val="001F06AE"/>
    <w:rsid w:val="001F09EB"/>
    <w:rsid w:val="001F0A0F"/>
    <w:rsid w:val="001F0D70"/>
    <w:rsid w:val="001F0F47"/>
    <w:rsid w:val="001F0FDA"/>
    <w:rsid w:val="001F0FF8"/>
    <w:rsid w:val="001F10DD"/>
    <w:rsid w:val="001F1133"/>
    <w:rsid w:val="001F1195"/>
    <w:rsid w:val="001F1218"/>
    <w:rsid w:val="001F1295"/>
    <w:rsid w:val="001F1410"/>
    <w:rsid w:val="001F16E3"/>
    <w:rsid w:val="001F1709"/>
    <w:rsid w:val="001F1FF8"/>
    <w:rsid w:val="001F205F"/>
    <w:rsid w:val="001F2551"/>
    <w:rsid w:val="001F25EF"/>
    <w:rsid w:val="001F26C6"/>
    <w:rsid w:val="001F2761"/>
    <w:rsid w:val="001F28B6"/>
    <w:rsid w:val="001F2AFA"/>
    <w:rsid w:val="001F2B8F"/>
    <w:rsid w:val="001F2C4F"/>
    <w:rsid w:val="001F303E"/>
    <w:rsid w:val="001F3275"/>
    <w:rsid w:val="001F33F6"/>
    <w:rsid w:val="001F35A3"/>
    <w:rsid w:val="001F36F3"/>
    <w:rsid w:val="001F3827"/>
    <w:rsid w:val="001F3934"/>
    <w:rsid w:val="001F39A9"/>
    <w:rsid w:val="001F39CC"/>
    <w:rsid w:val="001F3B46"/>
    <w:rsid w:val="001F3BB8"/>
    <w:rsid w:val="001F3D84"/>
    <w:rsid w:val="001F3F19"/>
    <w:rsid w:val="001F3F32"/>
    <w:rsid w:val="001F4E9E"/>
    <w:rsid w:val="001F4ED3"/>
    <w:rsid w:val="001F4ED4"/>
    <w:rsid w:val="001F4EEF"/>
    <w:rsid w:val="001F5070"/>
    <w:rsid w:val="001F516E"/>
    <w:rsid w:val="001F5205"/>
    <w:rsid w:val="001F54C6"/>
    <w:rsid w:val="001F5563"/>
    <w:rsid w:val="001F5696"/>
    <w:rsid w:val="001F588C"/>
    <w:rsid w:val="001F59EE"/>
    <w:rsid w:val="001F5A48"/>
    <w:rsid w:val="001F5C81"/>
    <w:rsid w:val="001F5D0B"/>
    <w:rsid w:val="001F5EBD"/>
    <w:rsid w:val="001F5EFB"/>
    <w:rsid w:val="001F5F1B"/>
    <w:rsid w:val="001F602A"/>
    <w:rsid w:val="001F63EC"/>
    <w:rsid w:val="001F67D8"/>
    <w:rsid w:val="001F6A7A"/>
    <w:rsid w:val="001F6EA6"/>
    <w:rsid w:val="001F7491"/>
    <w:rsid w:val="001F7AFD"/>
    <w:rsid w:val="001F7CBA"/>
    <w:rsid w:val="001F7CD7"/>
    <w:rsid w:val="001F7D50"/>
    <w:rsid w:val="001F7E02"/>
    <w:rsid w:val="001F7E24"/>
    <w:rsid w:val="001F7E70"/>
    <w:rsid w:val="001F7EC3"/>
    <w:rsid w:val="002001AE"/>
    <w:rsid w:val="002001BD"/>
    <w:rsid w:val="002002C9"/>
    <w:rsid w:val="0020038A"/>
    <w:rsid w:val="00200445"/>
    <w:rsid w:val="0020049F"/>
    <w:rsid w:val="00200581"/>
    <w:rsid w:val="002006A0"/>
    <w:rsid w:val="002006B2"/>
    <w:rsid w:val="0020103A"/>
    <w:rsid w:val="00201142"/>
    <w:rsid w:val="002012AD"/>
    <w:rsid w:val="0020146A"/>
    <w:rsid w:val="00201871"/>
    <w:rsid w:val="002019D2"/>
    <w:rsid w:val="00201CD9"/>
    <w:rsid w:val="00201D95"/>
    <w:rsid w:val="00202177"/>
    <w:rsid w:val="002022D1"/>
    <w:rsid w:val="00202431"/>
    <w:rsid w:val="002026CD"/>
    <w:rsid w:val="00202A39"/>
    <w:rsid w:val="00202BDC"/>
    <w:rsid w:val="00202FAE"/>
    <w:rsid w:val="002030D2"/>
    <w:rsid w:val="00203392"/>
    <w:rsid w:val="00203665"/>
    <w:rsid w:val="0020397C"/>
    <w:rsid w:val="00203A3A"/>
    <w:rsid w:val="00203BA8"/>
    <w:rsid w:val="00203DB7"/>
    <w:rsid w:val="00203EC6"/>
    <w:rsid w:val="002043B3"/>
    <w:rsid w:val="002044E1"/>
    <w:rsid w:val="00204528"/>
    <w:rsid w:val="00204687"/>
    <w:rsid w:val="002046F3"/>
    <w:rsid w:val="0020496F"/>
    <w:rsid w:val="00204AE9"/>
    <w:rsid w:val="00204C2B"/>
    <w:rsid w:val="00204D53"/>
    <w:rsid w:val="00204F88"/>
    <w:rsid w:val="002051E4"/>
    <w:rsid w:val="0020535D"/>
    <w:rsid w:val="00205391"/>
    <w:rsid w:val="0020552F"/>
    <w:rsid w:val="002055AE"/>
    <w:rsid w:val="002058DF"/>
    <w:rsid w:val="00205A15"/>
    <w:rsid w:val="00205B80"/>
    <w:rsid w:val="00205B89"/>
    <w:rsid w:val="00205E38"/>
    <w:rsid w:val="00205F82"/>
    <w:rsid w:val="00206141"/>
    <w:rsid w:val="0020615D"/>
    <w:rsid w:val="002063CB"/>
    <w:rsid w:val="002065D8"/>
    <w:rsid w:val="00206694"/>
    <w:rsid w:val="0020681B"/>
    <w:rsid w:val="00206A83"/>
    <w:rsid w:val="00206D28"/>
    <w:rsid w:val="002072E0"/>
    <w:rsid w:val="00207312"/>
    <w:rsid w:val="002077BB"/>
    <w:rsid w:val="00207866"/>
    <w:rsid w:val="002079D3"/>
    <w:rsid w:val="00207C61"/>
    <w:rsid w:val="00207D13"/>
    <w:rsid w:val="00207DFC"/>
    <w:rsid w:val="00210029"/>
    <w:rsid w:val="00210162"/>
    <w:rsid w:val="002102BB"/>
    <w:rsid w:val="00210697"/>
    <w:rsid w:val="002108E3"/>
    <w:rsid w:val="0021099D"/>
    <w:rsid w:val="00210B26"/>
    <w:rsid w:val="00210B43"/>
    <w:rsid w:val="00210E8B"/>
    <w:rsid w:val="00211005"/>
    <w:rsid w:val="0021145D"/>
    <w:rsid w:val="00211578"/>
    <w:rsid w:val="00211851"/>
    <w:rsid w:val="00211C74"/>
    <w:rsid w:val="00211D61"/>
    <w:rsid w:val="00211F94"/>
    <w:rsid w:val="002120B8"/>
    <w:rsid w:val="00212279"/>
    <w:rsid w:val="002122FF"/>
    <w:rsid w:val="00212423"/>
    <w:rsid w:val="002126CB"/>
    <w:rsid w:val="002127B8"/>
    <w:rsid w:val="00212801"/>
    <w:rsid w:val="002128C6"/>
    <w:rsid w:val="00212951"/>
    <w:rsid w:val="00212E30"/>
    <w:rsid w:val="002132BA"/>
    <w:rsid w:val="00213399"/>
    <w:rsid w:val="00213B92"/>
    <w:rsid w:val="00213E26"/>
    <w:rsid w:val="002141FA"/>
    <w:rsid w:val="002145C3"/>
    <w:rsid w:val="0021460A"/>
    <w:rsid w:val="002146D9"/>
    <w:rsid w:val="002147A6"/>
    <w:rsid w:val="00214873"/>
    <w:rsid w:val="002148EC"/>
    <w:rsid w:val="00214ACB"/>
    <w:rsid w:val="002150CB"/>
    <w:rsid w:val="0021534A"/>
    <w:rsid w:val="002154B6"/>
    <w:rsid w:val="0021568F"/>
    <w:rsid w:val="002156E1"/>
    <w:rsid w:val="002158DA"/>
    <w:rsid w:val="0021618D"/>
    <w:rsid w:val="002161F6"/>
    <w:rsid w:val="00216663"/>
    <w:rsid w:val="0021683C"/>
    <w:rsid w:val="00216A40"/>
    <w:rsid w:val="00216DB0"/>
    <w:rsid w:val="0021722A"/>
    <w:rsid w:val="00217278"/>
    <w:rsid w:val="002173BC"/>
    <w:rsid w:val="0021751C"/>
    <w:rsid w:val="002175BC"/>
    <w:rsid w:val="00217AF3"/>
    <w:rsid w:val="00217CAB"/>
    <w:rsid w:val="00217D6F"/>
    <w:rsid w:val="00217FFA"/>
    <w:rsid w:val="002200DA"/>
    <w:rsid w:val="002201F8"/>
    <w:rsid w:val="00220538"/>
    <w:rsid w:val="00220557"/>
    <w:rsid w:val="002207CB"/>
    <w:rsid w:val="00220881"/>
    <w:rsid w:val="002208D7"/>
    <w:rsid w:val="002209F7"/>
    <w:rsid w:val="00220C03"/>
    <w:rsid w:val="00220C95"/>
    <w:rsid w:val="00221045"/>
    <w:rsid w:val="00221054"/>
    <w:rsid w:val="0022108A"/>
    <w:rsid w:val="002211B9"/>
    <w:rsid w:val="002213DA"/>
    <w:rsid w:val="002214B6"/>
    <w:rsid w:val="002215E7"/>
    <w:rsid w:val="0022160D"/>
    <w:rsid w:val="00221929"/>
    <w:rsid w:val="00221986"/>
    <w:rsid w:val="00221CBB"/>
    <w:rsid w:val="0022200C"/>
    <w:rsid w:val="002220DE"/>
    <w:rsid w:val="00222385"/>
    <w:rsid w:val="00222966"/>
    <w:rsid w:val="00222B31"/>
    <w:rsid w:val="00222C77"/>
    <w:rsid w:val="00222E8E"/>
    <w:rsid w:val="0022341F"/>
    <w:rsid w:val="0022344F"/>
    <w:rsid w:val="002234A9"/>
    <w:rsid w:val="00223534"/>
    <w:rsid w:val="002236FD"/>
    <w:rsid w:val="00223AAC"/>
    <w:rsid w:val="00223B83"/>
    <w:rsid w:val="00223CCA"/>
    <w:rsid w:val="00224013"/>
    <w:rsid w:val="0022422C"/>
    <w:rsid w:val="00224650"/>
    <w:rsid w:val="00224685"/>
    <w:rsid w:val="002247BF"/>
    <w:rsid w:val="0022483B"/>
    <w:rsid w:val="00224E86"/>
    <w:rsid w:val="00224FF2"/>
    <w:rsid w:val="00225008"/>
    <w:rsid w:val="0022512B"/>
    <w:rsid w:val="00225A49"/>
    <w:rsid w:val="00225A81"/>
    <w:rsid w:val="00225A91"/>
    <w:rsid w:val="00225BD7"/>
    <w:rsid w:val="00225D41"/>
    <w:rsid w:val="00225E5B"/>
    <w:rsid w:val="00226166"/>
    <w:rsid w:val="00226250"/>
    <w:rsid w:val="00226276"/>
    <w:rsid w:val="002263BF"/>
    <w:rsid w:val="00226424"/>
    <w:rsid w:val="00226660"/>
    <w:rsid w:val="00226828"/>
    <w:rsid w:val="002269EC"/>
    <w:rsid w:val="00226A83"/>
    <w:rsid w:val="00226BC3"/>
    <w:rsid w:val="00226D14"/>
    <w:rsid w:val="00226E32"/>
    <w:rsid w:val="00227173"/>
    <w:rsid w:val="002273D9"/>
    <w:rsid w:val="00227545"/>
    <w:rsid w:val="00227809"/>
    <w:rsid w:val="002278E0"/>
    <w:rsid w:val="00227F53"/>
    <w:rsid w:val="00227FA1"/>
    <w:rsid w:val="00227FD0"/>
    <w:rsid w:val="00230320"/>
    <w:rsid w:val="002303C8"/>
    <w:rsid w:val="002305FA"/>
    <w:rsid w:val="00230AEB"/>
    <w:rsid w:val="00230E37"/>
    <w:rsid w:val="00230F6F"/>
    <w:rsid w:val="00230F70"/>
    <w:rsid w:val="0023134E"/>
    <w:rsid w:val="00231484"/>
    <w:rsid w:val="00231652"/>
    <w:rsid w:val="00231A14"/>
    <w:rsid w:val="00231BE5"/>
    <w:rsid w:val="0023200C"/>
    <w:rsid w:val="00232019"/>
    <w:rsid w:val="002328E1"/>
    <w:rsid w:val="00232B3C"/>
    <w:rsid w:val="00232B5D"/>
    <w:rsid w:val="00232E04"/>
    <w:rsid w:val="00232E4B"/>
    <w:rsid w:val="00232E73"/>
    <w:rsid w:val="00232E88"/>
    <w:rsid w:val="00233104"/>
    <w:rsid w:val="00233118"/>
    <w:rsid w:val="0023322F"/>
    <w:rsid w:val="0023348F"/>
    <w:rsid w:val="0023373C"/>
    <w:rsid w:val="002339B4"/>
    <w:rsid w:val="00233B39"/>
    <w:rsid w:val="00233C1D"/>
    <w:rsid w:val="00233E04"/>
    <w:rsid w:val="00233EE6"/>
    <w:rsid w:val="00233F17"/>
    <w:rsid w:val="00234571"/>
    <w:rsid w:val="002347D6"/>
    <w:rsid w:val="0023488C"/>
    <w:rsid w:val="002348E0"/>
    <w:rsid w:val="00234C95"/>
    <w:rsid w:val="00234F8D"/>
    <w:rsid w:val="0023502A"/>
    <w:rsid w:val="0023505C"/>
    <w:rsid w:val="002351EB"/>
    <w:rsid w:val="0023543D"/>
    <w:rsid w:val="002355A2"/>
    <w:rsid w:val="002357A3"/>
    <w:rsid w:val="00235906"/>
    <w:rsid w:val="00235AEC"/>
    <w:rsid w:val="00235C85"/>
    <w:rsid w:val="00235C8D"/>
    <w:rsid w:val="00235D5B"/>
    <w:rsid w:val="00235D6A"/>
    <w:rsid w:val="00235F2E"/>
    <w:rsid w:val="002360D1"/>
    <w:rsid w:val="00236286"/>
    <w:rsid w:val="002364B2"/>
    <w:rsid w:val="00236C85"/>
    <w:rsid w:val="00236D8E"/>
    <w:rsid w:val="00236FB8"/>
    <w:rsid w:val="0023739B"/>
    <w:rsid w:val="00237C5A"/>
    <w:rsid w:val="00237D34"/>
    <w:rsid w:val="0024038B"/>
    <w:rsid w:val="002404EB"/>
    <w:rsid w:val="00240530"/>
    <w:rsid w:val="00240992"/>
    <w:rsid w:val="002409F6"/>
    <w:rsid w:val="00240A20"/>
    <w:rsid w:val="00240B90"/>
    <w:rsid w:val="00240BDC"/>
    <w:rsid w:val="00240CAE"/>
    <w:rsid w:val="002414B3"/>
    <w:rsid w:val="002418FC"/>
    <w:rsid w:val="00241AEF"/>
    <w:rsid w:val="00241ED6"/>
    <w:rsid w:val="00241F86"/>
    <w:rsid w:val="002421FE"/>
    <w:rsid w:val="002423E0"/>
    <w:rsid w:val="002423E7"/>
    <w:rsid w:val="002424C5"/>
    <w:rsid w:val="00242592"/>
    <w:rsid w:val="0024295A"/>
    <w:rsid w:val="0024295C"/>
    <w:rsid w:val="002429FC"/>
    <w:rsid w:val="00242AD4"/>
    <w:rsid w:val="00242FA6"/>
    <w:rsid w:val="00243256"/>
    <w:rsid w:val="00243469"/>
    <w:rsid w:val="002437D9"/>
    <w:rsid w:val="002438B2"/>
    <w:rsid w:val="00243BA3"/>
    <w:rsid w:val="00243BAD"/>
    <w:rsid w:val="00243C9A"/>
    <w:rsid w:val="00243D88"/>
    <w:rsid w:val="00243EBB"/>
    <w:rsid w:val="0024406D"/>
    <w:rsid w:val="002446FE"/>
    <w:rsid w:val="00244858"/>
    <w:rsid w:val="0024499C"/>
    <w:rsid w:val="00244BB9"/>
    <w:rsid w:val="00244F2C"/>
    <w:rsid w:val="00244F4D"/>
    <w:rsid w:val="00244F60"/>
    <w:rsid w:val="00244FC5"/>
    <w:rsid w:val="0024523A"/>
    <w:rsid w:val="00245445"/>
    <w:rsid w:val="002458FB"/>
    <w:rsid w:val="00245A08"/>
    <w:rsid w:val="00245CE8"/>
    <w:rsid w:val="00245ED4"/>
    <w:rsid w:val="00245F30"/>
    <w:rsid w:val="0024611C"/>
    <w:rsid w:val="002463CC"/>
    <w:rsid w:val="0024666C"/>
    <w:rsid w:val="002469C6"/>
    <w:rsid w:val="00247209"/>
    <w:rsid w:val="00247537"/>
    <w:rsid w:val="00247604"/>
    <w:rsid w:val="002476DC"/>
    <w:rsid w:val="00247702"/>
    <w:rsid w:val="00247703"/>
    <w:rsid w:val="00247739"/>
    <w:rsid w:val="00247796"/>
    <w:rsid w:val="00247949"/>
    <w:rsid w:val="0024796A"/>
    <w:rsid w:val="0024796D"/>
    <w:rsid w:val="00247BA1"/>
    <w:rsid w:val="00247F83"/>
    <w:rsid w:val="0025008A"/>
    <w:rsid w:val="002501A9"/>
    <w:rsid w:val="002502CF"/>
    <w:rsid w:val="00250559"/>
    <w:rsid w:val="00250842"/>
    <w:rsid w:val="0025086F"/>
    <w:rsid w:val="00250AD7"/>
    <w:rsid w:val="00250B4E"/>
    <w:rsid w:val="00250E89"/>
    <w:rsid w:val="00250EE2"/>
    <w:rsid w:val="00250EE5"/>
    <w:rsid w:val="00250EF5"/>
    <w:rsid w:val="00250F31"/>
    <w:rsid w:val="002512A3"/>
    <w:rsid w:val="0025139A"/>
    <w:rsid w:val="00251570"/>
    <w:rsid w:val="00251644"/>
    <w:rsid w:val="0025176F"/>
    <w:rsid w:val="002519FF"/>
    <w:rsid w:val="00251A46"/>
    <w:rsid w:val="00251BD3"/>
    <w:rsid w:val="002520E2"/>
    <w:rsid w:val="00252297"/>
    <w:rsid w:val="002522B7"/>
    <w:rsid w:val="00252B01"/>
    <w:rsid w:val="00252B84"/>
    <w:rsid w:val="00253179"/>
    <w:rsid w:val="0025357F"/>
    <w:rsid w:val="002539CA"/>
    <w:rsid w:val="002539DA"/>
    <w:rsid w:val="002539FC"/>
    <w:rsid w:val="00253A1E"/>
    <w:rsid w:val="00253D83"/>
    <w:rsid w:val="0025458E"/>
    <w:rsid w:val="0025465A"/>
    <w:rsid w:val="00254BC2"/>
    <w:rsid w:val="00254C82"/>
    <w:rsid w:val="0025515A"/>
    <w:rsid w:val="00255221"/>
    <w:rsid w:val="0025526A"/>
    <w:rsid w:val="002554C8"/>
    <w:rsid w:val="00255543"/>
    <w:rsid w:val="00255698"/>
    <w:rsid w:val="00255797"/>
    <w:rsid w:val="002559C0"/>
    <w:rsid w:val="00255C56"/>
    <w:rsid w:val="00255C66"/>
    <w:rsid w:val="00255CCA"/>
    <w:rsid w:val="00256280"/>
    <w:rsid w:val="002562D3"/>
    <w:rsid w:val="00256CEE"/>
    <w:rsid w:val="00256DBF"/>
    <w:rsid w:val="0025705A"/>
    <w:rsid w:val="00257083"/>
    <w:rsid w:val="0025719F"/>
    <w:rsid w:val="002574BD"/>
    <w:rsid w:val="00257BA3"/>
    <w:rsid w:val="00257D36"/>
    <w:rsid w:val="00257E44"/>
    <w:rsid w:val="00260221"/>
    <w:rsid w:val="00260223"/>
    <w:rsid w:val="00260347"/>
    <w:rsid w:val="00260649"/>
    <w:rsid w:val="00260845"/>
    <w:rsid w:val="00260B32"/>
    <w:rsid w:val="00260CE1"/>
    <w:rsid w:val="00260D21"/>
    <w:rsid w:val="00260D64"/>
    <w:rsid w:val="00260D7E"/>
    <w:rsid w:val="00261013"/>
    <w:rsid w:val="002610C0"/>
    <w:rsid w:val="002619B2"/>
    <w:rsid w:val="00261A4B"/>
    <w:rsid w:val="00261C57"/>
    <w:rsid w:val="00261C76"/>
    <w:rsid w:val="00261CC4"/>
    <w:rsid w:val="00262176"/>
    <w:rsid w:val="002622C3"/>
    <w:rsid w:val="0026243F"/>
    <w:rsid w:val="0026258A"/>
    <w:rsid w:val="002625CD"/>
    <w:rsid w:val="00262AF3"/>
    <w:rsid w:val="00262C4A"/>
    <w:rsid w:val="00262E03"/>
    <w:rsid w:val="00262E1B"/>
    <w:rsid w:val="00262F5A"/>
    <w:rsid w:val="002630BA"/>
    <w:rsid w:val="002631FE"/>
    <w:rsid w:val="002632B5"/>
    <w:rsid w:val="002632FD"/>
    <w:rsid w:val="0026351A"/>
    <w:rsid w:val="00263605"/>
    <w:rsid w:val="00263F4A"/>
    <w:rsid w:val="00264020"/>
    <w:rsid w:val="0026414A"/>
    <w:rsid w:val="0026426A"/>
    <w:rsid w:val="002648A9"/>
    <w:rsid w:val="002648EF"/>
    <w:rsid w:val="002649C9"/>
    <w:rsid w:val="00264A27"/>
    <w:rsid w:val="00264AF5"/>
    <w:rsid w:val="0026520C"/>
    <w:rsid w:val="002656DA"/>
    <w:rsid w:val="00265708"/>
    <w:rsid w:val="0026572C"/>
    <w:rsid w:val="0026586A"/>
    <w:rsid w:val="00265DFE"/>
    <w:rsid w:val="00265F64"/>
    <w:rsid w:val="002660AE"/>
    <w:rsid w:val="0026644E"/>
    <w:rsid w:val="00266454"/>
    <w:rsid w:val="00266622"/>
    <w:rsid w:val="0026703B"/>
    <w:rsid w:val="00267149"/>
    <w:rsid w:val="002671E0"/>
    <w:rsid w:val="002673EE"/>
    <w:rsid w:val="00267449"/>
    <w:rsid w:val="0026767A"/>
    <w:rsid w:val="00267BC8"/>
    <w:rsid w:val="00267C99"/>
    <w:rsid w:val="00267FD1"/>
    <w:rsid w:val="00270100"/>
    <w:rsid w:val="002701A7"/>
    <w:rsid w:val="00270328"/>
    <w:rsid w:val="00270353"/>
    <w:rsid w:val="002705B0"/>
    <w:rsid w:val="002707E4"/>
    <w:rsid w:val="00270CA1"/>
    <w:rsid w:val="00270E17"/>
    <w:rsid w:val="00270EA6"/>
    <w:rsid w:val="00270F50"/>
    <w:rsid w:val="002710C3"/>
    <w:rsid w:val="0027128A"/>
    <w:rsid w:val="0027148D"/>
    <w:rsid w:val="0027157F"/>
    <w:rsid w:val="0027180F"/>
    <w:rsid w:val="002719EC"/>
    <w:rsid w:val="00271BA9"/>
    <w:rsid w:val="00271CE6"/>
    <w:rsid w:val="00271D7C"/>
    <w:rsid w:val="00271EF4"/>
    <w:rsid w:val="00272053"/>
    <w:rsid w:val="00272133"/>
    <w:rsid w:val="002721D5"/>
    <w:rsid w:val="00272219"/>
    <w:rsid w:val="00272B8B"/>
    <w:rsid w:val="00272D9D"/>
    <w:rsid w:val="002730E9"/>
    <w:rsid w:val="00273257"/>
    <w:rsid w:val="00273691"/>
    <w:rsid w:val="002736C7"/>
    <w:rsid w:val="002736D3"/>
    <w:rsid w:val="0027371A"/>
    <w:rsid w:val="002737F0"/>
    <w:rsid w:val="002738A2"/>
    <w:rsid w:val="00273CEC"/>
    <w:rsid w:val="00273CF9"/>
    <w:rsid w:val="00273E9A"/>
    <w:rsid w:val="00273FA3"/>
    <w:rsid w:val="00274975"/>
    <w:rsid w:val="00274BE4"/>
    <w:rsid w:val="002751DE"/>
    <w:rsid w:val="002754A6"/>
    <w:rsid w:val="00275640"/>
    <w:rsid w:val="002756EB"/>
    <w:rsid w:val="00275780"/>
    <w:rsid w:val="002758D6"/>
    <w:rsid w:val="00275990"/>
    <w:rsid w:val="00275A44"/>
    <w:rsid w:val="00275E40"/>
    <w:rsid w:val="00275F16"/>
    <w:rsid w:val="00275F97"/>
    <w:rsid w:val="00275FD3"/>
    <w:rsid w:val="00276025"/>
    <w:rsid w:val="00276118"/>
    <w:rsid w:val="0027651A"/>
    <w:rsid w:val="00276579"/>
    <w:rsid w:val="002768F8"/>
    <w:rsid w:val="00276D31"/>
    <w:rsid w:val="00276E30"/>
    <w:rsid w:val="00276E81"/>
    <w:rsid w:val="00276F72"/>
    <w:rsid w:val="00276FED"/>
    <w:rsid w:val="0027717C"/>
    <w:rsid w:val="002771C7"/>
    <w:rsid w:val="00277291"/>
    <w:rsid w:val="002773D6"/>
    <w:rsid w:val="0027740E"/>
    <w:rsid w:val="002774B2"/>
    <w:rsid w:val="00277551"/>
    <w:rsid w:val="002777D5"/>
    <w:rsid w:val="00277DC3"/>
    <w:rsid w:val="00277F2B"/>
    <w:rsid w:val="00280147"/>
    <w:rsid w:val="00280176"/>
    <w:rsid w:val="00280432"/>
    <w:rsid w:val="00280A96"/>
    <w:rsid w:val="00280EB1"/>
    <w:rsid w:val="00280F9B"/>
    <w:rsid w:val="002811CF"/>
    <w:rsid w:val="002812E4"/>
    <w:rsid w:val="00281307"/>
    <w:rsid w:val="0028133F"/>
    <w:rsid w:val="0028135E"/>
    <w:rsid w:val="002816E6"/>
    <w:rsid w:val="00281851"/>
    <w:rsid w:val="0028198F"/>
    <w:rsid w:val="00281A41"/>
    <w:rsid w:val="00281A8C"/>
    <w:rsid w:val="00281AC6"/>
    <w:rsid w:val="00281C92"/>
    <w:rsid w:val="00281CCD"/>
    <w:rsid w:val="00281D93"/>
    <w:rsid w:val="0028200C"/>
    <w:rsid w:val="00282137"/>
    <w:rsid w:val="00282157"/>
    <w:rsid w:val="0028237B"/>
    <w:rsid w:val="002826B3"/>
    <w:rsid w:val="002827B7"/>
    <w:rsid w:val="0028294D"/>
    <w:rsid w:val="00282DF1"/>
    <w:rsid w:val="00282ECE"/>
    <w:rsid w:val="00282F7B"/>
    <w:rsid w:val="00283070"/>
    <w:rsid w:val="00283218"/>
    <w:rsid w:val="002832FD"/>
    <w:rsid w:val="0028339F"/>
    <w:rsid w:val="00283661"/>
    <w:rsid w:val="00283703"/>
    <w:rsid w:val="00283716"/>
    <w:rsid w:val="002838F7"/>
    <w:rsid w:val="00283F5B"/>
    <w:rsid w:val="00283F70"/>
    <w:rsid w:val="00283FB7"/>
    <w:rsid w:val="002840EF"/>
    <w:rsid w:val="00284426"/>
    <w:rsid w:val="002845E8"/>
    <w:rsid w:val="0028487A"/>
    <w:rsid w:val="00284B1E"/>
    <w:rsid w:val="00284F06"/>
    <w:rsid w:val="00285063"/>
    <w:rsid w:val="002856A5"/>
    <w:rsid w:val="0028575C"/>
    <w:rsid w:val="002857F7"/>
    <w:rsid w:val="00285B02"/>
    <w:rsid w:val="00285BA9"/>
    <w:rsid w:val="00285BF4"/>
    <w:rsid w:val="00286052"/>
    <w:rsid w:val="00286234"/>
    <w:rsid w:val="00286A94"/>
    <w:rsid w:val="00286D21"/>
    <w:rsid w:val="00286DAC"/>
    <w:rsid w:val="00286FA1"/>
    <w:rsid w:val="00287032"/>
    <w:rsid w:val="0028762A"/>
    <w:rsid w:val="0028777A"/>
    <w:rsid w:val="00287DBC"/>
    <w:rsid w:val="0029003A"/>
    <w:rsid w:val="002900C6"/>
    <w:rsid w:val="0029028E"/>
    <w:rsid w:val="00290497"/>
    <w:rsid w:val="00290529"/>
    <w:rsid w:val="0029055A"/>
    <w:rsid w:val="002908BC"/>
    <w:rsid w:val="00290C01"/>
    <w:rsid w:val="00290E23"/>
    <w:rsid w:val="00290E73"/>
    <w:rsid w:val="00290E8C"/>
    <w:rsid w:val="00290EEB"/>
    <w:rsid w:val="0029197C"/>
    <w:rsid w:val="00291AFC"/>
    <w:rsid w:val="00291CBF"/>
    <w:rsid w:val="00291E02"/>
    <w:rsid w:val="00291E56"/>
    <w:rsid w:val="00291E79"/>
    <w:rsid w:val="00291E8D"/>
    <w:rsid w:val="00291FF1"/>
    <w:rsid w:val="0029211E"/>
    <w:rsid w:val="00292250"/>
    <w:rsid w:val="00292373"/>
    <w:rsid w:val="002925C5"/>
    <w:rsid w:val="002926F1"/>
    <w:rsid w:val="00292B5E"/>
    <w:rsid w:val="00292DEC"/>
    <w:rsid w:val="00292EFC"/>
    <w:rsid w:val="00292F48"/>
    <w:rsid w:val="00292F95"/>
    <w:rsid w:val="00293068"/>
    <w:rsid w:val="002931B5"/>
    <w:rsid w:val="00293414"/>
    <w:rsid w:val="00293465"/>
    <w:rsid w:val="00293520"/>
    <w:rsid w:val="00293602"/>
    <w:rsid w:val="00293916"/>
    <w:rsid w:val="00293926"/>
    <w:rsid w:val="00293953"/>
    <w:rsid w:val="00293B79"/>
    <w:rsid w:val="00293B96"/>
    <w:rsid w:val="00293D4E"/>
    <w:rsid w:val="002940F7"/>
    <w:rsid w:val="002943F6"/>
    <w:rsid w:val="002945E6"/>
    <w:rsid w:val="002948D8"/>
    <w:rsid w:val="002949F7"/>
    <w:rsid w:val="00294C90"/>
    <w:rsid w:val="00294D01"/>
    <w:rsid w:val="00294E61"/>
    <w:rsid w:val="00294EDD"/>
    <w:rsid w:val="0029509F"/>
    <w:rsid w:val="00295358"/>
    <w:rsid w:val="00295799"/>
    <w:rsid w:val="00295A0A"/>
    <w:rsid w:val="00295B82"/>
    <w:rsid w:val="00295D27"/>
    <w:rsid w:val="00295FF7"/>
    <w:rsid w:val="0029600E"/>
    <w:rsid w:val="0029652F"/>
    <w:rsid w:val="0029662C"/>
    <w:rsid w:val="0029675C"/>
    <w:rsid w:val="00296880"/>
    <w:rsid w:val="00296973"/>
    <w:rsid w:val="00296E13"/>
    <w:rsid w:val="00296FCF"/>
    <w:rsid w:val="0029700F"/>
    <w:rsid w:val="002972DD"/>
    <w:rsid w:val="0029749A"/>
    <w:rsid w:val="0029796E"/>
    <w:rsid w:val="00297A40"/>
    <w:rsid w:val="00297B7A"/>
    <w:rsid w:val="00297BA7"/>
    <w:rsid w:val="00297E17"/>
    <w:rsid w:val="00297F10"/>
    <w:rsid w:val="002A0257"/>
    <w:rsid w:val="002A02A4"/>
    <w:rsid w:val="002A0308"/>
    <w:rsid w:val="002A038C"/>
    <w:rsid w:val="002A03ED"/>
    <w:rsid w:val="002A040C"/>
    <w:rsid w:val="002A084C"/>
    <w:rsid w:val="002A09AB"/>
    <w:rsid w:val="002A0AE7"/>
    <w:rsid w:val="002A0C93"/>
    <w:rsid w:val="002A0E4C"/>
    <w:rsid w:val="002A103C"/>
    <w:rsid w:val="002A11BA"/>
    <w:rsid w:val="002A15BD"/>
    <w:rsid w:val="002A1A91"/>
    <w:rsid w:val="002A1DC5"/>
    <w:rsid w:val="002A1E25"/>
    <w:rsid w:val="002A232B"/>
    <w:rsid w:val="002A2558"/>
    <w:rsid w:val="002A2C17"/>
    <w:rsid w:val="002A2C42"/>
    <w:rsid w:val="002A2C44"/>
    <w:rsid w:val="002A2C76"/>
    <w:rsid w:val="002A2FF7"/>
    <w:rsid w:val="002A30A1"/>
    <w:rsid w:val="002A3117"/>
    <w:rsid w:val="002A3159"/>
    <w:rsid w:val="002A31EB"/>
    <w:rsid w:val="002A323F"/>
    <w:rsid w:val="002A34B8"/>
    <w:rsid w:val="002A3A53"/>
    <w:rsid w:val="002A4586"/>
    <w:rsid w:val="002A4755"/>
    <w:rsid w:val="002A4AAB"/>
    <w:rsid w:val="002A4CE8"/>
    <w:rsid w:val="002A4D0A"/>
    <w:rsid w:val="002A4D18"/>
    <w:rsid w:val="002A4D38"/>
    <w:rsid w:val="002A4FA5"/>
    <w:rsid w:val="002A4FE9"/>
    <w:rsid w:val="002A5157"/>
    <w:rsid w:val="002A56E4"/>
    <w:rsid w:val="002A5728"/>
    <w:rsid w:val="002A57E5"/>
    <w:rsid w:val="002A5BAF"/>
    <w:rsid w:val="002A5DB1"/>
    <w:rsid w:val="002A5F6D"/>
    <w:rsid w:val="002A5F77"/>
    <w:rsid w:val="002A5FF1"/>
    <w:rsid w:val="002A6062"/>
    <w:rsid w:val="002A61E8"/>
    <w:rsid w:val="002A62A9"/>
    <w:rsid w:val="002A635E"/>
    <w:rsid w:val="002A64A2"/>
    <w:rsid w:val="002A68CC"/>
    <w:rsid w:val="002A6B3D"/>
    <w:rsid w:val="002A6F21"/>
    <w:rsid w:val="002A71BE"/>
    <w:rsid w:val="002A73A1"/>
    <w:rsid w:val="002A73B7"/>
    <w:rsid w:val="002A7405"/>
    <w:rsid w:val="002A74C9"/>
    <w:rsid w:val="002A75A4"/>
    <w:rsid w:val="002A7818"/>
    <w:rsid w:val="002A78B6"/>
    <w:rsid w:val="002A7DF4"/>
    <w:rsid w:val="002A7EB8"/>
    <w:rsid w:val="002B046E"/>
    <w:rsid w:val="002B04D6"/>
    <w:rsid w:val="002B08EF"/>
    <w:rsid w:val="002B0955"/>
    <w:rsid w:val="002B0ADC"/>
    <w:rsid w:val="002B0B38"/>
    <w:rsid w:val="002B0DDB"/>
    <w:rsid w:val="002B1311"/>
    <w:rsid w:val="002B1345"/>
    <w:rsid w:val="002B13C1"/>
    <w:rsid w:val="002B1A8B"/>
    <w:rsid w:val="002B1A97"/>
    <w:rsid w:val="002B1D24"/>
    <w:rsid w:val="002B1D2C"/>
    <w:rsid w:val="002B1F66"/>
    <w:rsid w:val="002B1F77"/>
    <w:rsid w:val="002B210F"/>
    <w:rsid w:val="002B2162"/>
    <w:rsid w:val="002B2750"/>
    <w:rsid w:val="002B2A60"/>
    <w:rsid w:val="002B2C49"/>
    <w:rsid w:val="002B2C80"/>
    <w:rsid w:val="002B2F61"/>
    <w:rsid w:val="002B2F9B"/>
    <w:rsid w:val="002B3182"/>
    <w:rsid w:val="002B3485"/>
    <w:rsid w:val="002B36A9"/>
    <w:rsid w:val="002B378F"/>
    <w:rsid w:val="002B379D"/>
    <w:rsid w:val="002B3BD4"/>
    <w:rsid w:val="002B3DEB"/>
    <w:rsid w:val="002B3E31"/>
    <w:rsid w:val="002B43AA"/>
    <w:rsid w:val="002B44A5"/>
    <w:rsid w:val="002B453C"/>
    <w:rsid w:val="002B4A1F"/>
    <w:rsid w:val="002B4CAB"/>
    <w:rsid w:val="002B4E90"/>
    <w:rsid w:val="002B501F"/>
    <w:rsid w:val="002B50D1"/>
    <w:rsid w:val="002B5127"/>
    <w:rsid w:val="002B5225"/>
    <w:rsid w:val="002B54DA"/>
    <w:rsid w:val="002B5DBE"/>
    <w:rsid w:val="002B6123"/>
    <w:rsid w:val="002B61FA"/>
    <w:rsid w:val="002B625A"/>
    <w:rsid w:val="002B6609"/>
    <w:rsid w:val="002B6799"/>
    <w:rsid w:val="002B6B8F"/>
    <w:rsid w:val="002B6BB3"/>
    <w:rsid w:val="002B6E81"/>
    <w:rsid w:val="002B70E9"/>
    <w:rsid w:val="002B7114"/>
    <w:rsid w:val="002B7176"/>
    <w:rsid w:val="002B7377"/>
    <w:rsid w:val="002B73F3"/>
    <w:rsid w:val="002B767C"/>
    <w:rsid w:val="002B7896"/>
    <w:rsid w:val="002B7CEC"/>
    <w:rsid w:val="002B7D69"/>
    <w:rsid w:val="002B7D7E"/>
    <w:rsid w:val="002B7E15"/>
    <w:rsid w:val="002B7EDC"/>
    <w:rsid w:val="002C000A"/>
    <w:rsid w:val="002C0171"/>
    <w:rsid w:val="002C01D0"/>
    <w:rsid w:val="002C01F5"/>
    <w:rsid w:val="002C0279"/>
    <w:rsid w:val="002C0373"/>
    <w:rsid w:val="002C0903"/>
    <w:rsid w:val="002C0A2A"/>
    <w:rsid w:val="002C0B57"/>
    <w:rsid w:val="002C0E7F"/>
    <w:rsid w:val="002C0E8F"/>
    <w:rsid w:val="002C1317"/>
    <w:rsid w:val="002C15A7"/>
    <w:rsid w:val="002C15F3"/>
    <w:rsid w:val="002C1979"/>
    <w:rsid w:val="002C1D3E"/>
    <w:rsid w:val="002C1EFC"/>
    <w:rsid w:val="002C1F5E"/>
    <w:rsid w:val="002C1F90"/>
    <w:rsid w:val="002C2273"/>
    <w:rsid w:val="002C2332"/>
    <w:rsid w:val="002C2BF4"/>
    <w:rsid w:val="002C2D98"/>
    <w:rsid w:val="002C2E24"/>
    <w:rsid w:val="002C32A4"/>
    <w:rsid w:val="002C3419"/>
    <w:rsid w:val="002C3859"/>
    <w:rsid w:val="002C396E"/>
    <w:rsid w:val="002C3993"/>
    <w:rsid w:val="002C3AB1"/>
    <w:rsid w:val="002C3ADB"/>
    <w:rsid w:val="002C3BCA"/>
    <w:rsid w:val="002C3E4F"/>
    <w:rsid w:val="002C3F2C"/>
    <w:rsid w:val="002C430F"/>
    <w:rsid w:val="002C4779"/>
    <w:rsid w:val="002C48A0"/>
    <w:rsid w:val="002C4AF5"/>
    <w:rsid w:val="002C4C52"/>
    <w:rsid w:val="002C4DFF"/>
    <w:rsid w:val="002C50FE"/>
    <w:rsid w:val="002C5106"/>
    <w:rsid w:val="002C5B5B"/>
    <w:rsid w:val="002C5BDD"/>
    <w:rsid w:val="002C5E2B"/>
    <w:rsid w:val="002C6877"/>
    <w:rsid w:val="002C6B95"/>
    <w:rsid w:val="002C6F74"/>
    <w:rsid w:val="002C72ED"/>
    <w:rsid w:val="002C764C"/>
    <w:rsid w:val="002C78B7"/>
    <w:rsid w:val="002C78EB"/>
    <w:rsid w:val="002C7B9C"/>
    <w:rsid w:val="002C7D29"/>
    <w:rsid w:val="002D0376"/>
    <w:rsid w:val="002D051E"/>
    <w:rsid w:val="002D07A7"/>
    <w:rsid w:val="002D0865"/>
    <w:rsid w:val="002D09E8"/>
    <w:rsid w:val="002D0B78"/>
    <w:rsid w:val="002D1078"/>
    <w:rsid w:val="002D110F"/>
    <w:rsid w:val="002D1276"/>
    <w:rsid w:val="002D149E"/>
    <w:rsid w:val="002D1612"/>
    <w:rsid w:val="002D16A5"/>
    <w:rsid w:val="002D1A37"/>
    <w:rsid w:val="002D2075"/>
    <w:rsid w:val="002D24E2"/>
    <w:rsid w:val="002D2727"/>
    <w:rsid w:val="002D2EC0"/>
    <w:rsid w:val="002D2F08"/>
    <w:rsid w:val="002D2F6A"/>
    <w:rsid w:val="002D332E"/>
    <w:rsid w:val="002D3449"/>
    <w:rsid w:val="002D3471"/>
    <w:rsid w:val="002D35B9"/>
    <w:rsid w:val="002D3655"/>
    <w:rsid w:val="002D3774"/>
    <w:rsid w:val="002D3833"/>
    <w:rsid w:val="002D3858"/>
    <w:rsid w:val="002D3883"/>
    <w:rsid w:val="002D389A"/>
    <w:rsid w:val="002D397B"/>
    <w:rsid w:val="002D3ABA"/>
    <w:rsid w:val="002D3E5A"/>
    <w:rsid w:val="002D3EDC"/>
    <w:rsid w:val="002D413E"/>
    <w:rsid w:val="002D4533"/>
    <w:rsid w:val="002D45A3"/>
    <w:rsid w:val="002D470E"/>
    <w:rsid w:val="002D5005"/>
    <w:rsid w:val="002D506A"/>
    <w:rsid w:val="002D50B8"/>
    <w:rsid w:val="002D52D3"/>
    <w:rsid w:val="002D550D"/>
    <w:rsid w:val="002D5605"/>
    <w:rsid w:val="002D576B"/>
    <w:rsid w:val="002D5867"/>
    <w:rsid w:val="002D593B"/>
    <w:rsid w:val="002D5C23"/>
    <w:rsid w:val="002D5CD6"/>
    <w:rsid w:val="002D60CB"/>
    <w:rsid w:val="002D60D6"/>
    <w:rsid w:val="002D681C"/>
    <w:rsid w:val="002D6989"/>
    <w:rsid w:val="002D6AEE"/>
    <w:rsid w:val="002D6B74"/>
    <w:rsid w:val="002D6D92"/>
    <w:rsid w:val="002D7054"/>
    <w:rsid w:val="002D753A"/>
    <w:rsid w:val="002D75A6"/>
    <w:rsid w:val="002D77DD"/>
    <w:rsid w:val="002D785F"/>
    <w:rsid w:val="002D79D8"/>
    <w:rsid w:val="002D7ABF"/>
    <w:rsid w:val="002D7AF9"/>
    <w:rsid w:val="002D7B2B"/>
    <w:rsid w:val="002D7B6B"/>
    <w:rsid w:val="002D7FE1"/>
    <w:rsid w:val="002E0062"/>
    <w:rsid w:val="002E01EA"/>
    <w:rsid w:val="002E01FD"/>
    <w:rsid w:val="002E03E8"/>
    <w:rsid w:val="002E0607"/>
    <w:rsid w:val="002E0660"/>
    <w:rsid w:val="002E06AF"/>
    <w:rsid w:val="002E06C1"/>
    <w:rsid w:val="002E0802"/>
    <w:rsid w:val="002E0CE7"/>
    <w:rsid w:val="002E0D4F"/>
    <w:rsid w:val="002E0E4E"/>
    <w:rsid w:val="002E0E9C"/>
    <w:rsid w:val="002E0F50"/>
    <w:rsid w:val="002E1080"/>
    <w:rsid w:val="002E116D"/>
    <w:rsid w:val="002E1258"/>
    <w:rsid w:val="002E15AA"/>
    <w:rsid w:val="002E174A"/>
    <w:rsid w:val="002E19CB"/>
    <w:rsid w:val="002E1C6F"/>
    <w:rsid w:val="002E1E4C"/>
    <w:rsid w:val="002E1FD8"/>
    <w:rsid w:val="002E2198"/>
    <w:rsid w:val="002E21FE"/>
    <w:rsid w:val="002E235C"/>
    <w:rsid w:val="002E238E"/>
    <w:rsid w:val="002E2446"/>
    <w:rsid w:val="002E256D"/>
    <w:rsid w:val="002E2A35"/>
    <w:rsid w:val="002E2B78"/>
    <w:rsid w:val="002E2EC6"/>
    <w:rsid w:val="002E2EE3"/>
    <w:rsid w:val="002E3130"/>
    <w:rsid w:val="002E3216"/>
    <w:rsid w:val="002E3229"/>
    <w:rsid w:val="002E3380"/>
    <w:rsid w:val="002E35D6"/>
    <w:rsid w:val="002E3662"/>
    <w:rsid w:val="002E36E1"/>
    <w:rsid w:val="002E3CCE"/>
    <w:rsid w:val="002E3D2F"/>
    <w:rsid w:val="002E3EEE"/>
    <w:rsid w:val="002E414E"/>
    <w:rsid w:val="002E41AD"/>
    <w:rsid w:val="002E4403"/>
    <w:rsid w:val="002E4552"/>
    <w:rsid w:val="002E49CA"/>
    <w:rsid w:val="002E49D4"/>
    <w:rsid w:val="002E4A9E"/>
    <w:rsid w:val="002E4B49"/>
    <w:rsid w:val="002E4B6B"/>
    <w:rsid w:val="002E4B85"/>
    <w:rsid w:val="002E4CF5"/>
    <w:rsid w:val="002E4D21"/>
    <w:rsid w:val="002E51A5"/>
    <w:rsid w:val="002E52BE"/>
    <w:rsid w:val="002E52FC"/>
    <w:rsid w:val="002E53BF"/>
    <w:rsid w:val="002E552E"/>
    <w:rsid w:val="002E55F8"/>
    <w:rsid w:val="002E59F7"/>
    <w:rsid w:val="002E5AD3"/>
    <w:rsid w:val="002E5C44"/>
    <w:rsid w:val="002E5D2A"/>
    <w:rsid w:val="002E6266"/>
    <w:rsid w:val="002E677E"/>
    <w:rsid w:val="002E679D"/>
    <w:rsid w:val="002E6829"/>
    <w:rsid w:val="002E6C3F"/>
    <w:rsid w:val="002E6C77"/>
    <w:rsid w:val="002E6E62"/>
    <w:rsid w:val="002E7216"/>
    <w:rsid w:val="002E7230"/>
    <w:rsid w:val="002E7334"/>
    <w:rsid w:val="002E7AD8"/>
    <w:rsid w:val="002E7B4C"/>
    <w:rsid w:val="002E7CE9"/>
    <w:rsid w:val="002F02F9"/>
    <w:rsid w:val="002F0382"/>
    <w:rsid w:val="002F0389"/>
    <w:rsid w:val="002F09BE"/>
    <w:rsid w:val="002F0AFF"/>
    <w:rsid w:val="002F0B35"/>
    <w:rsid w:val="002F0C27"/>
    <w:rsid w:val="002F0DC1"/>
    <w:rsid w:val="002F10DC"/>
    <w:rsid w:val="002F1167"/>
    <w:rsid w:val="002F1356"/>
    <w:rsid w:val="002F171F"/>
    <w:rsid w:val="002F1992"/>
    <w:rsid w:val="002F1B9A"/>
    <w:rsid w:val="002F1C56"/>
    <w:rsid w:val="002F1DB7"/>
    <w:rsid w:val="002F2231"/>
    <w:rsid w:val="002F25A4"/>
    <w:rsid w:val="002F25DC"/>
    <w:rsid w:val="002F2A77"/>
    <w:rsid w:val="002F2B01"/>
    <w:rsid w:val="002F2CB6"/>
    <w:rsid w:val="002F2CCD"/>
    <w:rsid w:val="002F2D15"/>
    <w:rsid w:val="002F2E91"/>
    <w:rsid w:val="002F2F65"/>
    <w:rsid w:val="002F2FDE"/>
    <w:rsid w:val="002F3805"/>
    <w:rsid w:val="002F38E0"/>
    <w:rsid w:val="002F39AB"/>
    <w:rsid w:val="002F3BC3"/>
    <w:rsid w:val="002F3C29"/>
    <w:rsid w:val="002F3C87"/>
    <w:rsid w:val="002F3CF6"/>
    <w:rsid w:val="002F3D64"/>
    <w:rsid w:val="002F3D93"/>
    <w:rsid w:val="002F4294"/>
    <w:rsid w:val="002F445D"/>
    <w:rsid w:val="002F46A7"/>
    <w:rsid w:val="002F4CD5"/>
    <w:rsid w:val="002F4D10"/>
    <w:rsid w:val="002F4E26"/>
    <w:rsid w:val="002F514B"/>
    <w:rsid w:val="002F559F"/>
    <w:rsid w:val="002F55CC"/>
    <w:rsid w:val="002F5D36"/>
    <w:rsid w:val="002F5DB8"/>
    <w:rsid w:val="002F5E26"/>
    <w:rsid w:val="002F5E50"/>
    <w:rsid w:val="002F6086"/>
    <w:rsid w:val="002F61D0"/>
    <w:rsid w:val="002F6287"/>
    <w:rsid w:val="002F6423"/>
    <w:rsid w:val="002F6448"/>
    <w:rsid w:val="002F65E7"/>
    <w:rsid w:val="002F6699"/>
    <w:rsid w:val="002F66C4"/>
    <w:rsid w:val="002F67C5"/>
    <w:rsid w:val="002F69A6"/>
    <w:rsid w:val="002F6A67"/>
    <w:rsid w:val="002F6BF4"/>
    <w:rsid w:val="002F6CCA"/>
    <w:rsid w:val="002F6FCF"/>
    <w:rsid w:val="002F70C8"/>
    <w:rsid w:val="002F71BC"/>
    <w:rsid w:val="002F7530"/>
    <w:rsid w:val="002F7A36"/>
    <w:rsid w:val="002F7A42"/>
    <w:rsid w:val="002F7C15"/>
    <w:rsid w:val="002F7C21"/>
    <w:rsid w:val="002F7C3F"/>
    <w:rsid w:val="002F7CAE"/>
    <w:rsid w:val="0030040C"/>
    <w:rsid w:val="003007ED"/>
    <w:rsid w:val="00300A70"/>
    <w:rsid w:val="00300BA2"/>
    <w:rsid w:val="00300C3E"/>
    <w:rsid w:val="00300D57"/>
    <w:rsid w:val="00300DFA"/>
    <w:rsid w:val="003012FD"/>
    <w:rsid w:val="0030131B"/>
    <w:rsid w:val="003013C2"/>
    <w:rsid w:val="0030157E"/>
    <w:rsid w:val="00301780"/>
    <w:rsid w:val="00301A36"/>
    <w:rsid w:val="00301C7F"/>
    <w:rsid w:val="00301EB6"/>
    <w:rsid w:val="00301F3B"/>
    <w:rsid w:val="00302087"/>
    <w:rsid w:val="00302234"/>
    <w:rsid w:val="00302453"/>
    <w:rsid w:val="00302AA1"/>
    <w:rsid w:val="00302D48"/>
    <w:rsid w:val="00302D91"/>
    <w:rsid w:val="00303245"/>
    <w:rsid w:val="00303648"/>
    <w:rsid w:val="00303B10"/>
    <w:rsid w:val="00303EE9"/>
    <w:rsid w:val="00303F9E"/>
    <w:rsid w:val="00304031"/>
    <w:rsid w:val="003045E0"/>
    <w:rsid w:val="00304655"/>
    <w:rsid w:val="003046B5"/>
    <w:rsid w:val="00304958"/>
    <w:rsid w:val="00304986"/>
    <w:rsid w:val="00304A60"/>
    <w:rsid w:val="00304AA2"/>
    <w:rsid w:val="00304D07"/>
    <w:rsid w:val="00304F17"/>
    <w:rsid w:val="00304F1D"/>
    <w:rsid w:val="00304FED"/>
    <w:rsid w:val="0030510B"/>
    <w:rsid w:val="003056B2"/>
    <w:rsid w:val="00305799"/>
    <w:rsid w:val="00305938"/>
    <w:rsid w:val="00305982"/>
    <w:rsid w:val="00305CC2"/>
    <w:rsid w:val="00305DBD"/>
    <w:rsid w:val="0030602E"/>
    <w:rsid w:val="003064F3"/>
    <w:rsid w:val="003067B4"/>
    <w:rsid w:val="00306F16"/>
    <w:rsid w:val="0030703C"/>
    <w:rsid w:val="00307922"/>
    <w:rsid w:val="00307B14"/>
    <w:rsid w:val="00307C4F"/>
    <w:rsid w:val="00307F5F"/>
    <w:rsid w:val="00307FB7"/>
    <w:rsid w:val="00310224"/>
    <w:rsid w:val="00310274"/>
    <w:rsid w:val="003103DF"/>
    <w:rsid w:val="00310412"/>
    <w:rsid w:val="00310435"/>
    <w:rsid w:val="003104A1"/>
    <w:rsid w:val="00310503"/>
    <w:rsid w:val="00310533"/>
    <w:rsid w:val="003108C0"/>
    <w:rsid w:val="00310D64"/>
    <w:rsid w:val="00310E2A"/>
    <w:rsid w:val="00310F80"/>
    <w:rsid w:val="003110BF"/>
    <w:rsid w:val="0031130A"/>
    <w:rsid w:val="0031155B"/>
    <w:rsid w:val="0031164D"/>
    <w:rsid w:val="003117D8"/>
    <w:rsid w:val="0031181F"/>
    <w:rsid w:val="00311959"/>
    <w:rsid w:val="0031199F"/>
    <w:rsid w:val="003119BA"/>
    <w:rsid w:val="00311E21"/>
    <w:rsid w:val="00311E4F"/>
    <w:rsid w:val="0031237E"/>
    <w:rsid w:val="003123B9"/>
    <w:rsid w:val="00312541"/>
    <w:rsid w:val="003127A5"/>
    <w:rsid w:val="00312B7F"/>
    <w:rsid w:val="00312CF1"/>
    <w:rsid w:val="00312EEF"/>
    <w:rsid w:val="00313847"/>
    <w:rsid w:val="00313924"/>
    <w:rsid w:val="00313B2E"/>
    <w:rsid w:val="00313E7B"/>
    <w:rsid w:val="0031401C"/>
    <w:rsid w:val="00314067"/>
    <w:rsid w:val="003143F6"/>
    <w:rsid w:val="00314549"/>
    <w:rsid w:val="00314826"/>
    <w:rsid w:val="003149A1"/>
    <w:rsid w:val="00314B9F"/>
    <w:rsid w:val="00314BFD"/>
    <w:rsid w:val="00314D62"/>
    <w:rsid w:val="00314DA5"/>
    <w:rsid w:val="00314EE5"/>
    <w:rsid w:val="00314F1C"/>
    <w:rsid w:val="0031543A"/>
    <w:rsid w:val="00315511"/>
    <w:rsid w:val="00315632"/>
    <w:rsid w:val="00315847"/>
    <w:rsid w:val="00315876"/>
    <w:rsid w:val="00315962"/>
    <w:rsid w:val="00315B8C"/>
    <w:rsid w:val="00315BD1"/>
    <w:rsid w:val="00315C6E"/>
    <w:rsid w:val="00315C83"/>
    <w:rsid w:val="00315CEA"/>
    <w:rsid w:val="00315EF8"/>
    <w:rsid w:val="00316125"/>
    <w:rsid w:val="0031642B"/>
    <w:rsid w:val="003165E3"/>
    <w:rsid w:val="00316B73"/>
    <w:rsid w:val="00316B91"/>
    <w:rsid w:val="00316BE3"/>
    <w:rsid w:val="00316C12"/>
    <w:rsid w:val="00316DD5"/>
    <w:rsid w:val="003171D4"/>
    <w:rsid w:val="003176A0"/>
    <w:rsid w:val="003176BF"/>
    <w:rsid w:val="003176E4"/>
    <w:rsid w:val="00317790"/>
    <w:rsid w:val="00317992"/>
    <w:rsid w:val="00317BBF"/>
    <w:rsid w:val="00317C16"/>
    <w:rsid w:val="00317CC4"/>
    <w:rsid w:val="00317DE4"/>
    <w:rsid w:val="00317EB8"/>
    <w:rsid w:val="00317FF4"/>
    <w:rsid w:val="00320047"/>
    <w:rsid w:val="003200A5"/>
    <w:rsid w:val="00320165"/>
    <w:rsid w:val="003201BE"/>
    <w:rsid w:val="003202ED"/>
    <w:rsid w:val="0032033F"/>
    <w:rsid w:val="0032053B"/>
    <w:rsid w:val="003205C1"/>
    <w:rsid w:val="0032063C"/>
    <w:rsid w:val="00320719"/>
    <w:rsid w:val="00320C34"/>
    <w:rsid w:val="003212D0"/>
    <w:rsid w:val="003217AB"/>
    <w:rsid w:val="003218FC"/>
    <w:rsid w:val="00321A80"/>
    <w:rsid w:val="00321B51"/>
    <w:rsid w:val="0032223A"/>
    <w:rsid w:val="00322684"/>
    <w:rsid w:val="003226DC"/>
    <w:rsid w:val="00322995"/>
    <w:rsid w:val="00322B49"/>
    <w:rsid w:val="00322D93"/>
    <w:rsid w:val="003232E6"/>
    <w:rsid w:val="0032347B"/>
    <w:rsid w:val="0032374F"/>
    <w:rsid w:val="00323A03"/>
    <w:rsid w:val="00323A21"/>
    <w:rsid w:val="00323A7E"/>
    <w:rsid w:val="00323B3F"/>
    <w:rsid w:val="00324157"/>
    <w:rsid w:val="00324158"/>
    <w:rsid w:val="0032427E"/>
    <w:rsid w:val="003244D6"/>
    <w:rsid w:val="003246ED"/>
    <w:rsid w:val="003247C8"/>
    <w:rsid w:val="00324D11"/>
    <w:rsid w:val="00325102"/>
    <w:rsid w:val="003252D2"/>
    <w:rsid w:val="003252E5"/>
    <w:rsid w:val="0032547E"/>
    <w:rsid w:val="003254A0"/>
    <w:rsid w:val="003254AB"/>
    <w:rsid w:val="00325607"/>
    <w:rsid w:val="00325A5A"/>
    <w:rsid w:val="00325B68"/>
    <w:rsid w:val="00325C61"/>
    <w:rsid w:val="00325EA8"/>
    <w:rsid w:val="003261E2"/>
    <w:rsid w:val="003262C2"/>
    <w:rsid w:val="003263DE"/>
    <w:rsid w:val="00326557"/>
    <w:rsid w:val="00326751"/>
    <w:rsid w:val="00326DBD"/>
    <w:rsid w:val="003271D7"/>
    <w:rsid w:val="003274EA"/>
    <w:rsid w:val="00327AE4"/>
    <w:rsid w:val="00327E16"/>
    <w:rsid w:val="003300EB"/>
    <w:rsid w:val="00330131"/>
    <w:rsid w:val="003301EA"/>
    <w:rsid w:val="003306A8"/>
    <w:rsid w:val="00330848"/>
    <w:rsid w:val="0033092E"/>
    <w:rsid w:val="00330964"/>
    <w:rsid w:val="003309DA"/>
    <w:rsid w:val="00330B88"/>
    <w:rsid w:val="00330CFB"/>
    <w:rsid w:val="00330D42"/>
    <w:rsid w:val="003310A4"/>
    <w:rsid w:val="003318BD"/>
    <w:rsid w:val="003318E9"/>
    <w:rsid w:val="00331AA2"/>
    <w:rsid w:val="00331D58"/>
    <w:rsid w:val="00331E32"/>
    <w:rsid w:val="003320CE"/>
    <w:rsid w:val="003320E8"/>
    <w:rsid w:val="00332227"/>
    <w:rsid w:val="00332438"/>
    <w:rsid w:val="00332524"/>
    <w:rsid w:val="00332537"/>
    <w:rsid w:val="003325BE"/>
    <w:rsid w:val="003325F5"/>
    <w:rsid w:val="00332667"/>
    <w:rsid w:val="00332ABC"/>
    <w:rsid w:val="00332D0C"/>
    <w:rsid w:val="00332D79"/>
    <w:rsid w:val="00332DE2"/>
    <w:rsid w:val="00332EEE"/>
    <w:rsid w:val="0033314A"/>
    <w:rsid w:val="0033317E"/>
    <w:rsid w:val="0033340E"/>
    <w:rsid w:val="00333450"/>
    <w:rsid w:val="003334D6"/>
    <w:rsid w:val="0033370F"/>
    <w:rsid w:val="0033383F"/>
    <w:rsid w:val="003338A1"/>
    <w:rsid w:val="00333986"/>
    <w:rsid w:val="00333AC8"/>
    <w:rsid w:val="00333CBA"/>
    <w:rsid w:val="00334075"/>
    <w:rsid w:val="00334194"/>
    <w:rsid w:val="003343D3"/>
    <w:rsid w:val="003343E0"/>
    <w:rsid w:val="00334537"/>
    <w:rsid w:val="0033458E"/>
    <w:rsid w:val="0033462E"/>
    <w:rsid w:val="00334739"/>
    <w:rsid w:val="00334987"/>
    <w:rsid w:val="00334A74"/>
    <w:rsid w:val="00334DD6"/>
    <w:rsid w:val="00334E46"/>
    <w:rsid w:val="00334FE0"/>
    <w:rsid w:val="00335006"/>
    <w:rsid w:val="0033501E"/>
    <w:rsid w:val="0033505A"/>
    <w:rsid w:val="003350C0"/>
    <w:rsid w:val="0033517B"/>
    <w:rsid w:val="003351C7"/>
    <w:rsid w:val="00335656"/>
    <w:rsid w:val="0033599F"/>
    <w:rsid w:val="00335A6E"/>
    <w:rsid w:val="00335A90"/>
    <w:rsid w:val="00335AFE"/>
    <w:rsid w:val="00335B8C"/>
    <w:rsid w:val="00335D5D"/>
    <w:rsid w:val="00335EF1"/>
    <w:rsid w:val="00336028"/>
    <w:rsid w:val="003363D7"/>
    <w:rsid w:val="0033652F"/>
    <w:rsid w:val="00336A0A"/>
    <w:rsid w:val="00336BC7"/>
    <w:rsid w:val="00336C4F"/>
    <w:rsid w:val="00336EBA"/>
    <w:rsid w:val="00337486"/>
    <w:rsid w:val="00337529"/>
    <w:rsid w:val="003375C2"/>
    <w:rsid w:val="00337875"/>
    <w:rsid w:val="003379C6"/>
    <w:rsid w:val="00337B42"/>
    <w:rsid w:val="00337CAC"/>
    <w:rsid w:val="00337E23"/>
    <w:rsid w:val="00337E71"/>
    <w:rsid w:val="00340433"/>
    <w:rsid w:val="003406BA"/>
    <w:rsid w:val="00340A5F"/>
    <w:rsid w:val="00340BBB"/>
    <w:rsid w:val="00340C46"/>
    <w:rsid w:val="00340D17"/>
    <w:rsid w:val="00340F63"/>
    <w:rsid w:val="00340FD5"/>
    <w:rsid w:val="003412B2"/>
    <w:rsid w:val="00341361"/>
    <w:rsid w:val="003414D3"/>
    <w:rsid w:val="0034169C"/>
    <w:rsid w:val="00341730"/>
    <w:rsid w:val="0034184B"/>
    <w:rsid w:val="00341909"/>
    <w:rsid w:val="00341AEB"/>
    <w:rsid w:val="00341D68"/>
    <w:rsid w:val="00341EF7"/>
    <w:rsid w:val="003420AB"/>
    <w:rsid w:val="003421A0"/>
    <w:rsid w:val="00342653"/>
    <w:rsid w:val="00342680"/>
    <w:rsid w:val="0034269A"/>
    <w:rsid w:val="00342745"/>
    <w:rsid w:val="00342777"/>
    <w:rsid w:val="003428A4"/>
    <w:rsid w:val="003428AB"/>
    <w:rsid w:val="003429FC"/>
    <w:rsid w:val="00342A9A"/>
    <w:rsid w:val="00342D0E"/>
    <w:rsid w:val="003430AD"/>
    <w:rsid w:val="00343276"/>
    <w:rsid w:val="00343581"/>
    <w:rsid w:val="00343582"/>
    <w:rsid w:val="003435E5"/>
    <w:rsid w:val="003439AA"/>
    <w:rsid w:val="00343A76"/>
    <w:rsid w:val="00343F53"/>
    <w:rsid w:val="00344117"/>
    <w:rsid w:val="003443A3"/>
    <w:rsid w:val="003448D3"/>
    <w:rsid w:val="00344AB1"/>
    <w:rsid w:val="00344D46"/>
    <w:rsid w:val="00344DD1"/>
    <w:rsid w:val="00344E32"/>
    <w:rsid w:val="00344E3C"/>
    <w:rsid w:val="00344E83"/>
    <w:rsid w:val="00344EFE"/>
    <w:rsid w:val="003450CC"/>
    <w:rsid w:val="003452E3"/>
    <w:rsid w:val="00345318"/>
    <w:rsid w:val="003454A6"/>
    <w:rsid w:val="003455C2"/>
    <w:rsid w:val="003458FA"/>
    <w:rsid w:val="00345B9C"/>
    <w:rsid w:val="00345BF1"/>
    <w:rsid w:val="00345D8D"/>
    <w:rsid w:val="00345D95"/>
    <w:rsid w:val="00345DAB"/>
    <w:rsid w:val="003460A8"/>
    <w:rsid w:val="003462FB"/>
    <w:rsid w:val="00346594"/>
    <w:rsid w:val="003465AD"/>
    <w:rsid w:val="00346A3B"/>
    <w:rsid w:val="00346A7C"/>
    <w:rsid w:val="00346C4D"/>
    <w:rsid w:val="00346DEA"/>
    <w:rsid w:val="00346EA1"/>
    <w:rsid w:val="003471FA"/>
    <w:rsid w:val="00347296"/>
    <w:rsid w:val="0034745E"/>
    <w:rsid w:val="003475FB"/>
    <w:rsid w:val="003476EC"/>
    <w:rsid w:val="003476FE"/>
    <w:rsid w:val="00347883"/>
    <w:rsid w:val="00347900"/>
    <w:rsid w:val="00347A1D"/>
    <w:rsid w:val="00347C41"/>
    <w:rsid w:val="00347DD4"/>
    <w:rsid w:val="00347F5E"/>
    <w:rsid w:val="003502FB"/>
    <w:rsid w:val="00350553"/>
    <w:rsid w:val="00350621"/>
    <w:rsid w:val="00350D27"/>
    <w:rsid w:val="00350F64"/>
    <w:rsid w:val="00351082"/>
    <w:rsid w:val="003512F8"/>
    <w:rsid w:val="003513E1"/>
    <w:rsid w:val="003517D5"/>
    <w:rsid w:val="00351B96"/>
    <w:rsid w:val="00351D47"/>
    <w:rsid w:val="00351D79"/>
    <w:rsid w:val="003520F9"/>
    <w:rsid w:val="00352593"/>
    <w:rsid w:val="003525DA"/>
    <w:rsid w:val="00352B92"/>
    <w:rsid w:val="00352C2A"/>
    <w:rsid w:val="0035300A"/>
    <w:rsid w:val="00353130"/>
    <w:rsid w:val="00353285"/>
    <w:rsid w:val="003533F8"/>
    <w:rsid w:val="0035352C"/>
    <w:rsid w:val="00353601"/>
    <w:rsid w:val="0035384B"/>
    <w:rsid w:val="00353B03"/>
    <w:rsid w:val="00353C68"/>
    <w:rsid w:val="00353E08"/>
    <w:rsid w:val="00353E2F"/>
    <w:rsid w:val="00353EFD"/>
    <w:rsid w:val="003544F8"/>
    <w:rsid w:val="00354833"/>
    <w:rsid w:val="00354850"/>
    <w:rsid w:val="003549BB"/>
    <w:rsid w:val="00354B57"/>
    <w:rsid w:val="00354C1F"/>
    <w:rsid w:val="00354E8E"/>
    <w:rsid w:val="00355006"/>
    <w:rsid w:val="00355074"/>
    <w:rsid w:val="003550E6"/>
    <w:rsid w:val="0035532B"/>
    <w:rsid w:val="00355993"/>
    <w:rsid w:val="00355D09"/>
    <w:rsid w:val="00355DFC"/>
    <w:rsid w:val="00356034"/>
    <w:rsid w:val="003563A2"/>
    <w:rsid w:val="00356403"/>
    <w:rsid w:val="0035641F"/>
    <w:rsid w:val="003564E6"/>
    <w:rsid w:val="003569DB"/>
    <w:rsid w:val="00356A5E"/>
    <w:rsid w:val="00356ADB"/>
    <w:rsid w:val="00356BA2"/>
    <w:rsid w:val="00356C49"/>
    <w:rsid w:val="00356EBF"/>
    <w:rsid w:val="0035702A"/>
    <w:rsid w:val="00357182"/>
    <w:rsid w:val="003575CC"/>
    <w:rsid w:val="0035777E"/>
    <w:rsid w:val="00357788"/>
    <w:rsid w:val="0035786B"/>
    <w:rsid w:val="003578FF"/>
    <w:rsid w:val="00357A07"/>
    <w:rsid w:val="00357D1D"/>
    <w:rsid w:val="00357E9D"/>
    <w:rsid w:val="003601DF"/>
    <w:rsid w:val="00360535"/>
    <w:rsid w:val="003608C7"/>
    <w:rsid w:val="00360957"/>
    <w:rsid w:val="00360A4E"/>
    <w:rsid w:val="00360A5A"/>
    <w:rsid w:val="00360C03"/>
    <w:rsid w:val="00360F6C"/>
    <w:rsid w:val="003610F6"/>
    <w:rsid w:val="00361149"/>
    <w:rsid w:val="003611B7"/>
    <w:rsid w:val="00361493"/>
    <w:rsid w:val="0036151F"/>
    <w:rsid w:val="003617AC"/>
    <w:rsid w:val="0036187D"/>
    <w:rsid w:val="003618DF"/>
    <w:rsid w:val="00361B01"/>
    <w:rsid w:val="00361B53"/>
    <w:rsid w:val="00361BA6"/>
    <w:rsid w:val="00361BBF"/>
    <w:rsid w:val="003625EB"/>
    <w:rsid w:val="0036268E"/>
    <w:rsid w:val="00362A06"/>
    <w:rsid w:val="00362A91"/>
    <w:rsid w:val="00362D44"/>
    <w:rsid w:val="00362DD5"/>
    <w:rsid w:val="00362E50"/>
    <w:rsid w:val="003631B1"/>
    <w:rsid w:val="0036334E"/>
    <w:rsid w:val="003634A2"/>
    <w:rsid w:val="0036381F"/>
    <w:rsid w:val="00363991"/>
    <w:rsid w:val="00363A0E"/>
    <w:rsid w:val="00363ADE"/>
    <w:rsid w:val="00363D70"/>
    <w:rsid w:val="00363F5A"/>
    <w:rsid w:val="00364094"/>
    <w:rsid w:val="003643F9"/>
    <w:rsid w:val="00364546"/>
    <w:rsid w:val="0036457C"/>
    <w:rsid w:val="003646E3"/>
    <w:rsid w:val="00364ACB"/>
    <w:rsid w:val="00364C78"/>
    <w:rsid w:val="00364CFC"/>
    <w:rsid w:val="00364D19"/>
    <w:rsid w:val="00365398"/>
    <w:rsid w:val="0036580D"/>
    <w:rsid w:val="00365C2E"/>
    <w:rsid w:val="00365F47"/>
    <w:rsid w:val="003663A2"/>
    <w:rsid w:val="003663BA"/>
    <w:rsid w:val="00366609"/>
    <w:rsid w:val="003667C9"/>
    <w:rsid w:val="00366CD8"/>
    <w:rsid w:val="00366EAB"/>
    <w:rsid w:val="00366FB9"/>
    <w:rsid w:val="00366FC1"/>
    <w:rsid w:val="003671C6"/>
    <w:rsid w:val="0036769E"/>
    <w:rsid w:val="00367D51"/>
    <w:rsid w:val="00370049"/>
    <w:rsid w:val="00370126"/>
    <w:rsid w:val="003702DA"/>
    <w:rsid w:val="00370356"/>
    <w:rsid w:val="0037047A"/>
    <w:rsid w:val="003705AC"/>
    <w:rsid w:val="00370630"/>
    <w:rsid w:val="00370785"/>
    <w:rsid w:val="003708C2"/>
    <w:rsid w:val="00370ABE"/>
    <w:rsid w:val="00370B37"/>
    <w:rsid w:val="00370B65"/>
    <w:rsid w:val="00370EF5"/>
    <w:rsid w:val="00370F9C"/>
    <w:rsid w:val="00371302"/>
    <w:rsid w:val="0037138E"/>
    <w:rsid w:val="00371737"/>
    <w:rsid w:val="0037173B"/>
    <w:rsid w:val="003717A9"/>
    <w:rsid w:val="003719B4"/>
    <w:rsid w:val="00371B63"/>
    <w:rsid w:val="003726F6"/>
    <w:rsid w:val="00372A6F"/>
    <w:rsid w:val="00372C1E"/>
    <w:rsid w:val="00373668"/>
    <w:rsid w:val="003736C3"/>
    <w:rsid w:val="0037373E"/>
    <w:rsid w:val="003739D9"/>
    <w:rsid w:val="00373A37"/>
    <w:rsid w:val="00373DE5"/>
    <w:rsid w:val="00374443"/>
    <w:rsid w:val="003744FF"/>
    <w:rsid w:val="003747DC"/>
    <w:rsid w:val="00374A6B"/>
    <w:rsid w:val="00374B35"/>
    <w:rsid w:val="00374C02"/>
    <w:rsid w:val="00374C64"/>
    <w:rsid w:val="00374EC7"/>
    <w:rsid w:val="003751C5"/>
    <w:rsid w:val="00375519"/>
    <w:rsid w:val="00375A13"/>
    <w:rsid w:val="00375AE1"/>
    <w:rsid w:val="00375AE4"/>
    <w:rsid w:val="00375F66"/>
    <w:rsid w:val="0037609B"/>
    <w:rsid w:val="00376136"/>
    <w:rsid w:val="003763B6"/>
    <w:rsid w:val="00376403"/>
    <w:rsid w:val="0037653D"/>
    <w:rsid w:val="003765B6"/>
    <w:rsid w:val="00376A38"/>
    <w:rsid w:val="00376A4F"/>
    <w:rsid w:val="00376A7F"/>
    <w:rsid w:val="00376D4E"/>
    <w:rsid w:val="00376D63"/>
    <w:rsid w:val="00377214"/>
    <w:rsid w:val="00377313"/>
    <w:rsid w:val="00377516"/>
    <w:rsid w:val="00377657"/>
    <w:rsid w:val="00377D30"/>
    <w:rsid w:val="00377D64"/>
    <w:rsid w:val="00377D76"/>
    <w:rsid w:val="00377EA0"/>
    <w:rsid w:val="00377EBD"/>
    <w:rsid w:val="00377F82"/>
    <w:rsid w:val="00380187"/>
    <w:rsid w:val="003801BB"/>
    <w:rsid w:val="003801DB"/>
    <w:rsid w:val="0038097D"/>
    <w:rsid w:val="00380B32"/>
    <w:rsid w:val="00380D0E"/>
    <w:rsid w:val="003811B4"/>
    <w:rsid w:val="003812DF"/>
    <w:rsid w:val="00381359"/>
    <w:rsid w:val="00381398"/>
    <w:rsid w:val="003815AB"/>
    <w:rsid w:val="00381A6D"/>
    <w:rsid w:val="00381AD1"/>
    <w:rsid w:val="00381AE4"/>
    <w:rsid w:val="00381BA9"/>
    <w:rsid w:val="00381FA6"/>
    <w:rsid w:val="003821DB"/>
    <w:rsid w:val="00382222"/>
    <w:rsid w:val="00382275"/>
    <w:rsid w:val="00382493"/>
    <w:rsid w:val="0038251E"/>
    <w:rsid w:val="003827E7"/>
    <w:rsid w:val="0038293B"/>
    <w:rsid w:val="00382AA8"/>
    <w:rsid w:val="00382B4E"/>
    <w:rsid w:val="00382B7E"/>
    <w:rsid w:val="00382D5B"/>
    <w:rsid w:val="00383106"/>
    <w:rsid w:val="00383109"/>
    <w:rsid w:val="003836E0"/>
    <w:rsid w:val="00383C9F"/>
    <w:rsid w:val="00384098"/>
    <w:rsid w:val="00384124"/>
    <w:rsid w:val="00384140"/>
    <w:rsid w:val="0038432B"/>
    <w:rsid w:val="00384892"/>
    <w:rsid w:val="00384B6F"/>
    <w:rsid w:val="00384D1C"/>
    <w:rsid w:val="00384E39"/>
    <w:rsid w:val="00384EE1"/>
    <w:rsid w:val="00385011"/>
    <w:rsid w:val="0038552C"/>
    <w:rsid w:val="0038578C"/>
    <w:rsid w:val="0038587A"/>
    <w:rsid w:val="00385880"/>
    <w:rsid w:val="00385B83"/>
    <w:rsid w:val="00385B8F"/>
    <w:rsid w:val="00385D6E"/>
    <w:rsid w:val="003860A0"/>
    <w:rsid w:val="003860CF"/>
    <w:rsid w:val="003863AF"/>
    <w:rsid w:val="00386400"/>
    <w:rsid w:val="003865BE"/>
    <w:rsid w:val="0038662B"/>
    <w:rsid w:val="0038683B"/>
    <w:rsid w:val="003868AB"/>
    <w:rsid w:val="003868E0"/>
    <w:rsid w:val="003869DB"/>
    <w:rsid w:val="00386AA1"/>
    <w:rsid w:val="00386AE7"/>
    <w:rsid w:val="00386B8F"/>
    <w:rsid w:val="00386C0E"/>
    <w:rsid w:val="00386C23"/>
    <w:rsid w:val="00386EAF"/>
    <w:rsid w:val="003874BD"/>
    <w:rsid w:val="003875F6"/>
    <w:rsid w:val="00387B49"/>
    <w:rsid w:val="003901A5"/>
    <w:rsid w:val="00390346"/>
    <w:rsid w:val="003903C4"/>
    <w:rsid w:val="00390463"/>
    <w:rsid w:val="0039064A"/>
    <w:rsid w:val="003906A3"/>
    <w:rsid w:val="003907EE"/>
    <w:rsid w:val="003908FE"/>
    <w:rsid w:val="00390A8F"/>
    <w:rsid w:val="00390BAE"/>
    <w:rsid w:val="00390E3C"/>
    <w:rsid w:val="00390FCA"/>
    <w:rsid w:val="00391040"/>
    <w:rsid w:val="0039112B"/>
    <w:rsid w:val="003915B9"/>
    <w:rsid w:val="00391A1B"/>
    <w:rsid w:val="00391B09"/>
    <w:rsid w:val="00391B10"/>
    <w:rsid w:val="00391BCC"/>
    <w:rsid w:val="00391C81"/>
    <w:rsid w:val="00391FC8"/>
    <w:rsid w:val="0039209E"/>
    <w:rsid w:val="003920CF"/>
    <w:rsid w:val="00392258"/>
    <w:rsid w:val="00392907"/>
    <w:rsid w:val="00392BD3"/>
    <w:rsid w:val="00392BFC"/>
    <w:rsid w:val="00392CC3"/>
    <w:rsid w:val="00392FB2"/>
    <w:rsid w:val="003931CC"/>
    <w:rsid w:val="0039355D"/>
    <w:rsid w:val="003936D6"/>
    <w:rsid w:val="00393756"/>
    <w:rsid w:val="003938FC"/>
    <w:rsid w:val="00393A39"/>
    <w:rsid w:val="00393BE5"/>
    <w:rsid w:val="003941F6"/>
    <w:rsid w:val="00394554"/>
    <w:rsid w:val="0039456E"/>
    <w:rsid w:val="003945F7"/>
    <w:rsid w:val="00394683"/>
    <w:rsid w:val="003947F5"/>
    <w:rsid w:val="00394885"/>
    <w:rsid w:val="00394B11"/>
    <w:rsid w:val="00394DFE"/>
    <w:rsid w:val="00394E41"/>
    <w:rsid w:val="00394FB3"/>
    <w:rsid w:val="003952B0"/>
    <w:rsid w:val="003953C4"/>
    <w:rsid w:val="0039563B"/>
    <w:rsid w:val="00395730"/>
    <w:rsid w:val="00395A17"/>
    <w:rsid w:val="00395C5C"/>
    <w:rsid w:val="00395D84"/>
    <w:rsid w:val="00395D88"/>
    <w:rsid w:val="00396156"/>
    <w:rsid w:val="00396340"/>
    <w:rsid w:val="0039649C"/>
    <w:rsid w:val="003966D2"/>
    <w:rsid w:val="003970CF"/>
    <w:rsid w:val="00397152"/>
    <w:rsid w:val="003973F0"/>
    <w:rsid w:val="003977B2"/>
    <w:rsid w:val="00397A41"/>
    <w:rsid w:val="00397D31"/>
    <w:rsid w:val="003A0082"/>
    <w:rsid w:val="003A01E5"/>
    <w:rsid w:val="003A02A0"/>
    <w:rsid w:val="003A05C7"/>
    <w:rsid w:val="003A0A1F"/>
    <w:rsid w:val="003A0A83"/>
    <w:rsid w:val="003A0C09"/>
    <w:rsid w:val="003A0D0A"/>
    <w:rsid w:val="003A0EE4"/>
    <w:rsid w:val="003A0F29"/>
    <w:rsid w:val="003A11CD"/>
    <w:rsid w:val="003A1454"/>
    <w:rsid w:val="003A177B"/>
    <w:rsid w:val="003A17CE"/>
    <w:rsid w:val="003A1A15"/>
    <w:rsid w:val="003A1B6D"/>
    <w:rsid w:val="003A1BA9"/>
    <w:rsid w:val="003A2206"/>
    <w:rsid w:val="003A2303"/>
    <w:rsid w:val="003A2345"/>
    <w:rsid w:val="003A23ED"/>
    <w:rsid w:val="003A2501"/>
    <w:rsid w:val="003A25FB"/>
    <w:rsid w:val="003A2A26"/>
    <w:rsid w:val="003A2C72"/>
    <w:rsid w:val="003A2D44"/>
    <w:rsid w:val="003A2DC6"/>
    <w:rsid w:val="003A2F1D"/>
    <w:rsid w:val="003A3046"/>
    <w:rsid w:val="003A31D7"/>
    <w:rsid w:val="003A3340"/>
    <w:rsid w:val="003A3358"/>
    <w:rsid w:val="003A34BD"/>
    <w:rsid w:val="003A36CF"/>
    <w:rsid w:val="003A3873"/>
    <w:rsid w:val="003A3B92"/>
    <w:rsid w:val="003A3C52"/>
    <w:rsid w:val="003A3EAF"/>
    <w:rsid w:val="003A3EFD"/>
    <w:rsid w:val="003A42D1"/>
    <w:rsid w:val="003A4460"/>
    <w:rsid w:val="003A45A7"/>
    <w:rsid w:val="003A4603"/>
    <w:rsid w:val="003A4E5A"/>
    <w:rsid w:val="003A4F2E"/>
    <w:rsid w:val="003A5293"/>
    <w:rsid w:val="003A52AC"/>
    <w:rsid w:val="003A52B1"/>
    <w:rsid w:val="003A54E3"/>
    <w:rsid w:val="003A56FE"/>
    <w:rsid w:val="003A574E"/>
    <w:rsid w:val="003A59BF"/>
    <w:rsid w:val="003A5BB5"/>
    <w:rsid w:val="003A5FED"/>
    <w:rsid w:val="003A610C"/>
    <w:rsid w:val="003A633A"/>
    <w:rsid w:val="003A6416"/>
    <w:rsid w:val="003A6742"/>
    <w:rsid w:val="003A67DF"/>
    <w:rsid w:val="003A6AA3"/>
    <w:rsid w:val="003A6BAB"/>
    <w:rsid w:val="003A71B5"/>
    <w:rsid w:val="003A729F"/>
    <w:rsid w:val="003A7799"/>
    <w:rsid w:val="003A7BDB"/>
    <w:rsid w:val="003A7EE1"/>
    <w:rsid w:val="003B00F7"/>
    <w:rsid w:val="003B0101"/>
    <w:rsid w:val="003B068B"/>
    <w:rsid w:val="003B083F"/>
    <w:rsid w:val="003B0ABA"/>
    <w:rsid w:val="003B0BAD"/>
    <w:rsid w:val="003B0C4C"/>
    <w:rsid w:val="003B0CE1"/>
    <w:rsid w:val="003B0F55"/>
    <w:rsid w:val="003B0F91"/>
    <w:rsid w:val="003B0F97"/>
    <w:rsid w:val="003B11D9"/>
    <w:rsid w:val="003B1201"/>
    <w:rsid w:val="003B1325"/>
    <w:rsid w:val="003B1358"/>
    <w:rsid w:val="003B1458"/>
    <w:rsid w:val="003B1514"/>
    <w:rsid w:val="003B15A9"/>
    <w:rsid w:val="003B1BD4"/>
    <w:rsid w:val="003B221E"/>
    <w:rsid w:val="003B2436"/>
    <w:rsid w:val="003B2734"/>
    <w:rsid w:val="003B2AB3"/>
    <w:rsid w:val="003B2BDA"/>
    <w:rsid w:val="003B2CB3"/>
    <w:rsid w:val="003B2CE1"/>
    <w:rsid w:val="003B2DAF"/>
    <w:rsid w:val="003B2E9E"/>
    <w:rsid w:val="003B32D6"/>
    <w:rsid w:val="003B32DA"/>
    <w:rsid w:val="003B3823"/>
    <w:rsid w:val="003B38DC"/>
    <w:rsid w:val="003B38F2"/>
    <w:rsid w:val="003B3B67"/>
    <w:rsid w:val="003B3C22"/>
    <w:rsid w:val="003B3CD2"/>
    <w:rsid w:val="003B3E6F"/>
    <w:rsid w:val="003B41BC"/>
    <w:rsid w:val="003B42C2"/>
    <w:rsid w:val="003B4A13"/>
    <w:rsid w:val="003B4F68"/>
    <w:rsid w:val="003B51BF"/>
    <w:rsid w:val="003B5208"/>
    <w:rsid w:val="003B54B6"/>
    <w:rsid w:val="003B55B0"/>
    <w:rsid w:val="003B5629"/>
    <w:rsid w:val="003B5648"/>
    <w:rsid w:val="003B5891"/>
    <w:rsid w:val="003B5935"/>
    <w:rsid w:val="003B5B8A"/>
    <w:rsid w:val="003B5BBC"/>
    <w:rsid w:val="003B5C18"/>
    <w:rsid w:val="003B6162"/>
    <w:rsid w:val="003B64F6"/>
    <w:rsid w:val="003B66E8"/>
    <w:rsid w:val="003B6966"/>
    <w:rsid w:val="003B6A96"/>
    <w:rsid w:val="003B6CC7"/>
    <w:rsid w:val="003B6E63"/>
    <w:rsid w:val="003B71B3"/>
    <w:rsid w:val="003B790C"/>
    <w:rsid w:val="003B7A6B"/>
    <w:rsid w:val="003B7AF8"/>
    <w:rsid w:val="003B7D92"/>
    <w:rsid w:val="003B7F28"/>
    <w:rsid w:val="003C0041"/>
    <w:rsid w:val="003C0168"/>
    <w:rsid w:val="003C0385"/>
    <w:rsid w:val="003C054E"/>
    <w:rsid w:val="003C0576"/>
    <w:rsid w:val="003C077A"/>
    <w:rsid w:val="003C07A9"/>
    <w:rsid w:val="003C08A5"/>
    <w:rsid w:val="003C0910"/>
    <w:rsid w:val="003C0975"/>
    <w:rsid w:val="003C0CD6"/>
    <w:rsid w:val="003C0D8B"/>
    <w:rsid w:val="003C0F14"/>
    <w:rsid w:val="003C130A"/>
    <w:rsid w:val="003C137A"/>
    <w:rsid w:val="003C1449"/>
    <w:rsid w:val="003C14BB"/>
    <w:rsid w:val="003C1500"/>
    <w:rsid w:val="003C17F7"/>
    <w:rsid w:val="003C1819"/>
    <w:rsid w:val="003C1DDF"/>
    <w:rsid w:val="003C1F67"/>
    <w:rsid w:val="003C20C6"/>
    <w:rsid w:val="003C2472"/>
    <w:rsid w:val="003C259E"/>
    <w:rsid w:val="003C27FF"/>
    <w:rsid w:val="003C2925"/>
    <w:rsid w:val="003C2BA9"/>
    <w:rsid w:val="003C2D51"/>
    <w:rsid w:val="003C2FF3"/>
    <w:rsid w:val="003C323F"/>
    <w:rsid w:val="003C3312"/>
    <w:rsid w:val="003C3E61"/>
    <w:rsid w:val="003C3E92"/>
    <w:rsid w:val="003C4146"/>
    <w:rsid w:val="003C4315"/>
    <w:rsid w:val="003C4595"/>
    <w:rsid w:val="003C49BB"/>
    <w:rsid w:val="003C4AD7"/>
    <w:rsid w:val="003C4EB8"/>
    <w:rsid w:val="003C4F4B"/>
    <w:rsid w:val="003C4FEC"/>
    <w:rsid w:val="003C512E"/>
    <w:rsid w:val="003C5256"/>
    <w:rsid w:val="003C5267"/>
    <w:rsid w:val="003C533E"/>
    <w:rsid w:val="003C55A3"/>
    <w:rsid w:val="003C5812"/>
    <w:rsid w:val="003C5E48"/>
    <w:rsid w:val="003C629E"/>
    <w:rsid w:val="003C66E5"/>
    <w:rsid w:val="003C677F"/>
    <w:rsid w:val="003C6BAE"/>
    <w:rsid w:val="003C71D4"/>
    <w:rsid w:val="003C7344"/>
    <w:rsid w:val="003C73A8"/>
    <w:rsid w:val="003C73BF"/>
    <w:rsid w:val="003C7547"/>
    <w:rsid w:val="003C7689"/>
    <w:rsid w:val="003C76C7"/>
    <w:rsid w:val="003C783A"/>
    <w:rsid w:val="003C7AF2"/>
    <w:rsid w:val="003C7CEF"/>
    <w:rsid w:val="003C7D57"/>
    <w:rsid w:val="003C7DBE"/>
    <w:rsid w:val="003C7E97"/>
    <w:rsid w:val="003C7F00"/>
    <w:rsid w:val="003D05A7"/>
    <w:rsid w:val="003D05BB"/>
    <w:rsid w:val="003D08EB"/>
    <w:rsid w:val="003D0959"/>
    <w:rsid w:val="003D0D5F"/>
    <w:rsid w:val="003D0DC9"/>
    <w:rsid w:val="003D0DFA"/>
    <w:rsid w:val="003D0E57"/>
    <w:rsid w:val="003D131A"/>
    <w:rsid w:val="003D142B"/>
    <w:rsid w:val="003D1475"/>
    <w:rsid w:val="003D1480"/>
    <w:rsid w:val="003D15E0"/>
    <w:rsid w:val="003D1BDC"/>
    <w:rsid w:val="003D1C56"/>
    <w:rsid w:val="003D1CA4"/>
    <w:rsid w:val="003D2443"/>
    <w:rsid w:val="003D2479"/>
    <w:rsid w:val="003D2639"/>
    <w:rsid w:val="003D2E26"/>
    <w:rsid w:val="003D33D5"/>
    <w:rsid w:val="003D3427"/>
    <w:rsid w:val="003D36EB"/>
    <w:rsid w:val="003D3ADC"/>
    <w:rsid w:val="003D3D32"/>
    <w:rsid w:val="003D3DD8"/>
    <w:rsid w:val="003D41A1"/>
    <w:rsid w:val="003D4459"/>
    <w:rsid w:val="003D4688"/>
    <w:rsid w:val="003D46A2"/>
    <w:rsid w:val="003D4929"/>
    <w:rsid w:val="003D4C65"/>
    <w:rsid w:val="003D4E96"/>
    <w:rsid w:val="003D5475"/>
    <w:rsid w:val="003D5763"/>
    <w:rsid w:val="003D5855"/>
    <w:rsid w:val="003D5A18"/>
    <w:rsid w:val="003D5CAF"/>
    <w:rsid w:val="003D5F4F"/>
    <w:rsid w:val="003D6066"/>
    <w:rsid w:val="003D63E3"/>
    <w:rsid w:val="003D6404"/>
    <w:rsid w:val="003D6428"/>
    <w:rsid w:val="003D667A"/>
    <w:rsid w:val="003D670F"/>
    <w:rsid w:val="003D6886"/>
    <w:rsid w:val="003D6896"/>
    <w:rsid w:val="003D6A4C"/>
    <w:rsid w:val="003D6B5A"/>
    <w:rsid w:val="003D6BB0"/>
    <w:rsid w:val="003D6BC4"/>
    <w:rsid w:val="003D6C41"/>
    <w:rsid w:val="003D6D25"/>
    <w:rsid w:val="003D6F0D"/>
    <w:rsid w:val="003D726E"/>
    <w:rsid w:val="003D7789"/>
    <w:rsid w:val="003D7A70"/>
    <w:rsid w:val="003D7AB7"/>
    <w:rsid w:val="003D7D96"/>
    <w:rsid w:val="003D7E04"/>
    <w:rsid w:val="003D7FD0"/>
    <w:rsid w:val="003D7FE2"/>
    <w:rsid w:val="003E016E"/>
    <w:rsid w:val="003E033A"/>
    <w:rsid w:val="003E0382"/>
    <w:rsid w:val="003E041A"/>
    <w:rsid w:val="003E04C7"/>
    <w:rsid w:val="003E0B6D"/>
    <w:rsid w:val="003E0C4B"/>
    <w:rsid w:val="003E0FC0"/>
    <w:rsid w:val="003E1474"/>
    <w:rsid w:val="003E14BA"/>
    <w:rsid w:val="003E1A20"/>
    <w:rsid w:val="003E1B21"/>
    <w:rsid w:val="003E1F79"/>
    <w:rsid w:val="003E2057"/>
    <w:rsid w:val="003E2329"/>
    <w:rsid w:val="003E24B4"/>
    <w:rsid w:val="003E24FE"/>
    <w:rsid w:val="003E2868"/>
    <w:rsid w:val="003E29FA"/>
    <w:rsid w:val="003E2CE7"/>
    <w:rsid w:val="003E319F"/>
    <w:rsid w:val="003E32DB"/>
    <w:rsid w:val="003E3667"/>
    <w:rsid w:val="003E36A6"/>
    <w:rsid w:val="003E377C"/>
    <w:rsid w:val="003E39C4"/>
    <w:rsid w:val="003E3A0E"/>
    <w:rsid w:val="003E3FAC"/>
    <w:rsid w:val="003E3FC4"/>
    <w:rsid w:val="003E4068"/>
    <w:rsid w:val="003E4160"/>
    <w:rsid w:val="003E43FD"/>
    <w:rsid w:val="003E444F"/>
    <w:rsid w:val="003E44D1"/>
    <w:rsid w:val="003E482E"/>
    <w:rsid w:val="003E484F"/>
    <w:rsid w:val="003E4CC5"/>
    <w:rsid w:val="003E50B0"/>
    <w:rsid w:val="003E51F1"/>
    <w:rsid w:val="003E5481"/>
    <w:rsid w:val="003E5484"/>
    <w:rsid w:val="003E5639"/>
    <w:rsid w:val="003E59A5"/>
    <w:rsid w:val="003E5ACD"/>
    <w:rsid w:val="003E5DBB"/>
    <w:rsid w:val="003E601F"/>
    <w:rsid w:val="003E6221"/>
    <w:rsid w:val="003E6324"/>
    <w:rsid w:val="003E649D"/>
    <w:rsid w:val="003E678F"/>
    <w:rsid w:val="003E697D"/>
    <w:rsid w:val="003E6B99"/>
    <w:rsid w:val="003E6D81"/>
    <w:rsid w:val="003E6DBF"/>
    <w:rsid w:val="003E7329"/>
    <w:rsid w:val="003E75E0"/>
    <w:rsid w:val="003E7615"/>
    <w:rsid w:val="003E7641"/>
    <w:rsid w:val="003E7684"/>
    <w:rsid w:val="003E777A"/>
    <w:rsid w:val="003E7A56"/>
    <w:rsid w:val="003E7AFE"/>
    <w:rsid w:val="003E7B5F"/>
    <w:rsid w:val="003E7E62"/>
    <w:rsid w:val="003F06EB"/>
    <w:rsid w:val="003F0E91"/>
    <w:rsid w:val="003F0F06"/>
    <w:rsid w:val="003F0FBC"/>
    <w:rsid w:val="003F101D"/>
    <w:rsid w:val="003F14D9"/>
    <w:rsid w:val="003F1C32"/>
    <w:rsid w:val="003F2013"/>
    <w:rsid w:val="003F235E"/>
    <w:rsid w:val="003F23CD"/>
    <w:rsid w:val="003F26C4"/>
    <w:rsid w:val="003F26E1"/>
    <w:rsid w:val="003F2719"/>
    <w:rsid w:val="003F2A11"/>
    <w:rsid w:val="003F2D39"/>
    <w:rsid w:val="003F3008"/>
    <w:rsid w:val="003F3080"/>
    <w:rsid w:val="003F30AA"/>
    <w:rsid w:val="003F30F7"/>
    <w:rsid w:val="003F32B3"/>
    <w:rsid w:val="003F336E"/>
    <w:rsid w:val="003F3891"/>
    <w:rsid w:val="003F38E6"/>
    <w:rsid w:val="003F3AAF"/>
    <w:rsid w:val="003F3BA2"/>
    <w:rsid w:val="003F3FC4"/>
    <w:rsid w:val="003F40F8"/>
    <w:rsid w:val="003F4286"/>
    <w:rsid w:val="003F45E9"/>
    <w:rsid w:val="003F474A"/>
    <w:rsid w:val="003F491E"/>
    <w:rsid w:val="003F493D"/>
    <w:rsid w:val="003F5150"/>
    <w:rsid w:val="003F5799"/>
    <w:rsid w:val="003F5867"/>
    <w:rsid w:val="003F5C4E"/>
    <w:rsid w:val="003F5D5F"/>
    <w:rsid w:val="003F60D9"/>
    <w:rsid w:val="003F619D"/>
    <w:rsid w:val="003F6299"/>
    <w:rsid w:val="003F644B"/>
    <w:rsid w:val="003F64BA"/>
    <w:rsid w:val="003F65E5"/>
    <w:rsid w:val="003F663A"/>
    <w:rsid w:val="003F676A"/>
    <w:rsid w:val="003F67BD"/>
    <w:rsid w:val="003F68C3"/>
    <w:rsid w:val="003F6C9F"/>
    <w:rsid w:val="003F70FA"/>
    <w:rsid w:val="003F72C0"/>
    <w:rsid w:val="003F76A4"/>
    <w:rsid w:val="003F7765"/>
    <w:rsid w:val="003F785D"/>
    <w:rsid w:val="003F7880"/>
    <w:rsid w:val="003F7916"/>
    <w:rsid w:val="003F7BF8"/>
    <w:rsid w:val="003F7FE8"/>
    <w:rsid w:val="0040003F"/>
    <w:rsid w:val="00400104"/>
    <w:rsid w:val="0040017A"/>
    <w:rsid w:val="004001B2"/>
    <w:rsid w:val="004001BA"/>
    <w:rsid w:val="0040031B"/>
    <w:rsid w:val="004005A4"/>
    <w:rsid w:val="00400618"/>
    <w:rsid w:val="0040082D"/>
    <w:rsid w:val="00400A0A"/>
    <w:rsid w:val="00400DCC"/>
    <w:rsid w:val="00400E86"/>
    <w:rsid w:val="004010F8"/>
    <w:rsid w:val="00401143"/>
    <w:rsid w:val="0040138C"/>
    <w:rsid w:val="004016F3"/>
    <w:rsid w:val="00401AFC"/>
    <w:rsid w:val="00401B24"/>
    <w:rsid w:val="00401B73"/>
    <w:rsid w:val="00401D49"/>
    <w:rsid w:val="00402706"/>
    <w:rsid w:val="004028B8"/>
    <w:rsid w:val="00402957"/>
    <w:rsid w:val="004029A4"/>
    <w:rsid w:val="00402CBE"/>
    <w:rsid w:val="00402CDB"/>
    <w:rsid w:val="00402CE9"/>
    <w:rsid w:val="00402D38"/>
    <w:rsid w:val="0040309B"/>
    <w:rsid w:val="004030D9"/>
    <w:rsid w:val="00403132"/>
    <w:rsid w:val="0040314C"/>
    <w:rsid w:val="00403385"/>
    <w:rsid w:val="0040349E"/>
    <w:rsid w:val="00403504"/>
    <w:rsid w:val="004038B3"/>
    <w:rsid w:val="004038E2"/>
    <w:rsid w:val="00403A66"/>
    <w:rsid w:val="00403E8F"/>
    <w:rsid w:val="00404110"/>
    <w:rsid w:val="00404164"/>
    <w:rsid w:val="0040436F"/>
    <w:rsid w:val="0040494E"/>
    <w:rsid w:val="00404992"/>
    <w:rsid w:val="00404A57"/>
    <w:rsid w:val="00404F7A"/>
    <w:rsid w:val="0040519E"/>
    <w:rsid w:val="004054F1"/>
    <w:rsid w:val="0040568A"/>
    <w:rsid w:val="004057CC"/>
    <w:rsid w:val="00405D8B"/>
    <w:rsid w:val="00405DE3"/>
    <w:rsid w:val="004061F3"/>
    <w:rsid w:val="004067E7"/>
    <w:rsid w:val="00406D6E"/>
    <w:rsid w:val="00406F4D"/>
    <w:rsid w:val="004070BA"/>
    <w:rsid w:val="004072AF"/>
    <w:rsid w:val="004073D1"/>
    <w:rsid w:val="004074FE"/>
    <w:rsid w:val="0040770F"/>
    <w:rsid w:val="00407F74"/>
    <w:rsid w:val="00407FBE"/>
    <w:rsid w:val="00410187"/>
    <w:rsid w:val="0041035F"/>
    <w:rsid w:val="00410475"/>
    <w:rsid w:val="00410503"/>
    <w:rsid w:val="004105B6"/>
    <w:rsid w:val="004105B7"/>
    <w:rsid w:val="0041077B"/>
    <w:rsid w:val="00410D31"/>
    <w:rsid w:val="00410D58"/>
    <w:rsid w:val="0041148C"/>
    <w:rsid w:val="00411506"/>
    <w:rsid w:val="0041171A"/>
    <w:rsid w:val="004117D9"/>
    <w:rsid w:val="00411B83"/>
    <w:rsid w:val="00411CB8"/>
    <w:rsid w:val="004121D0"/>
    <w:rsid w:val="0041221E"/>
    <w:rsid w:val="00412352"/>
    <w:rsid w:val="0041279F"/>
    <w:rsid w:val="004127D6"/>
    <w:rsid w:val="00412B05"/>
    <w:rsid w:val="00412E6C"/>
    <w:rsid w:val="00413241"/>
    <w:rsid w:val="00413343"/>
    <w:rsid w:val="00413345"/>
    <w:rsid w:val="004135A9"/>
    <w:rsid w:val="004135D5"/>
    <w:rsid w:val="0041366A"/>
    <w:rsid w:val="0041375A"/>
    <w:rsid w:val="00413836"/>
    <w:rsid w:val="00413960"/>
    <w:rsid w:val="00413BA4"/>
    <w:rsid w:val="00413F42"/>
    <w:rsid w:val="00413FAA"/>
    <w:rsid w:val="00414008"/>
    <w:rsid w:val="004141DA"/>
    <w:rsid w:val="004148FF"/>
    <w:rsid w:val="00414910"/>
    <w:rsid w:val="004149F3"/>
    <w:rsid w:val="00414A03"/>
    <w:rsid w:val="00414AFB"/>
    <w:rsid w:val="00414E77"/>
    <w:rsid w:val="00414FF1"/>
    <w:rsid w:val="00415110"/>
    <w:rsid w:val="004152FE"/>
    <w:rsid w:val="004159F6"/>
    <w:rsid w:val="00415AD1"/>
    <w:rsid w:val="00415B3C"/>
    <w:rsid w:val="00416203"/>
    <w:rsid w:val="004162B8"/>
    <w:rsid w:val="00416DFC"/>
    <w:rsid w:val="0041700B"/>
    <w:rsid w:val="004174E4"/>
    <w:rsid w:val="00417C91"/>
    <w:rsid w:val="00417D6A"/>
    <w:rsid w:val="0042000C"/>
    <w:rsid w:val="00420215"/>
    <w:rsid w:val="004204E7"/>
    <w:rsid w:val="004204FE"/>
    <w:rsid w:val="0042076F"/>
    <w:rsid w:val="004207B1"/>
    <w:rsid w:val="00420A87"/>
    <w:rsid w:val="00420BAB"/>
    <w:rsid w:val="00420FDB"/>
    <w:rsid w:val="004211F6"/>
    <w:rsid w:val="0042174C"/>
    <w:rsid w:val="004217BF"/>
    <w:rsid w:val="00421A1E"/>
    <w:rsid w:val="00421A42"/>
    <w:rsid w:val="00421A5A"/>
    <w:rsid w:val="00421AA5"/>
    <w:rsid w:val="00421B44"/>
    <w:rsid w:val="00421C74"/>
    <w:rsid w:val="00421CC0"/>
    <w:rsid w:val="00421E66"/>
    <w:rsid w:val="00422121"/>
    <w:rsid w:val="004223E4"/>
    <w:rsid w:val="0042248C"/>
    <w:rsid w:val="004229DA"/>
    <w:rsid w:val="00422BAB"/>
    <w:rsid w:val="00422C96"/>
    <w:rsid w:val="00422ED7"/>
    <w:rsid w:val="0042324E"/>
    <w:rsid w:val="004235B6"/>
    <w:rsid w:val="00423897"/>
    <w:rsid w:val="00423980"/>
    <w:rsid w:val="00423A4F"/>
    <w:rsid w:val="00423CA7"/>
    <w:rsid w:val="00423DE4"/>
    <w:rsid w:val="00423EF6"/>
    <w:rsid w:val="00423FB2"/>
    <w:rsid w:val="00423FD9"/>
    <w:rsid w:val="00424100"/>
    <w:rsid w:val="004244BA"/>
    <w:rsid w:val="00424C17"/>
    <w:rsid w:val="00424E10"/>
    <w:rsid w:val="0042527F"/>
    <w:rsid w:val="004253DF"/>
    <w:rsid w:val="004253E5"/>
    <w:rsid w:val="004254C9"/>
    <w:rsid w:val="00425532"/>
    <w:rsid w:val="004257FC"/>
    <w:rsid w:val="0042586F"/>
    <w:rsid w:val="00425CAA"/>
    <w:rsid w:val="0042610C"/>
    <w:rsid w:val="00426195"/>
    <w:rsid w:val="00426779"/>
    <w:rsid w:val="00426911"/>
    <w:rsid w:val="004269F3"/>
    <w:rsid w:val="00426B12"/>
    <w:rsid w:val="00426BD9"/>
    <w:rsid w:val="00426D36"/>
    <w:rsid w:val="00427340"/>
    <w:rsid w:val="004273BD"/>
    <w:rsid w:val="0042768D"/>
    <w:rsid w:val="004278B4"/>
    <w:rsid w:val="00427949"/>
    <w:rsid w:val="004279D2"/>
    <w:rsid w:val="004279E2"/>
    <w:rsid w:val="00427CC1"/>
    <w:rsid w:val="00427D55"/>
    <w:rsid w:val="00430037"/>
    <w:rsid w:val="004301FF"/>
    <w:rsid w:val="004302D0"/>
    <w:rsid w:val="004302D4"/>
    <w:rsid w:val="004303E6"/>
    <w:rsid w:val="00430800"/>
    <w:rsid w:val="00430816"/>
    <w:rsid w:val="0043090E"/>
    <w:rsid w:val="00430B2A"/>
    <w:rsid w:val="00430BFE"/>
    <w:rsid w:val="00430FF9"/>
    <w:rsid w:val="00431030"/>
    <w:rsid w:val="004312A7"/>
    <w:rsid w:val="004314E9"/>
    <w:rsid w:val="00431696"/>
    <w:rsid w:val="004317DF"/>
    <w:rsid w:val="00431CEE"/>
    <w:rsid w:val="00431DBF"/>
    <w:rsid w:val="00431F66"/>
    <w:rsid w:val="0043206F"/>
    <w:rsid w:val="0043209F"/>
    <w:rsid w:val="004321DC"/>
    <w:rsid w:val="004321F1"/>
    <w:rsid w:val="00432311"/>
    <w:rsid w:val="00432386"/>
    <w:rsid w:val="0043240B"/>
    <w:rsid w:val="004324B3"/>
    <w:rsid w:val="00432867"/>
    <w:rsid w:val="004329EB"/>
    <w:rsid w:val="00432FA7"/>
    <w:rsid w:val="00433005"/>
    <w:rsid w:val="004332A3"/>
    <w:rsid w:val="004334EA"/>
    <w:rsid w:val="004338BC"/>
    <w:rsid w:val="00433B3D"/>
    <w:rsid w:val="00433BAE"/>
    <w:rsid w:val="00433C50"/>
    <w:rsid w:val="00433E05"/>
    <w:rsid w:val="00433E7B"/>
    <w:rsid w:val="0043405D"/>
    <w:rsid w:val="004341F5"/>
    <w:rsid w:val="00434294"/>
    <w:rsid w:val="0043431D"/>
    <w:rsid w:val="004345DC"/>
    <w:rsid w:val="0043470F"/>
    <w:rsid w:val="00434DE2"/>
    <w:rsid w:val="00434E8B"/>
    <w:rsid w:val="00434EB4"/>
    <w:rsid w:val="00435141"/>
    <w:rsid w:val="004354B4"/>
    <w:rsid w:val="004356DB"/>
    <w:rsid w:val="004357AF"/>
    <w:rsid w:val="00435BCA"/>
    <w:rsid w:val="004364E0"/>
    <w:rsid w:val="004364EB"/>
    <w:rsid w:val="004368CE"/>
    <w:rsid w:val="0043695B"/>
    <w:rsid w:val="00436B0C"/>
    <w:rsid w:val="00436B7A"/>
    <w:rsid w:val="00437140"/>
    <w:rsid w:val="0043724E"/>
    <w:rsid w:val="00437461"/>
    <w:rsid w:val="004374D2"/>
    <w:rsid w:val="004375C2"/>
    <w:rsid w:val="004375ED"/>
    <w:rsid w:val="004376BD"/>
    <w:rsid w:val="0043788F"/>
    <w:rsid w:val="00437933"/>
    <w:rsid w:val="004379A6"/>
    <w:rsid w:val="00437F2C"/>
    <w:rsid w:val="00437F78"/>
    <w:rsid w:val="00437FAA"/>
    <w:rsid w:val="004400B9"/>
    <w:rsid w:val="004400EE"/>
    <w:rsid w:val="004407E3"/>
    <w:rsid w:val="00440A7A"/>
    <w:rsid w:val="00440BC5"/>
    <w:rsid w:val="00440F64"/>
    <w:rsid w:val="00440FB8"/>
    <w:rsid w:val="00441262"/>
    <w:rsid w:val="0044132E"/>
    <w:rsid w:val="004414D7"/>
    <w:rsid w:val="00441668"/>
    <w:rsid w:val="0044187A"/>
    <w:rsid w:val="004419B6"/>
    <w:rsid w:val="00441C92"/>
    <w:rsid w:val="0044202D"/>
    <w:rsid w:val="004420BD"/>
    <w:rsid w:val="004420E9"/>
    <w:rsid w:val="00442407"/>
    <w:rsid w:val="004425DA"/>
    <w:rsid w:val="0044285A"/>
    <w:rsid w:val="00442C54"/>
    <w:rsid w:val="00442D9C"/>
    <w:rsid w:val="00443126"/>
    <w:rsid w:val="004434A0"/>
    <w:rsid w:val="004434FC"/>
    <w:rsid w:val="004435D1"/>
    <w:rsid w:val="00443776"/>
    <w:rsid w:val="0044377D"/>
    <w:rsid w:val="00443918"/>
    <w:rsid w:val="00443933"/>
    <w:rsid w:val="00443AE2"/>
    <w:rsid w:val="00443CC1"/>
    <w:rsid w:val="00443DC1"/>
    <w:rsid w:val="00444075"/>
    <w:rsid w:val="004445B5"/>
    <w:rsid w:val="0044471A"/>
    <w:rsid w:val="00444829"/>
    <w:rsid w:val="004448BD"/>
    <w:rsid w:val="004448F2"/>
    <w:rsid w:val="00444A98"/>
    <w:rsid w:val="00444BD8"/>
    <w:rsid w:val="00444BF9"/>
    <w:rsid w:val="00444F56"/>
    <w:rsid w:val="00444FB4"/>
    <w:rsid w:val="00445164"/>
    <w:rsid w:val="00445243"/>
    <w:rsid w:val="0044531B"/>
    <w:rsid w:val="004453D6"/>
    <w:rsid w:val="00445486"/>
    <w:rsid w:val="00445622"/>
    <w:rsid w:val="0044583D"/>
    <w:rsid w:val="00445857"/>
    <w:rsid w:val="00445939"/>
    <w:rsid w:val="0044599A"/>
    <w:rsid w:val="00445A5F"/>
    <w:rsid w:val="004465B1"/>
    <w:rsid w:val="00446667"/>
    <w:rsid w:val="004467C8"/>
    <w:rsid w:val="004468A2"/>
    <w:rsid w:val="00446A1B"/>
    <w:rsid w:val="00446C2C"/>
    <w:rsid w:val="00446DB7"/>
    <w:rsid w:val="00446DCF"/>
    <w:rsid w:val="00446E21"/>
    <w:rsid w:val="00446E60"/>
    <w:rsid w:val="00446E90"/>
    <w:rsid w:val="004473DA"/>
    <w:rsid w:val="0044787A"/>
    <w:rsid w:val="004500F6"/>
    <w:rsid w:val="00450144"/>
    <w:rsid w:val="004501B9"/>
    <w:rsid w:val="00450399"/>
    <w:rsid w:val="00450C91"/>
    <w:rsid w:val="004510B0"/>
    <w:rsid w:val="004510FF"/>
    <w:rsid w:val="00451283"/>
    <w:rsid w:val="004513E3"/>
    <w:rsid w:val="00451B45"/>
    <w:rsid w:val="00451DE9"/>
    <w:rsid w:val="0045246F"/>
    <w:rsid w:val="004524BA"/>
    <w:rsid w:val="0045286E"/>
    <w:rsid w:val="00452C15"/>
    <w:rsid w:val="00452DF0"/>
    <w:rsid w:val="00452EF4"/>
    <w:rsid w:val="0045320A"/>
    <w:rsid w:val="004532D5"/>
    <w:rsid w:val="004532D9"/>
    <w:rsid w:val="00453415"/>
    <w:rsid w:val="004535F0"/>
    <w:rsid w:val="0045366B"/>
    <w:rsid w:val="00453799"/>
    <w:rsid w:val="0045397A"/>
    <w:rsid w:val="00453CEA"/>
    <w:rsid w:val="00453EC2"/>
    <w:rsid w:val="00453F64"/>
    <w:rsid w:val="004542BA"/>
    <w:rsid w:val="00454527"/>
    <w:rsid w:val="00454700"/>
    <w:rsid w:val="00454875"/>
    <w:rsid w:val="00454B27"/>
    <w:rsid w:val="00454C13"/>
    <w:rsid w:val="00454CA3"/>
    <w:rsid w:val="00454D54"/>
    <w:rsid w:val="00455137"/>
    <w:rsid w:val="004552E2"/>
    <w:rsid w:val="0045530E"/>
    <w:rsid w:val="004555AD"/>
    <w:rsid w:val="00455618"/>
    <w:rsid w:val="004557D0"/>
    <w:rsid w:val="004557FA"/>
    <w:rsid w:val="00455B20"/>
    <w:rsid w:val="00455E06"/>
    <w:rsid w:val="00455F45"/>
    <w:rsid w:val="00456078"/>
    <w:rsid w:val="00456096"/>
    <w:rsid w:val="00456097"/>
    <w:rsid w:val="004562D0"/>
    <w:rsid w:val="00456411"/>
    <w:rsid w:val="00456913"/>
    <w:rsid w:val="00456A2C"/>
    <w:rsid w:val="00456CDD"/>
    <w:rsid w:val="00456E48"/>
    <w:rsid w:val="00456EF1"/>
    <w:rsid w:val="00456F54"/>
    <w:rsid w:val="00457263"/>
    <w:rsid w:val="004576E2"/>
    <w:rsid w:val="00457801"/>
    <w:rsid w:val="00457836"/>
    <w:rsid w:val="00457888"/>
    <w:rsid w:val="004579EF"/>
    <w:rsid w:val="00457A15"/>
    <w:rsid w:val="00457B1F"/>
    <w:rsid w:val="00457C87"/>
    <w:rsid w:val="00457FE6"/>
    <w:rsid w:val="004604AE"/>
    <w:rsid w:val="0046059C"/>
    <w:rsid w:val="0046093A"/>
    <w:rsid w:val="00460A12"/>
    <w:rsid w:val="00460BA7"/>
    <w:rsid w:val="00460D31"/>
    <w:rsid w:val="004613A4"/>
    <w:rsid w:val="0046162D"/>
    <w:rsid w:val="00461671"/>
    <w:rsid w:val="00461733"/>
    <w:rsid w:val="0046179C"/>
    <w:rsid w:val="0046183B"/>
    <w:rsid w:val="00461921"/>
    <w:rsid w:val="00461A98"/>
    <w:rsid w:val="00461B6E"/>
    <w:rsid w:val="004623EA"/>
    <w:rsid w:val="00462606"/>
    <w:rsid w:val="004626E6"/>
    <w:rsid w:val="0046282E"/>
    <w:rsid w:val="00462BC4"/>
    <w:rsid w:val="00462BCE"/>
    <w:rsid w:val="00462D42"/>
    <w:rsid w:val="00462EAF"/>
    <w:rsid w:val="00462EE8"/>
    <w:rsid w:val="00462FF5"/>
    <w:rsid w:val="00463997"/>
    <w:rsid w:val="00463CF3"/>
    <w:rsid w:val="00463D27"/>
    <w:rsid w:val="00463D6C"/>
    <w:rsid w:val="0046456F"/>
    <w:rsid w:val="00464EB6"/>
    <w:rsid w:val="004650F2"/>
    <w:rsid w:val="00465369"/>
    <w:rsid w:val="00465839"/>
    <w:rsid w:val="004659AC"/>
    <w:rsid w:val="00465A79"/>
    <w:rsid w:val="00465B51"/>
    <w:rsid w:val="00465D51"/>
    <w:rsid w:val="00466256"/>
    <w:rsid w:val="00466332"/>
    <w:rsid w:val="00466625"/>
    <w:rsid w:val="00466C96"/>
    <w:rsid w:val="00466D72"/>
    <w:rsid w:val="00466EAC"/>
    <w:rsid w:val="00466FA7"/>
    <w:rsid w:val="004671D0"/>
    <w:rsid w:val="0046722F"/>
    <w:rsid w:val="004673A6"/>
    <w:rsid w:val="004676B5"/>
    <w:rsid w:val="00467B91"/>
    <w:rsid w:val="00467C36"/>
    <w:rsid w:val="00467DB4"/>
    <w:rsid w:val="00467DB9"/>
    <w:rsid w:val="00467E09"/>
    <w:rsid w:val="0047078C"/>
    <w:rsid w:val="004708BD"/>
    <w:rsid w:val="0047102D"/>
    <w:rsid w:val="004710D1"/>
    <w:rsid w:val="0047137E"/>
    <w:rsid w:val="004715A9"/>
    <w:rsid w:val="0047167C"/>
    <w:rsid w:val="0047168A"/>
    <w:rsid w:val="0047173F"/>
    <w:rsid w:val="00471983"/>
    <w:rsid w:val="00471A4A"/>
    <w:rsid w:val="00471AE9"/>
    <w:rsid w:val="00471C03"/>
    <w:rsid w:val="00471C4A"/>
    <w:rsid w:val="004720BE"/>
    <w:rsid w:val="00472113"/>
    <w:rsid w:val="0047214C"/>
    <w:rsid w:val="00472342"/>
    <w:rsid w:val="004726CA"/>
    <w:rsid w:val="00472863"/>
    <w:rsid w:val="0047294F"/>
    <w:rsid w:val="00472C24"/>
    <w:rsid w:val="00472C80"/>
    <w:rsid w:val="00472CC8"/>
    <w:rsid w:val="00472E46"/>
    <w:rsid w:val="004734E3"/>
    <w:rsid w:val="004737DA"/>
    <w:rsid w:val="004738F3"/>
    <w:rsid w:val="00473A07"/>
    <w:rsid w:val="00473CE0"/>
    <w:rsid w:val="00473D28"/>
    <w:rsid w:val="00473D2D"/>
    <w:rsid w:val="00473E4C"/>
    <w:rsid w:val="00474260"/>
    <w:rsid w:val="0047437E"/>
    <w:rsid w:val="0047480C"/>
    <w:rsid w:val="0047496F"/>
    <w:rsid w:val="00474D96"/>
    <w:rsid w:val="00474E14"/>
    <w:rsid w:val="00474E82"/>
    <w:rsid w:val="00475100"/>
    <w:rsid w:val="00475292"/>
    <w:rsid w:val="004754B2"/>
    <w:rsid w:val="00475537"/>
    <w:rsid w:val="00475635"/>
    <w:rsid w:val="004757A0"/>
    <w:rsid w:val="00475A67"/>
    <w:rsid w:val="00475BE9"/>
    <w:rsid w:val="00475CB3"/>
    <w:rsid w:val="00475F74"/>
    <w:rsid w:val="0047603E"/>
    <w:rsid w:val="00476131"/>
    <w:rsid w:val="0047619F"/>
    <w:rsid w:val="004762AB"/>
    <w:rsid w:val="004764FC"/>
    <w:rsid w:val="004765B0"/>
    <w:rsid w:val="004765DD"/>
    <w:rsid w:val="004767E9"/>
    <w:rsid w:val="00476974"/>
    <w:rsid w:val="00476EE4"/>
    <w:rsid w:val="00477372"/>
    <w:rsid w:val="00477442"/>
    <w:rsid w:val="00477591"/>
    <w:rsid w:val="0047770A"/>
    <w:rsid w:val="0047773A"/>
    <w:rsid w:val="00477A20"/>
    <w:rsid w:val="00477BDE"/>
    <w:rsid w:val="00477D7F"/>
    <w:rsid w:val="0048009B"/>
    <w:rsid w:val="00480134"/>
    <w:rsid w:val="00480400"/>
    <w:rsid w:val="0048054D"/>
    <w:rsid w:val="0048070F"/>
    <w:rsid w:val="004808E9"/>
    <w:rsid w:val="004809D2"/>
    <w:rsid w:val="00480D6B"/>
    <w:rsid w:val="0048100B"/>
    <w:rsid w:val="00481071"/>
    <w:rsid w:val="004815C9"/>
    <w:rsid w:val="0048168C"/>
    <w:rsid w:val="00481879"/>
    <w:rsid w:val="00481A0F"/>
    <w:rsid w:val="00481AD1"/>
    <w:rsid w:val="00481E34"/>
    <w:rsid w:val="00481F60"/>
    <w:rsid w:val="00481F8E"/>
    <w:rsid w:val="00482042"/>
    <w:rsid w:val="004820DD"/>
    <w:rsid w:val="00482108"/>
    <w:rsid w:val="00482301"/>
    <w:rsid w:val="004825EB"/>
    <w:rsid w:val="0048266C"/>
    <w:rsid w:val="004827EF"/>
    <w:rsid w:val="00482A9C"/>
    <w:rsid w:val="00482B42"/>
    <w:rsid w:val="00482F2B"/>
    <w:rsid w:val="00483005"/>
    <w:rsid w:val="0048304E"/>
    <w:rsid w:val="0048309F"/>
    <w:rsid w:val="00483492"/>
    <w:rsid w:val="00483518"/>
    <w:rsid w:val="00483616"/>
    <w:rsid w:val="004839EB"/>
    <w:rsid w:val="00483A95"/>
    <w:rsid w:val="00483CC1"/>
    <w:rsid w:val="00483DCD"/>
    <w:rsid w:val="00483F23"/>
    <w:rsid w:val="00484306"/>
    <w:rsid w:val="00484354"/>
    <w:rsid w:val="00484358"/>
    <w:rsid w:val="00484411"/>
    <w:rsid w:val="00484590"/>
    <w:rsid w:val="004846A4"/>
    <w:rsid w:val="004846E0"/>
    <w:rsid w:val="00484869"/>
    <w:rsid w:val="00484CC4"/>
    <w:rsid w:val="00484DFA"/>
    <w:rsid w:val="00484F72"/>
    <w:rsid w:val="00485062"/>
    <w:rsid w:val="00485469"/>
    <w:rsid w:val="00485575"/>
    <w:rsid w:val="00485638"/>
    <w:rsid w:val="004857BA"/>
    <w:rsid w:val="0048580B"/>
    <w:rsid w:val="00485A59"/>
    <w:rsid w:val="00485C71"/>
    <w:rsid w:val="00485E20"/>
    <w:rsid w:val="00485E43"/>
    <w:rsid w:val="00486000"/>
    <w:rsid w:val="00486030"/>
    <w:rsid w:val="00486100"/>
    <w:rsid w:val="00486212"/>
    <w:rsid w:val="00486225"/>
    <w:rsid w:val="00486406"/>
    <w:rsid w:val="00486807"/>
    <w:rsid w:val="00486B64"/>
    <w:rsid w:val="00486C7A"/>
    <w:rsid w:val="00487431"/>
    <w:rsid w:val="00487672"/>
    <w:rsid w:val="00487766"/>
    <w:rsid w:val="0048799E"/>
    <w:rsid w:val="00487BAC"/>
    <w:rsid w:val="00487D23"/>
    <w:rsid w:val="00487E75"/>
    <w:rsid w:val="004901C8"/>
    <w:rsid w:val="004901EE"/>
    <w:rsid w:val="00490309"/>
    <w:rsid w:val="004904B6"/>
    <w:rsid w:val="00490673"/>
    <w:rsid w:val="00490BBC"/>
    <w:rsid w:val="00490E0F"/>
    <w:rsid w:val="00490E2A"/>
    <w:rsid w:val="004911CD"/>
    <w:rsid w:val="0049124B"/>
    <w:rsid w:val="00491283"/>
    <w:rsid w:val="004912B3"/>
    <w:rsid w:val="004913FC"/>
    <w:rsid w:val="004915E4"/>
    <w:rsid w:val="004916C5"/>
    <w:rsid w:val="00491A94"/>
    <w:rsid w:val="00491AAD"/>
    <w:rsid w:val="00491AD5"/>
    <w:rsid w:val="00491BA3"/>
    <w:rsid w:val="00491DAA"/>
    <w:rsid w:val="00491DE6"/>
    <w:rsid w:val="00491F97"/>
    <w:rsid w:val="00491FEA"/>
    <w:rsid w:val="004921ED"/>
    <w:rsid w:val="0049257B"/>
    <w:rsid w:val="004925C7"/>
    <w:rsid w:val="00492685"/>
    <w:rsid w:val="0049285E"/>
    <w:rsid w:val="00492939"/>
    <w:rsid w:val="00492AFC"/>
    <w:rsid w:val="00492B2B"/>
    <w:rsid w:val="00492C3D"/>
    <w:rsid w:val="00492C4A"/>
    <w:rsid w:val="004931C6"/>
    <w:rsid w:val="0049345E"/>
    <w:rsid w:val="0049372F"/>
    <w:rsid w:val="004938F3"/>
    <w:rsid w:val="0049391F"/>
    <w:rsid w:val="0049394F"/>
    <w:rsid w:val="00493CAF"/>
    <w:rsid w:val="00493D30"/>
    <w:rsid w:val="00493E27"/>
    <w:rsid w:val="00493E2C"/>
    <w:rsid w:val="00493EBC"/>
    <w:rsid w:val="004942E8"/>
    <w:rsid w:val="004943E9"/>
    <w:rsid w:val="004947C5"/>
    <w:rsid w:val="0049495F"/>
    <w:rsid w:val="004949AB"/>
    <w:rsid w:val="00494B00"/>
    <w:rsid w:val="0049516D"/>
    <w:rsid w:val="0049537C"/>
    <w:rsid w:val="00495506"/>
    <w:rsid w:val="0049551C"/>
    <w:rsid w:val="00495699"/>
    <w:rsid w:val="004956DF"/>
    <w:rsid w:val="004957DC"/>
    <w:rsid w:val="00495D2D"/>
    <w:rsid w:val="00496000"/>
    <w:rsid w:val="004964F1"/>
    <w:rsid w:val="00496610"/>
    <w:rsid w:val="00496622"/>
    <w:rsid w:val="0049681F"/>
    <w:rsid w:val="00496906"/>
    <w:rsid w:val="0049693E"/>
    <w:rsid w:val="004969FF"/>
    <w:rsid w:val="00496B6E"/>
    <w:rsid w:val="00496D55"/>
    <w:rsid w:val="004970B0"/>
    <w:rsid w:val="00497182"/>
    <w:rsid w:val="004972AE"/>
    <w:rsid w:val="0049749E"/>
    <w:rsid w:val="004974C8"/>
    <w:rsid w:val="00497556"/>
    <w:rsid w:val="004979EC"/>
    <w:rsid w:val="00497E3E"/>
    <w:rsid w:val="004A00D0"/>
    <w:rsid w:val="004A017B"/>
    <w:rsid w:val="004A0489"/>
    <w:rsid w:val="004A0699"/>
    <w:rsid w:val="004A0777"/>
    <w:rsid w:val="004A0A67"/>
    <w:rsid w:val="004A0AB3"/>
    <w:rsid w:val="004A0C67"/>
    <w:rsid w:val="004A0EA8"/>
    <w:rsid w:val="004A0F2E"/>
    <w:rsid w:val="004A15A1"/>
    <w:rsid w:val="004A1783"/>
    <w:rsid w:val="004A17D1"/>
    <w:rsid w:val="004A18B7"/>
    <w:rsid w:val="004A18C8"/>
    <w:rsid w:val="004A1927"/>
    <w:rsid w:val="004A1A99"/>
    <w:rsid w:val="004A1DC7"/>
    <w:rsid w:val="004A1EBB"/>
    <w:rsid w:val="004A1EF6"/>
    <w:rsid w:val="004A1F6F"/>
    <w:rsid w:val="004A20F5"/>
    <w:rsid w:val="004A2228"/>
    <w:rsid w:val="004A2346"/>
    <w:rsid w:val="004A25FB"/>
    <w:rsid w:val="004A26F2"/>
    <w:rsid w:val="004A2AAD"/>
    <w:rsid w:val="004A2D81"/>
    <w:rsid w:val="004A2F13"/>
    <w:rsid w:val="004A3172"/>
    <w:rsid w:val="004A34B3"/>
    <w:rsid w:val="004A3B06"/>
    <w:rsid w:val="004A3B79"/>
    <w:rsid w:val="004A3D5F"/>
    <w:rsid w:val="004A3E8E"/>
    <w:rsid w:val="004A4101"/>
    <w:rsid w:val="004A415F"/>
    <w:rsid w:val="004A44A2"/>
    <w:rsid w:val="004A46DD"/>
    <w:rsid w:val="004A49BF"/>
    <w:rsid w:val="004A4D3D"/>
    <w:rsid w:val="004A4E69"/>
    <w:rsid w:val="004A4ECE"/>
    <w:rsid w:val="004A4F9F"/>
    <w:rsid w:val="004A502D"/>
    <w:rsid w:val="004A50F4"/>
    <w:rsid w:val="004A5102"/>
    <w:rsid w:val="004A51AE"/>
    <w:rsid w:val="004A52D7"/>
    <w:rsid w:val="004A52F3"/>
    <w:rsid w:val="004A550C"/>
    <w:rsid w:val="004A582D"/>
    <w:rsid w:val="004A588D"/>
    <w:rsid w:val="004A5915"/>
    <w:rsid w:val="004A5970"/>
    <w:rsid w:val="004A6385"/>
    <w:rsid w:val="004A6418"/>
    <w:rsid w:val="004A641A"/>
    <w:rsid w:val="004A6773"/>
    <w:rsid w:val="004A6873"/>
    <w:rsid w:val="004A6B37"/>
    <w:rsid w:val="004A6B39"/>
    <w:rsid w:val="004A6B6B"/>
    <w:rsid w:val="004A6E07"/>
    <w:rsid w:val="004A6E4F"/>
    <w:rsid w:val="004A6F2F"/>
    <w:rsid w:val="004A7140"/>
    <w:rsid w:val="004A74CD"/>
    <w:rsid w:val="004A754A"/>
    <w:rsid w:val="004A7762"/>
    <w:rsid w:val="004A7950"/>
    <w:rsid w:val="004A796C"/>
    <w:rsid w:val="004A7D06"/>
    <w:rsid w:val="004A7D6F"/>
    <w:rsid w:val="004B0025"/>
    <w:rsid w:val="004B093E"/>
    <w:rsid w:val="004B0A5E"/>
    <w:rsid w:val="004B0AF5"/>
    <w:rsid w:val="004B0B05"/>
    <w:rsid w:val="004B0B1A"/>
    <w:rsid w:val="004B0B76"/>
    <w:rsid w:val="004B0E87"/>
    <w:rsid w:val="004B0F15"/>
    <w:rsid w:val="004B111C"/>
    <w:rsid w:val="004B1779"/>
    <w:rsid w:val="004B1931"/>
    <w:rsid w:val="004B1989"/>
    <w:rsid w:val="004B1A09"/>
    <w:rsid w:val="004B1B8B"/>
    <w:rsid w:val="004B1DD4"/>
    <w:rsid w:val="004B2103"/>
    <w:rsid w:val="004B23D1"/>
    <w:rsid w:val="004B2684"/>
    <w:rsid w:val="004B2726"/>
    <w:rsid w:val="004B274D"/>
    <w:rsid w:val="004B2A43"/>
    <w:rsid w:val="004B2B27"/>
    <w:rsid w:val="004B2BE1"/>
    <w:rsid w:val="004B324D"/>
    <w:rsid w:val="004B34BD"/>
    <w:rsid w:val="004B34E0"/>
    <w:rsid w:val="004B367F"/>
    <w:rsid w:val="004B369C"/>
    <w:rsid w:val="004B3713"/>
    <w:rsid w:val="004B3883"/>
    <w:rsid w:val="004B38D0"/>
    <w:rsid w:val="004B3938"/>
    <w:rsid w:val="004B3E4E"/>
    <w:rsid w:val="004B3F4C"/>
    <w:rsid w:val="004B43C2"/>
    <w:rsid w:val="004B45D0"/>
    <w:rsid w:val="004B45D2"/>
    <w:rsid w:val="004B46FD"/>
    <w:rsid w:val="004B4720"/>
    <w:rsid w:val="004B4756"/>
    <w:rsid w:val="004B47D5"/>
    <w:rsid w:val="004B48F7"/>
    <w:rsid w:val="004B4A69"/>
    <w:rsid w:val="004B4B0E"/>
    <w:rsid w:val="004B4BC7"/>
    <w:rsid w:val="004B4C98"/>
    <w:rsid w:val="004B5019"/>
    <w:rsid w:val="004B515C"/>
    <w:rsid w:val="004B5275"/>
    <w:rsid w:val="004B54AE"/>
    <w:rsid w:val="004B5507"/>
    <w:rsid w:val="004B568E"/>
    <w:rsid w:val="004B5897"/>
    <w:rsid w:val="004B5C6C"/>
    <w:rsid w:val="004B5E79"/>
    <w:rsid w:val="004B61A9"/>
    <w:rsid w:val="004B62AB"/>
    <w:rsid w:val="004B6338"/>
    <w:rsid w:val="004B6553"/>
    <w:rsid w:val="004B660E"/>
    <w:rsid w:val="004B67BE"/>
    <w:rsid w:val="004B67ED"/>
    <w:rsid w:val="004B6A9E"/>
    <w:rsid w:val="004B6C14"/>
    <w:rsid w:val="004B6FA5"/>
    <w:rsid w:val="004B741E"/>
    <w:rsid w:val="004B7737"/>
    <w:rsid w:val="004B7957"/>
    <w:rsid w:val="004B7B31"/>
    <w:rsid w:val="004B7BA5"/>
    <w:rsid w:val="004B7BC9"/>
    <w:rsid w:val="004C03B1"/>
    <w:rsid w:val="004C0F53"/>
    <w:rsid w:val="004C1514"/>
    <w:rsid w:val="004C1668"/>
    <w:rsid w:val="004C18B8"/>
    <w:rsid w:val="004C1B37"/>
    <w:rsid w:val="004C1B7B"/>
    <w:rsid w:val="004C1CC5"/>
    <w:rsid w:val="004C1D0F"/>
    <w:rsid w:val="004C1D9A"/>
    <w:rsid w:val="004C2092"/>
    <w:rsid w:val="004C252A"/>
    <w:rsid w:val="004C2963"/>
    <w:rsid w:val="004C2A0F"/>
    <w:rsid w:val="004C2D3D"/>
    <w:rsid w:val="004C2D74"/>
    <w:rsid w:val="004C2D75"/>
    <w:rsid w:val="004C2E49"/>
    <w:rsid w:val="004C2E9A"/>
    <w:rsid w:val="004C3580"/>
    <w:rsid w:val="004C38BC"/>
    <w:rsid w:val="004C3946"/>
    <w:rsid w:val="004C3977"/>
    <w:rsid w:val="004C3A6C"/>
    <w:rsid w:val="004C3D69"/>
    <w:rsid w:val="004C3F29"/>
    <w:rsid w:val="004C4029"/>
    <w:rsid w:val="004C4322"/>
    <w:rsid w:val="004C4423"/>
    <w:rsid w:val="004C447E"/>
    <w:rsid w:val="004C44B6"/>
    <w:rsid w:val="004C47EC"/>
    <w:rsid w:val="004C48E6"/>
    <w:rsid w:val="004C4A1F"/>
    <w:rsid w:val="004C4A51"/>
    <w:rsid w:val="004C4C18"/>
    <w:rsid w:val="004C4D0F"/>
    <w:rsid w:val="004C4D22"/>
    <w:rsid w:val="004C4E14"/>
    <w:rsid w:val="004C4E5C"/>
    <w:rsid w:val="004C519A"/>
    <w:rsid w:val="004C5241"/>
    <w:rsid w:val="004C5274"/>
    <w:rsid w:val="004C52CF"/>
    <w:rsid w:val="004C547E"/>
    <w:rsid w:val="004C570A"/>
    <w:rsid w:val="004C58C4"/>
    <w:rsid w:val="004C5AA5"/>
    <w:rsid w:val="004C5EE2"/>
    <w:rsid w:val="004C6055"/>
    <w:rsid w:val="004C6100"/>
    <w:rsid w:val="004C61E2"/>
    <w:rsid w:val="004C63D4"/>
    <w:rsid w:val="004C661D"/>
    <w:rsid w:val="004C678D"/>
    <w:rsid w:val="004C67CA"/>
    <w:rsid w:val="004C6C84"/>
    <w:rsid w:val="004C6DEB"/>
    <w:rsid w:val="004C7015"/>
    <w:rsid w:val="004C71D5"/>
    <w:rsid w:val="004C7237"/>
    <w:rsid w:val="004C7332"/>
    <w:rsid w:val="004C76A7"/>
    <w:rsid w:val="004C7916"/>
    <w:rsid w:val="004C7B07"/>
    <w:rsid w:val="004C7E26"/>
    <w:rsid w:val="004C7F4D"/>
    <w:rsid w:val="004C7FB5"/>
    <w:rsid w:val="004D0091"/>
    <w:rsid w:val="004D02A6"/>
    <w:rsid w:val="004D02DD"/>
    <w:rsid w:val="004D0546"/>
    <w:rsid w:val="004D0679"/>
    <w:rsid w:val="004D0771"/>
    <w:rsid w:val="004D07A2"/>
    <w:rsid w:val="004D08C5"/>
    <w:rsid w:val="004D0A34"/>
    <w:rsid w:val="004D1459"/>
    <w:rsid w:val="004D1499"/>
    <w:rsid w:val="004D154B"/>
    <w:rsid w:val="004D160F"/>
    <w:rsid w:val="004D1854"/>
    <w:rsid w:val="004D1A93"/>
    <w:rsid w:val="004D1D08"/>
    <w:rsid w:val="004D1DC9"/>
    <w:rsid w:val="004D1FB7"/>
    <w:rsid w:val="004D2278"/>
    <w:rsid w:val="004D24E8"/>
    <w:rsid w:val="004D2515"/>
    <w:rsid w:val="004D2637"/>
    <w:rsid w:val="004D26C1"/>
    <w:rsid w:val="004D26ED"/>
    <w:rsid w:val="004D27F8"/>
    <w:rsid w:val="004D2926"/>
    <w:rsid w:val="004D2A14"/>
    <w:rsid w:val="004D2B9A"/>
    <w:rsid w:val="004D2E18"/>
    <w:rsid w:val="004D2E53"/>
    <w:rsid w:val="004D2F80"/>
    <w:rsid w:val="004D2FAD"/>
    <w:rsid w:val="004D3181"/>
    <w:rsid w:val="004D337D"/>
    <w:rsid w:val="004D3672"/>
    <w:rsid w:val="004D39E6"/>
    <w:rsid w:val="004D3A1C"/>
    <w:rsid w:val="004D3DDA"/>
    <w:rsid w:val="004D3E8F"/>
    <w:rsid w:val="004D3EE2"/>
    <w:rsid w:val="004D42F0"/>
    <w:rsid w:val="004D46EE"/>
    <w:rsid w:val="004D479C"/>
    <w:rsid w:val="004D4816"/>
    <w:rsid w:val="004D4828"/>
    <w:rsid w:val="004D4AA7"/>
    <w:rsid w:val="004D4CEB"/>
    <w:rsid w:val="004D4DF3"/>
    <w:rsid w:val="004D4E12"/>
    <w:rsid w:val="004D4EE7"/>
    <w:rsid w:val="004D5330"/>
    <w:rsid w:val="004D54E8"/>
    <w:rsid w:val="004D5685"/>
    <w:rsid w:val="004D5909"/>
    <w:rsid w:val="004D5986"/>
    <w:rsid w:val="004D6162"/>
    <w:rsid w:val="004D62D6"/>
    <w:rsid w:val="004D64C2"/>
    <w:rsid w:val="004D6B3B"/>
    <w:rsid w:val="004D6E37"/>
    <w:rsid w:val="004D7232"/>
    <w:rsid w:val="004D758A"/>
    <w:rsid w:val="004D77F8"/>
    <w:rsid w:val="004D784A"/>
    <w:rsid w:val="004D7BDC"/>
    <w:rsid w:val="004D7D64"/>
    <w:rsid w:val="004D7E8E"/>
    <w:rsid w:val="004E0285"/>
    <w:rsid w:val="004E0359"/>
    <w:rsid w:val="004E05C9"/>
    <w:rsid w:val="004E06C8"/>
    <w:rsid w:val="004E0854"/>
    <w:rsid w:val="004E0956"/>
    <w:rsid w:val="004E0AB2"/>
    <w:rsid w:val="004E0B4A"/>
    <w:rsid w:val="004E0D6D"/>
    <w:rsid w:val="004E0DCB"/>
    <w:rsid w:val="004E0E0C"/>
    <w:rsid w:val="004E111B"/>
    <w:rsid w:val="004E142A"/>
    <w:rsid w:val="004E14BC"/>
    <w:rsid w:val="004E14F9"/>
    <w:rsid w:val="004E17E8"/>
    <w:rsid w:val="004E18C4"/>
    <w:rsid w:val="004E1C91"/>
    <w:rsid w:val="004E1D50"/>
    <w:rsid w:val="004E1E39"/>
    <w:rsid w:val="004E1F3E"/>
    <w:rsid w:val="004E2444"/>
    <w:rsid w:val="004E2679"/>
    <w:rsid w:val="004E28FA"/>
    <w:rsid w:val="004E2A7E"/>
    <w:rsid w:val="004E2A80"/>
    <w:rsid w:val="004E2CAE"/>
    <w:rsid w:val="004E2CCE"/>
    <w:rsid w:val="004E2D26"/>
    <w:rsid w:val="004E2DEB"/>
    <w:rsid w:val="004E2E06"/>
    <w:rsid w:val="004E2ECB"/>
    <w:rsid w:val="004E3049"/>
    <w:rsid w:val="004E305F"/>
    <w:rsid w:val="004E30DF"/>
    <w:rsid w:val="004E32D1"/>
    <w:rsid w:val="004E33AE"/>
    <w:rsid w:val="004E36B6"/>
    <w:rsid w:val="004E397C"/>
    <w:rsid w:val="004E3B39"/>
    <w:rsid w:val="004E3BC5"/>
    <w:rsid w:val="004E3C80"/>
    <w:rsid w:val="004E3CD7"/>
    <w:rsid w:val="004E3E9C"/>
    <w:rsid w:val="004E3ED2"/>
    <w:rsid w:val="004E4040"/>
    <w:rsid w:val="004E4729"/>
    <w:rsid w:val="004E47C7"/>
    <w:rsid w:val="004E4EEE"/>
    <w:rsid w:val="004E5074"/>
    <w:rsid w:val="004E5356"/>
    <w:rsid w:val="004E53B0"/>
    <w:rsid w:val="004E5434"/>
    <w:rsid w:val="004E552C"/>
    <w:rsid w:val="004E55CA"/>
    <w:rsid w:val="004E56C0"/>
    <w:rsid w:val="004E5854"/>
    <w:rsid w:val="004E5C17"/>
    <w:rsid w:val="004E5DEC"/>
    <w:rsid w:val="004E5E8A"/>
    <w:rsid w:val="004E5FED"/>
    <w:rsid w:val="004E6206"/>
    <w:rsid w:val="004E62E5"/>
    <w:rsid w:val="004E6347"/>
    <w:rsid w:val="004E6372"/>
    <w:rsid w:val="004E6560"/>
    <w:rsid w:val="004E68EA"/>
    <w:rsid w:val="004E6D45"/>
    <w:rsid w:val="004E6D9A"/>
    <w:rsid w:val="004E7142"/>
    <w:rsid w:val="004E719C"/>
    <w:rsid w:val="004E72F1"/>
    <w:rsid w:val="004E7715"/>
    <w:rsid w:val="004E7B6F"/>
    <w:rsid w:val="004E7FAC"/>
    <w:rsid w:val="004E7FF2"/>
    <w:rsid w:val="004F0031"/>
    <w:rsid w:val="004F016A"/>
    <w:rsid w:val="004F019F"/>
    <w:rsid w:val="004F0519"/>
    <w:rsid w:val="004F0644"/>
    <w:rsid w:val="004F067D"/>
    <w:rsid w:val="004F075A"/>
    <w:rsid w:val="004F0938"/>
    <w:rsid w:val="004F0A93"/>
    <w:rsid w:val="004F0ABF"/>
    <w:rsid w:val="004F0E0E"/>
    <w:rsid w:val="004F104C"/>
    <w:rsid w:val="004F10D4"/>
    <w:rsid w:val="004F1690"/>
    <w:rsid w:val="004F197B"/>
    <w:rsid w:val="004F1C38"/>
    <w:rsid w:val="004F2001"/>
    <w:rsid w:val="004F2157"/>
    <w:rsid w:val="004F2819"/>
    <w:rsid w:val="004F2971"/>
    <w:rsid w:val="004F2986"/>
    <w:rsid w:val="004F2C3B"/>
    <w:rsid w:val="004F2DB7"/>
    <w:rsid w:val="004F2E11"/>
    <w:rsid w:val="004F2E81"/>
    <w:rsid w:val="004F3369"/>
    <w:rsid w:val="004F33DD"/>
    <w:rsid w:val="004F3443"/>
    <w:rsid w:val="004F38DE"/>
    <w:rsid w:val="004F3AC6"/>
    <w:rsid w:val="004F3BA6"/>
    <w:rsid w:val="004F3D8A"/>
    <w:rsid w:val="004F4026"/>
    <w:rsid w:val="004F40A7"/>
    <w:rsid w:val="004F412E"/>
    <w:rsid w:val="004F45F8"/>
    <w:rsid w:val="004F47E0"/>
    <w:rsid w:val="004F4A26"/>
    <w:rsid w:val="004F4B07"/>
    <w:rsid w:val="004F4B70"/>
    <w:rsid w:val="004F5090"/>
    <w:rsid w:val="004F553A"/>
    <w:rsid w:val="004F5871"/>
    <w:rsid w:val="004F5964"/>
    <w:rsid w:val="004F5A84"/>
    <w:rsid w:val="004F5C6E"/>
    <w:rsid w:val="004F5DA5"/>
    <w:rsid w:val="004F5F38"/>
    <w:rsid w:val="004F625A"/>
    <w:rsid w:val="004F6267"/>
    <w:rsid w:val="004F6371"/>
    <w:rsid w:val="004F68D5"/>
    <w:rsid w:val="004F6940"/>
    <w:rsid w:val="004F6958"/>
    <w:rsid w:val="004F6A8A"/>
    <w:rsid w:val="004F6AAB"/>
    <w:rsid w:val="004F6B93"/>
    <w:rsid w:val="004F6D4F"/>
    <w:rsid w:val="004F6DE4"/>
    <w:rsid w:val="004F6E17"/>
    <w:rsid w:val="004F7035"/>
    <w:rsid w:val="004F7157"/>
    <w:rsid w:val="004F7CF0"/>
    <w:rsid w:val="004F7E36"/>
    <w:rsid w:val="00500509"/>
    <w:rsid w:val="0050058E"/>
    <w:rsid w:val="00500715"/>
    <w:rsid w:val="005007AB"/>
    <w:rsid w:val="005009AB"/>
    <w:rsid w:val="00500A13"/>
    <w:rsid w:val="00500D75"/>
    <w:rsid w:val="00501430"/>
    <w:rsid w:val="0050147A"/>
    <w:rsid w:val="0050179D"/>
    <w:rsid w:val="00501BC8"/>
    <w:rsid w:val="00501F28"/>
    <w:rsid w:val="00501FC3"/>
    <w:rsid w:val="005021DF"/>
    <w:rsid w:val="005024A6"/>
    <w:rsid w:val="00502526"/>
    <w:rsid w:val="0050254C"/>
    <w:rsid w:val="0050284A"/>
    <w:rsid w:val="00502DBC"/>
    <w:rsid w:val="00502F02"/>
    <w:rsid w:val="005030F6"/>
    <w:rsid w:val="00503239"/>
    <w:rsid w:val="0050350B"/>
    <w:rsid w:val="005035D3"/>
    <w:rsid w:val="0050370D"/>
    <w:rsid w:val="00503A0E"/>
    <w:rsid w:val="00503CAE"/>
    <w:rsid w:val="00503E01"/>
    <w:rsid w:val="00503F25"/>
    <w:rsid w:val="00504055"/>
    <w:rsid w:val="005041C0"/>
    <w:rsid w:val="00504305"/>
    <w:rsid w:val="005047C6"/>
    <w:rsid w:val="0050489D"/>
    <w:rsid w:val="00504920"/>
    <w:rsid w:val="00504A82"/>
    <w:rsid w:val="00504B0C"/>
    <w:rsid w:val="00504D5B"/>
    <w:rsid w:val="00504D89"/>
    <w:rsid w:val="00504DEB"/>
    <w:rsid w:val="00504E4E"/>
    <w:rsid w:val="00504E95"/>
    <w:rsid w:val="00504F41"/>
    <w:rsid w:val="0050507E"/>
    <w:rsid w:val="005051E6"/>
    <w:rsid w:val="0050532B"/>
    <w:rsid w:val="00505403"/>
    <w:rsid w:val="005057C8"/>
    <w:rsid w:val="00505A3B"/>
    <w:rsid w:val="00505AE6"/>
    <w:rsid w:val="00505BC9"/>
    <w:rsid w:val="00505CEF"/>
    <w:rsid w:val="00505D2A"/>
    <w:rsid w:val="00505DF8"/>
    <w:rsid w:val="00505EC9"/>
    <w:rsid w:val="00505ED9"/>
    <w:rsid w:val="00506014"/>
    <w:rsid w:val="0050611F"/>
    <w:rsid w:val="005063E7"/>
    <w:rsid w:val="005064AD"/>
    <w:rsid w:val="005066F8"/>
    <w:rsid w:val="0050674A"/>
    <w:rsid w:val="00506C96"/>
    <w:rsid w:val="00507131"/>
    <w:rsid w:val="0050724B"/>
    <w:rsid w:val="0050774B"/>
    <w:rsid w:val="0050776C"/>
    <w:rsid w:val="005077B4"/>
    <w:rsid w:val="005079B2"/>
    <w:rsid w:val="00507C11"/>
    <w:rsid w:val="00507D08"/>
    <w:rsid w:val="00507D8E"/>
    <w:rsid w:val="00507E02"/>
    <w:rsid w:val="00510311"/>
    <w:rsid w:val="005103D9"/>
    <w:rsid w:val="0051070F"/>
    <w:rsid w:val="00510875"/>
    <w:rsid w:val="00510A68"/>
    <w:rsid w:val="00510A84"/>
    <w:rsid w:val="00510AD0"/>
    <w:rsid w:val="00510B00"/>
    <w:rsid w:val="00510C93"/>
    <w:rsid w:val="00510E88"/>
    <w:rsid w:val="00510FF5"/>
    <w:rsid w:val="00511042"/>
    <w:rsid w:val="00511099"/>
    <w:rsid w:val="0051139A"/>
    <w:rsid w:val="00511469"/>
    <w:rsid w:val="0051167D"/>
    <w:rsid w:val="005118F0"/>
    <w:rsid w:val="00511A61"/>
    <w:rsid w:val="00511AE6"/>
    <w:rsid w:val="00511BD7"/>
    <w:rsid w:val="00511C61"/>
    <w:rsid w:val="00511E6F"/>
    <w:rsid w:val="005124C5"/>
    <w:rsid w:val="005124C9"/>
    <w:rsid w:val="0051295A"/>
    <w:rsid w:val="00512C6C"/>
    <w:rsid w:val="00512DB7"/>
    <w:rsid w:val="00512F4D"/>
    <w:rsid w:val="00512F66"/>
    <w:rsid w:val="005131E7"/>
    <w:rsid w:val="00513526"/>
    <w:rsid w:val="005135ED"/>
    <w:rsid w:val="005138D0"/>
    <w:rsid w:val="00513BED"/>
    <w:rsid w:val="00513E5D"/>
    <w:rsid w:val="00514069"/>
    <w:rsid w:val="005141D4"/>
    <w:rsid w:val="00514323"/>
    <w:rsid w:val="0051460D"/>
    <w:rsid w:val="00514622"/>
    <w:rsid w:val="00514656"/>
    <w:rsid w:val="0051470E"/>
    <w:rsid w:val="005148EA"/>
    <w:rsid w:val="00514A9F"/>
    <w:rsid w:val="00514C46"/>
    <w:rsid w:val="005152A0"/>
    <w:rsid w:val="005152C4"/>
    <w:rsid w:val="0051535C"/>
    <w:rsid w:val="00515555"/>
    <w:rsid w:val="00515B73"/>
    <w:rsid w:val="00515BC1"/>
    <w:rsid w:val="00515CA0"/>
    <w:rsid w:val="00515CBE"/>
    <w:rsid w:val="00515CC9"/>
    <w:rsid w:val="00515EAB"/>
    <w:rsid w:val="00515F41"/>
    <w:rsid w:val="00516782"/>
    <w:rsid w:val="00516806"/>
    <w:rsid w:val="0051680D"/>
    <w:rsid w:val="005169DB"/>
    <w:rsid w:val="00516AC2"/>
    <w:rsid w:val="00516B3A"/>
    <w:rsid w:val="00516BEE"/>
    <w:rsid w:val="00516D02"/>
    <w:rsid w:val="0051725B"/>
    <w:rsid w:val="0051733A"/>
    <w:rsid w:val="0051770F"/>
    <w:rsid w:val="00517B66"/>
    <w:rsid w:val="005200D4"/>
    <w:rsid w:val="0052040D"/>
    <w:rsid w:val="005204B5"/>
    <w:rsid w:val="00520A51"/>
    <w:rsid w:val="00520BA1"/>
    <w:rsid w:val="00520F57"/>
    <w:rsid w:val="00521005"/>
    <w:rsid w:val="005213CA"/>
    <w:rsid w:val="00521468"/>
    <w:rsid w:val="00521712"/>
    <w:rsid w:val="005219E2"/>
    <w:rsid w:val="00521AEC"/>
    <w:rsid w:val="00522252"/>
    <w:rsid w:val="005224C9"/>
    <w:rsid w:val="00522555"/>
    <w:rsid w:val="00522658"/>
    <w:rsid w:val="0052280E"/>
    <w:rsid w:val="005228D5"/>
    <w:rsid w:val="00522952"/>
    <w:rsid w:val="005230D7"/>
    <w:rsid w:val="005234B9"/>
    <w:rsid w:val="0052359A"/>
    <w:rsid w:val="00523707"/>
    <w:rsid w:val="00523778"/>
    <w:rsid w:val="00523A01"/>
    <w:rsid w:val="00523AF5"/>
    <w:rsid w:val="00523CC5"/>
    <w:rsid w:val="00523D49"/>
    <w:rsid w:val="0052419C"/>
    <w:rsid w:val="00524594"/>
    <w:rsid w:val="00524737"/>
    <w:rsid w:val="00524785"/>
    <w:rsid w:val="005247AC"/>
    <w:rsid w:val="00524990"/>
    <w:rsid w:val="00524F7B"/>
    <w:rsid w:val="00525073"/>
    <w:rsid w:val="0052518D"/>
    <w:rsid w:val="005252CA"/>
    <w:rsid w:val="0052535B"/>
    <w:rsid w:val="005253A0"/>
    <w:rsid w:val="00525404"/>
    <w:rsid w:val="005255DE"/>
    <w:rsid w:val="00525672"/>
    <w:rsid w:val="005256DB"/>
    <w:rsid w:val="00525760"/>
    <w:rsid w:val="005257C7"/>
    <w:rsid w:val="00525C89"/>
    <w:rsid w:val="00525CCD"/>
    <w:rsid w:val="00525F05"/>
    <w:rsid w:val="00526B64"/>
    <w:rsid w:val="00526D3C"/>
    <w:rsid w:val="00526D57"/>
    <w:rsid w:val="0052714E"/>
    <w:rsid w:val="0052726A"/>
    <w:rsid w:val="00527295"/>
    <w:rsid w:val="005273A7"/>
    <w:rsid w:val="005277E1"/>
    <w:rsid w:val="00527B4D"/>
    <w:rsid w:val="00527C43"/>
    <w:rsid w:val="00527C50"/>
    <w:rsid w:val="00527C53"/>
    <w:rsid w:val="00527ECA"/>
    <w:rsid w:val="0053020F"/>
    <w:rsid w:val="0053040D"/>
    <w:rsid w:val="00530A83"/>
    <w:rsid w:val="00530D54"/>
    <w:rsid w:val="00530E46"/>
    <w:rsid w:val="00530E73"/>
    <w:rsid w:val="00530E94"/>
    <w:rsid w:val="00530ED4"/>
    <w:rsid w:val="005310B8"/>
    <w:rsid w:val="00531693"/>
    <w:rsid w:val="005317A3"/>
    <w:rsid w:val="00531972"/>
    <w:rsid w:val="0053198F"/>
    <w:rsid w:val="00531A6F"/>
    <w:rsid w:val="00531AAA"/>
    <w:rsid w:val="00531C05"/>
    <w:rsid w:val="00531C18"/>
    <w:rsid w:val="00531C1F"/>
    <w:rsid w:val="00531DA3"/>
    <w:rsid w:val="00531E47"/>
    <w:rsid w:val="00531FF9"/>
    <w:rsid w:val="00532390"/>
    <w:rsid w:val="005323B5"/>
    <w:rsid w:val="00532478"/>
    <w:rsid w:val="00532826"/>
    <w:rsid w:val="00532D33"/>
    <w:rsid w:val="00532D8E"/>
    <w:rsid w:val="00532E17"/>
    <w:rsid w:val="00533051"/>
    <w:rsid w:val="00533182"/>
    <w:rsid w:val="005331B2"/>
    <w:rsid w:val="005333DB"/>
    <w:rsid w:val="005337BA"/>
    <w:rsid w:val="005338CF"/>
    <w:rsid w:val="0053390D"/>
    <w:rsid w:val="00533E42"/>
    <w:rsid w:val="00533E9E"/>
    <w:rsid w:val="00534043"/>
    <w:rsid w:val="0053407C"/>
    <w:rsid w:val="005340C5"/>
    <w:rsid w:val="005341D4"/>
    <w:rsid w:val="00534231"/>
    <w:rsid w:val="0053424C"/>
    <w:rsid w:val="005343FD"/>
    <w:rsid w:val="005344D8"/>
    <w:rsid w:val="00534647"/>
    <w:rsid w:val="005346B6"/>
    <w:rsid w:val="0053471D"/>
    <w:rsid w:val="00534A8C"/>
    <w:rsid w:val="00534DA0"/>
    <w:rsid w:val="00534DF5"/>
    <w:rsid w:val="00534E54"/>
    <w:rsid w:val="00534E9F"/>
    <w:rsid w:val="00535018"/>
    <w:rsid w:val="0053539F"/>
    <w:rsid w:val="0053542B"/>
    <w:rsid w:val="0053569D"/>
    <w:rsid w:val="005357CC"/>
    <w:rsid w:val="005359E3"/>
    <w:rsid w:val="00535BD2"/>
    <w:rsid w:val="00535C91"/>
    <w:rsid w:val="00535E3B"/>
    <w:rsid w:val="005360E2"/>
    <w:rsid w:val="005365FB"/>
    <w:rsid w:val="005367F4"/>
    <w:rsid w:val="0053685F"/>
    <w:rsid w:val="00536C4A"/>
    <w:rsid w:val="00536DCA"/>
    <w:rsid w:val="00536F0F"/>
    <w:rsid w:val="0053702E"/>
    <w:rsid w:val="0053702F"/>
    <w:rsid w:val="0053721B"/>
    <w:rsid w:val="005374EE"/>
    <w:rsid w:val="0053760B"/>
    <w:rsid w:val="00537708"/>
    <w:rsid w:val="00537827"/>
    <w:rsid w:val="00537837"/>
    <w:rsid w:val="00537BEC"/>
    <w:rsid w:val="00537E97"/>
    <w:rsid w:val="005400DA"/>
    <w:rsid w:val="00540160"/>
    <w:rsid w:val="0054057D"/>
    <w:rsid w:val="00540A1B"/>
    <w:rsid w:val="00540B71"/>
    <w:rsid w:val="00540F21"/>
    <w:rsid w:val="00540F84"/>
    <w:rsid w:val="0054109A"/>
    <w:rsid w:val="0054132F"/>
    <w:rsid w:val="00541387"/>
    <w:rsid w:val="00541465"/>
    <w:rsid w:val="00541738"/>
    <w:rsid w:val="00541A40"/>
    <w:rsid w:val="00541ACA"/>
    <w:rsid w:val="00541CA2"/>
    <w:rsid w:val="00541E7B"/>
    <w:rsid w:val="00541ED0"/>
    <w:rsid w:val="00541FA0"/>
    <w:rsid w:val="005422B0"/>
    <w:rsid w:val="0054234D"/>
    <w:rsid w:val="005423F8"/>
    <w:rsid w:val="005426A8"/>
    <w:rsid w:val="0054281C"/>
    <w:rsid w:val="005428B1"/>
    <w:rsid w:val="00542A38"/>
    <w:rsid w:val="00542A5D"/>
    <w:rsid w:val="00542DF8"/>
    <w:rsid w:val="00543034"/>
    <w:rsid w:val="0054313F"/>
    <w:rsid w:val="00543181"/>
    <w:rsid w:val="005431EC"/>
    <w:rsid w:val="005432D8"/>
    <w:rsid w:val="0054356F"/>
    <w:rsid w:val="0054363D"/>
    <w:rsid w:val="00543834"/>
    <w:rsid w:val="005438A9"/>
    <w:rsid w:val="005438D6"/>
    <w:rsid w:val="00543BD1"/>
    <w:rsid w:val="00543C4F"/>
    <w:rsid w:val="00543CD6"/>
    <w:rsid w:val="00543D80"/>
    <w:rsid w:val="0054410E"/>
    <w:rsid w:val="0054419D"/>
    <w:rsid w:val="005441F2"/>
    <w:rsid w:val="005442B5"/>
    <w:rsid w:val="005442D1"/>
    <w:rsid w:val="0054475D"/>
    <w:rsid w:val="00544840"/>
    <w:rsid w:val="0054515F"/>
    <w:rsid w:val="00545228"/>
    <w:rsid w:val="0054523A"/>
    <w:rsid w:val="00545373"/>
    <w:rsid w:val="00545529"/>
    <w:rsid w:val="005456A0"/>
    <w:rsid w:val="00545999"/>
    <w:rsid w:val="00545A1B"/>
    <w:rsid w:val="00545AD0"/>
    <w:rsid w:val="00545BDE"/>
    <w:rsid w:val="00545F43"/>
    <w:rsid w:val="0054611E"/>
    <w:rsid w:val="00546225"/>
    <w:rsid w:val="005464BA"/>
    <w:rsid w:val="005465FC"/>
    <w:rsid w:val="005467BE"/>
    <w:rsid w:val="00546839"/>
    <w:rsid w:val="00546922"/>
    <w:rsid w:val="00547023"/>
    <w:rsid w:val="0054707D"/>
    <w:rsid w:val="00547313"/>
    <w:rsid w:val="00547673"/>
    <w:rsid w:val="00547788"/>
    <w:rsid w:val="005479EB"/>
    <w:rsid w:val="00547BDC"/>
    <w:rsid w:val="00547BEA"/>
    <w:rsid w:val="00547E48"/>
    <w:rsid w:val="0055019E"/>
    <w:rsid w:val="005501F1"/>
    <w:rsid w:val="0055039E"/>
    <w:rsid w:val="00550487"/>
    <w:rsid w:val="0055067B"/>
    <w:rsid w:val="005506C6"/>
    <w:rsid w:val="005508C2"/>
    <w:rsid w:val="00550B6D"/>
    <w:rsid w:val="00550C8A"/>
    <w:rsid w:val="00550E06"/>
    <w:rsid w:val="005510B4"/>
    <w:rsid w:val="005511A5"/>
    <w:rsid w:val="00551441"/>
    <w:rsid w:val="0055150E"/>
    <w:rsid w:val="0055158F"/>
    <w:rsid w:val="005515DE"/>
    <w:rsid w:val="00551898"/>
    <w:rsid w:val="00551A1C"/>
    <w:rsid w:val="00551A38"/>
    <w:rsid w:val="00551A6C"/>
    <w:rsid w:val="00551C82"/>
    <w:rsid w:val="00551F23"/>
    <w:rsid w:val="00551F8A"/>
    <w:rsid w:val="0055206C"/>
    <w:rsid w:val="00552210"/>
    <w:rsid w:val="00552839"/>
    <w:rsid w:val="00552963"/>
    <w:rsid w:val="005529D0"/>
    <w:rsid w:val="00552AC1"/>
    <w:rsid w:val="00552E1F"/>
    <w:rsid w:val="00552EFC"/>
    <w:rsid w:val="00553072"/>
    <w:rsid w:val="00553120"/>
    <w:rsid w:val="00553168"/>
    <w:rsid w:val="00553587"/>
    <w:rsid w:val="0055367F"/>
    <w:rsid w:val="005536B5"/>
    <w:rsid w:val="005536C2"/>
    <w:rsid w:val="00553710"/>
    <w:rsid w:val="00553A33"/>
    <w:rsid w:val="00553A3C"/>
    <w:rsid w:val="00553AE2"/>
    <w:rsid w:val="00553B61"/>
    <w:rsid w:val="00553B89"/>
    <w:rsid w:val="00553F74"/>
    <w:rsid w:val="0055421B"/>
    <w:rsid w:val="00554504"/>
    <w:rsid w:val="00554695"/>
    <w:rsid w:val="00554B58"/>
    <w:rsid w:val="00554BC7"/>
    <w:rsid w:val="00554C89"/>
    <w:rsid w:val="00554DBE"/>
    <w:rsid w:val="00554F97"/>
    <w:rsid w:val="00555303"/>
    <w:rsid w:val="00555331"/>
    <w:rsid w:val="005555F1"/>
    <w:rsid w:val="00555683"/>
    <w:rsid w:val="00555721"/>
    <w:rsid w:val="00555A0B"/>
    <w:rsid w:val="00555A4F"/>
    <w:rsid w:val="00555AC7"/>
    <w:rsid w:val="00555B2A"/>
    <w:rsid w:val="00555F18"/>
    <w:rsid w:val="00555F71"/>
    <w:rsid w:val="00556086"/>
    <w:rsid w:val="0055624B"/>
    <w:rsid w:val="00556260"/>
    <w:rsid w:val="0055630D"/>
    <w:rsid w:val="00556353"/>
    <w:rsid w:val="0055636B"/>
    <w:rsid w:val="00556595"/>
    <w:rsid w:val="0055694B"/>
    <w:rsid w:val="00556C9A"/>
    <w:rsid w:val="00556CA7"/>
    <w:rsid w:val="00556D24"/>
    <w:rsid w:val="00557029"/>
    <w:rsid w:val="00557065"/>
    <w:rsid w:val="005577A2"/>
    <w:rsid w:val="005577D5"/>
    <w:rsid w:val="00557B0A"/>
    <w:rsid w:val="00557C2D"/>
    <w:rsid w:val="005602C7"/>
    <w:rsid w:val="00560819"/>
    <w:rsid w:val="00560AA1"/>
    <w:rsid w:val="00560ADC"/>
    <w:rsid w:val="00560EBF"/>
    <w:rsid w:val="00560F13"/>
    <w:rsid w:val="00560F59"/>
    <w:rsid w:val="00560F7A"/>
    <w:rsid w:val="00561253"/>
    <w:rsid w:val="00561295"/>
    <w:rsid w:val="005619A9"/>
    <w:rsid w:val="00561AB8"/>
    <w:rsid w:val="00561B22"/>
    <w:rsid w:val="0056208B"/>
    <w:rsid w:val="005624CE"/>
    <w:rsid w:val="005626ED"/>
    <w:rsid w:val="00562E91"/>
    <w:rsid w:val="00562EC5"/>
    <w:rsid w:val="00563074"/>
    <w:rsid w:val="005630A0"/>
    <w:rsid w:val="0056314A"/>
    <w:rsid w:val="005631DB"/>
    <w:rsid w:val="0056326A"/>
    <w:rsid w:val="005638E2"/>
    <w:rsid w:val="00563DE8"/>
    <w:rsid w:val="00563FD8"/>
    <w:rsid w:val="0056467D"/>
    <w:rsid w:val="005646B3"/>
    <w:rsid w:val="0056476B"/>
    <w:rsid w:val="00564B55"/>
    <w:rsid w:val="00564B56"/>
    <w:rsid w:val="005650CD"/>
    <w:rsid w:val="00565568"/>
    <w:rsid w:val="005655D0"/>
    <w:rsid w:val="00565933"/>
    <w:rsid w:val="00565BCF"/>
    <w:rsid w:val="00565F48"/>
    <w:rsid w:val="00565F78"/>
    <w:rsid w:val="00565F83"/>
    <w:rsid w:val="00566186"/>
    <w:rsid w:val="005668CD"/>
    <w:rsid w:val="005669F3"/>
    <w:rsid w:val="00566D3A"/>
    <w:rsid w:val="00566DBC"/>
    <w:rsid w:val="0056702D"/>
    <w:rsid w:val="005670DD"/>
    <w:rsid w:val="00567385"/>
    <w:rsid w:val="00567444"/>
    <w:rsid w:val="005674E5"/>
    <w:rsid w:val="00567A53"/>
    <w:rsid w:val="00567C2A"/>
    <w:rsid w:val="00567E17"/>
    <w:rsid w:val="00567F0D"/>
    <w:rsid w:val="005700E2"/>
    <w:rsid w:val="0057015A"/>
    <w:rsid w:val="005701C9"/>
    <w:rsid w:val="0057020F"/>
    <w:rsid w:val="00570371"/>
    <w:rsid w:val="0057041D"/>
    <w:rsid w:val="00570700"/>
    <w:rsid w:val="00570A66"/>
    <w:rsid w:val="00570BAA"/>
    <w:rsid w:val="00570C2A"/>
    <w:rsid w:val="00570DBF"/>
    <w:rsid w:val="00570F58"/>
    <w:rsid w:val="0057104E"/>
    <w:rsid w:val="0057110A"/>
    <w:rsid w:val="00571320"/>
    <w:rsid w:val="005714B2"/>
    <w:rsid w:val="005715E6"/>
    <w:rsid w:val="0057168B"/>
    <w:rsid w:val="005717BE"/>
    <w:rsid w:val="00571A5B"/>
    <w:rsid w:val="00571B2E"/>
    <w:rsid w:val="00571BD0"/>
    <w:rsid w:val="00571D04"/>
    <w:rsid w:val="00571D75"/>
    <w:rsid w:val="00572373"/>
    <w:rsid w:val="00572566"/>
    <w:rsid w:val="005726A2"/>
    <w:rsid w:val="00572A00"/>
    <w:rsid w:val="00572A43"/>
    <w:rsid w:val="00572CD1"/>
    <w:rsid w:val="00572E51"/>
    <w:rsid w:val="00572F75"/>
    <w:rsid w:val="005730EB"/>
    <w:rsid w:val="00573130"/>
    <w:rsid w:val="005731F7"/>
    <w:rsid w:val="00573263"/>
    <w:rsid w:val="00573302"/>
    <w:rsid w:val="005733D0"/>
    <w:rsid w:val="0057378D"/>
    <w:rsid w:val="005737F5"/>
    <w:rsid w:val="00573D22"/>
    <w:rsid w:val="00573DFF"/>
    <w:rsid w:val="00574087"/>
    <w:rsid w:val="0057424D"/>
    <w:rsid w:val="00574461"/>
    <w:rsid w:val="00574504"/>
    <w:rsid w:val="00574526"/>
    <w:rsid w:val="0057468B"/>
    <w:rsid w:val="005746D3"/>
    <w:rsid w:val="00574873"/>
    <w:rsid w:val="00574950"/>
    <w:rsid w:val="00574BF2"/>
    <w:rsid w:val="00574BF6"/>
    <w:rsid w:val="00574CE2"/>
    <w:rsid w:val="00574ECE"/>
    <w:rsid w:val="00574F9C"/>
    <w:rsid w:val="0057511A"/>
    <w:rsid w:val="00575538"/>
    <w:rsid w:val="0057569E"/>
    <w:rsid w:val="0057576A"/>
    <w:rsid w:val="00575883"/>
    <w:rsid w:val="005758BC"/>
    <w:rsid w:val="00575AED"/>
    <w:rsid w:val="00575E67"/>
    <w:rsid w:val="00576099"/>
    <w:rsid w:val="005761A0"/>
    <w:rsid w:val="005762D5"/>
    <w:rsid w:val="005763C5"/>
    <w:rsid w:val="005765FF"/>
    <w:rsid w:val="005766E1"/>
    <w:rsid w:val="00576716"/>
    <w:rsid w:val="005767BE"/>
    <w:rsid w:val="005767E1"/>
    <w:rsid w:val="00576A47"/>
    <w:rsid w:val="00576AC6"/>
    <w:rsid w:val="00576C39"/>
    <w:rsid w:val="00576CC7"/>
    <w:rsid w:val="00577194"/>
    <w:rsid w:val="005774D4"/>
    <w:rsid w:val="0057754C"/>
    <w:rsid w:val="0057771B"/>
    <w:rsid w:val="0057778B"/>
    <w:rsid w:val="0057786B"/>
    <w:rsid w:val="0057794C"/>
    <w:rsid w:val="00577BC1"/>
    <w:rsid w:val="005802A0"/>
    <w:rsid w:val="00580394"/>
    <w:rsid w:val="0058045C"/>
    <w:rsid w:val="00580A10"/>
    <w:rsid w:val="005810B5"/>
    <w:rsid w:val="00581180"/>
    <w:rsid w:val="005812A1"/>
    <w:rsid w:val="00581AB9"/>
    <w:rsid w:val="00581C1D"/>
    <w:rsid w:val="00581E54"/>
    <w:rsid w:val="0058211C"/>
    <w:rsid w:val="0058269A"/>
    <w:rsid w:val="00582748"/>
    <w:rsid w:val="00582940"/>
    <w:rsid w:val="00582A47"/>
    <w:rsid w:val="005830E7"/>
    <w:rsid w:val="00583706"/>
    <w:rsid w:val="00583750"/>
    <w:rsid w:val="00583ADE"/>
    <w:rsid w:val="00583BAC"/>
    <w:rsid w:val="00583DD1"/>
    <w:rsid w:val="00583ED9"/>
    <w:rsid w:val="00584027"/>
    <w:rsid w:val="00584334"/>
    <w:rsid w:val="00584498"/>
    <w:rsid w:val="00584574"/>
    <w:rsid w:val="0058465E"/>
    <w:rsid w:val="005848AE"/>
    <w:rsid w:val="005848F9"/>
    <w:rsid w:val="00584C52"/>
    <w:rsid w:val="00584E25"/>
    <w:rsid w:val="0058501A"/>
    <w:rsid w:val="005850DD"/>
    <w:rsid w:val="005852FA"/>
    <w:rsid w:val="0058559A"/>
    <w:rsid w:val="005855D2"/>
    <w:rsid w:val="0058562B"/>
    <w:rsid w:val="00585708"/>
    <w:rsid w:val="0058591A"/>
    <w:rsid w:val="00585A1B"/>
    <w:rsid w:val="00585A75"/>
    <w:rsid w:val="00585C09"/>
    <w:rsid w:val="00585CE9"/>
    <w:rsid w:val="00585FAF"/>
    <w:rsid w:val="0058602F"/>
    <w:rsid w:val="00586136"/>
    <w:rsid w:val="0058613D"/>
    <w:rsid w:val="00586176"/>
    <w:rsid w:val="005862D4"/>
    <w:rsid w:val="005864F6"/>
    <w:rsid w:val="005866DE"/>
    <w:rsid w:val="005867FA"/>
    <w:rsid w:val="0058692E"/>
    <w:rsid w:val="00586ED3"/>
    <w:rsid w:val="005870F6"/>
    <w:rsid w:val="0058723D"/>
    <w:rsid w:val="00587483"/>
    <w:rsid w:val="00587B49"/>
    <w:rsid w:val="00587C35"/>
    <w:rsid w:val="00587D19"/>
    <w:rsid w:val="005900CD"/>
    <w:rsid w:val="00590160"/>
    <w:rsid w:val="005904B6"/>
    <w:rsid w:val="00590501"/>
    <w:rsid w:val="005905A3"/>
    <w:rsid w:val="0059061C"/>
    <w:rsid w:val="005909CF"/>
    <w:rsid w:val="00590C69"/>
    <w:rsid w:val="00590DC6"/>
    <w:rsid w:val="00590DCC"/>
    <w:rsid w:val="00590EF6"/>
    <w:rsid w:val="00591461"/>
    <w:rsid w:val="005919A0"/>
    <w:rsid w:val="00591C04"/>
    <w:rsid w:val="00592013"/>
    <w:rsid w:val="005921C0"/>
    <w:rsid w:val="00592546"/>
    <w:rsid w:val="005925A1"/>
    <w:rsid w:val="00592A31"/>
    <w:rsid w:val="00592C95"/>
    <w:rsid w:val="0059317A"/>
    <w:rsid w:val="005931DF"/>
    <w:rsid w:val="00593639"/>
    <w:rsid w:val="005936AD"/>
    <w:rsid w:val="0059374D"/>
    <w:rsid w:val="00593900"/>
    <w:rsid w:val="00593AC8"/>
    <w:rsid w:val="00593B6F"/>
    <w:rsid w:val="00593D5F"/>
    <w:rsid w:val="00593E55"/>
    <w:rsid w:val="00593F04"/>
    <w:rsid w:val="005942F1"/>
    <w:rsid w:val="00594758"/>
    <w:rsid w:val="00594886"/>
    <w:rsid w:val="005948AB"/>
    <w:rsid w:val="005948B6"/>
    <w:rsid w:val="00594A53"/>
    <w:rsid w:val="00594EBD"/>
    <w:rsid w:val="00594EDA"/>
    <w:rsid w:val="00595073"/>
    <w:rsid w:val="0059539B"/>
    <w:rsid w:val="005955DF"/>
    <w:rsid w:val="00595604"/>
    <w:rsid w:val="005956B8"/>
    <w:rsid w:val="0059596F"/>
    <w:rsid w:val="00595A43"/>
    <w:rsid w:val="00595F9B"/>
    <w:rsid w:val="00596151"/>
    <w:rsid w:val="00596204"/>
    <w:rsid w:val="0059677C"/>
    <w:rsid w:val="00596A39"/>
    <w:rsid w:val="00596BE3"/>
    <w:rsid w:val="00596C91"/>
    <w:rsid w:val="00596E7B"/>
    <w:rsid w:val="0059707E"/>
    <w:rsid w:val="005973EB"/>
    <w:rsid w:val="00597666"/>
    <w:rsid w:val="00597D35"/>
    <w:rsid w:val="00597EC6"/>
    <w:rsid w:val="005A0050"/>
    <w:rsid w:val="005A0093"/>
    <w:rsid w:val="005A063D"/>
    <w:rsid w:val="005A0762"/>
    <w:rsid w:val="005A0B4A"/>
    <w:rsid w:val="005A0D91"/>
    <w:rsid w:val="005A0F05"/>
    <w:rsid w:val="005A10E5"/>
    <w:rsid w:val="005A1287"/>
    <w:rsid w:val="005A138D"/>
    <w:rsid w:val="005A1657"/>
    <w:rsid w:val="005A17C9"/>
    <w:rsid w:val="005A197F"/>
    <w:rsid w:val="005A1CBC"/>
    <w:rsid w:val="005A1F36"/>
    <w:rsid w:val="005A220C"/>
    <w:rsid w:val="005A221A"/>
    <w:rsid w:val="005A23B6"/>
    <w:rsid w:val="005A24F1"/>
    <w:rsid w:val="005A2651"/>
    <w:rsid w:val="005A26D6"/>
    <w:rsid w:val="005A26D9"/>
    <w:rsid w:val="005A2ADE"/>
    <w:rsid w:val="005A2D5E"/>
    <w:rsid w:val="005A31C2"/>
    <w:rsid w:val="005A3386"/>
    <w:rsid w:val="005A3AEB"/>
    <w:rsid w:val="005A4014"/>
    <w:rsid w:val="005A4377"/>
    <w:rsid w:val="005A438C"/>
    <w:rsid w:val="005A4A8A"/>
    <w:rsid w:val="005A4CBA"/>
    <w:rsid w:val="005A4FBD"/>
    <w:rsid w:val="005A5084"/>
    <w:rsid w:val="005A50D2"/>
    <w:rsid w:val="005A52E4"/>
    <w:rsid w:val="005A5306"/>
    <w:rsid w:val="005A57CE"/>
    <w:rsid w:val="005A5A6C"/>
    <w:rsid w:val="005A5BB2"/>
    <w:rsid w:val="005A5CC0"/>
    <w:rsid w:val="005A61E0"/>
    <w:rsid w:val="005A64A7"/>
    <w:rsid w:val="005A64A9"/>
    <w:rsid w:val="005A65F5"/>
    <w:rsid w:val="005A667E"/>
    <w:rsid w:val="005A672F"/>
    <w:rsid w:val="005A67DD"/>
    <w:rsid w:val="005A6C1A"/>
    <w:rsid w:val="005A6C2D"/>
    <w:rsid w:val="005A6CEA"/>
    <w:rsid w:val="005A6DC6"/>
    <w:rsid w:val="005A7044"/>
    <w:rsid w:val="005A72E1"/>
    <w:rsid w:val="005A739B"/>
    <w:rsid w:val="005A76AE"/>
    <w:rsid w:val="005A7A3B"/>
    <w:rsid w:val="005A7B14"/>
    <w:rsid w:val="005B00E7"/>
    <w:rsid w:val="005B0560"/>
    <w:rsid w:val="005B05E9"/>
    <w:rsid w:val="005B090A"/>
    <w:rsid w:val="005B0A42"/>
    <w:rsid w:val="005B0B77"/>
    <w:rsid w:val="005B0BFC"/>
    <w:rsid w:val="005B0C58"/>
    <w:rsid w:val="005B0D2C"/>
    <w:rsid w:val="005B0DAD"/>
    <w:rsid w:val="005B0E10"/>
    <w:rsid w:val="005B0E4F"/>
    <w:rsid w:val="005B0EA9"/>
    <w:rsid w:val="005B0FDD"/>
    <w:rsid w:val="005B10A0"/>
    <w:rsid w:val="005B10C2"/>
    <w:rsid w:val="005B13C8"/>
    <w:rsid w:val="005B1592"/>
    <w:rsid w:val="005B18CA"/>
    <w:rsid w:val="005B1C1F"/>
    <w:rsid w:val="005B1C41"/>
    <w:rsid w:val="005B1C53"/>
    <w:rsid w:val="005B1DA7"/>
    <w:rsid w:val="005B2017"/>
    <w:rsid w:val="005B2497"/>
    <w:rsid w:val="005B254A"/>
    <w:rsid w:val="005B2863"/>
    <w:rsid w:val="005B29E5"/>
    <w:rsid w:val="005B2A1B"/>
    <w:rsid w:val="005B2B69"/>
    <w:rsid w:val="005B2C47"/>
    <w:rsid w:val="005B2C55"/>
    <w:rsid w:val="005B3050"/>
    <w:rsid w:val="005B3076"/>
    <w:rsid w:val="005B30E0"/>
    <w:rsid w:val="005B3232"/>
    <w:rsid w:val="005B3289"/>
    <w:rsid w:val="005B346D"/>
    <w:rsid w:val="005B35DA"/>
    <w:rsid w:val="005B3886"/>
    <w:rsid w:val="005B38C1"/>
    <w:rsid w:val="005B391F"/>
    <w:rsid w:val="005B3920"/>
    <w:rsid w:val="005B3AC9"/>
    <w:rsid w:val="005B425C"/>
    <w:rsid w:val="005B432B"/>
    <w:rsid w:val="005B4CD6"/>
    <w:rsid w:val="005B50FD"/>
    <w:rsid w:val="005B515E"/>
    <w:rsid w:val="005B5306"/>
    <w:rsid w:val="005B54BC"/>
    <w:rsid w:val="005B563C"/>
    <w:rsid w:val="005B56AB"/>
    <w:rsid w:val="005B5AC6"/>
    <w:rsid w:val="005B5B8D"/>
    <w:rsid w:val="005B5BD5"/>
    <w:rsid w:val="005B5EB2"/>
    <w:rsid w:val="005B5F4A"/>
    <w:rsid w:val="005B5FC6"/>
    <w:rsid w:val="005B6159"/>
    <w:rsid w:val="005B6227"/>
    <w:rsid w:val="005B626D"/>
    <w:rsid w:val="005B652F"/>
    <w:rsid w:val="005B6668"/>
    <w:rsid w:val="005B689A"/>
    <w:rsid w:val="005B6A15"/>
    <w:rsid w:val="005B6A50"/>
    <w:rsid w:val="005B6B9F"/>
    <w:rsid w:val="005B6C4F"/>
    <w:rsid w:val="005B6C5B"/>
    <w:rsid w:val="005B6D2F"/>
    <w:rsid w:val="005B6E62"/>
    <w:rsid w:val="005B713C"/>
    <w:rsid w:val="005B713F"/>
    <w:rsid w:val="005B719E"/>
    <w:rsid w:val="005B7509"/>
    <w:rsid w:val="005B76EC"/>
    <w:rsid w:val="005B79A8"/>
    <w:rsid w:val="005B7A74"/>
    <w:rsid w:val="005B7DA4"/>
    <w:rsid w:val="005B7E7D"/>
    <w:rsid w:val="005C00C2"/>
    <w:rsid w:val="005C04B7"/>
    <w:rsid w:val="005C0520"/>
    <w:rsid w:val="005C0563"/>
    <w:rsid w:val="005C05F1"/>
    <w:rsid w:val="005C060A"/>
    <w:rsid w:val="005C060B"/>
    <w:rsid w:val="005C078F"/>
    <w:rsid w:val="005C08F4"/>
    <w:rsid w:val="005C0AE6"/>
    <w:rsid w:val="005C0B6E"/>
    <w:rsid w:val="005C0C21"/>
    <w:rsid w:val="005C0D10"/>
    <w:rsid w:val="005C0E67"/>
    <w:rsid w:val="005C0FC5"/>
    <w:rsid w:val="005C138B"/>
    <w:rsid w:val="005C139C"/>
    <w:rsid w:val="005C14A3"/>
    <w:rsid w:val="005C16A7"/>
    <w:rsid w:val="005C16B2"/>
    <w:rsid w:val="005C1771"/>
    <w:rsid w:val="005C17AA"/>
    <w:rsid w:val="005C1963"/>
    <w:rsid w:val="005C1BB1"/>
    <w:rsid w:val="005C210E"/>
    <w:rsid w:val="005C2114"/>
    <w:rsid w:val="005C2193"/>
    <w:rsid w:val="005C2B0D"/>
    <w:rsid w:val="005C2D30"/>
    <w:rsid w:val="005C3088"/>
    <w:rsid w:val="005C3271"/>
    <w:rsid w:val="005C3274"/>
    <w:rsid w:val="005C343D"/>
    <w:rsid w:val="005C3473"/>
    <w:rsid w:val="005C34C1"/>
    <w:rsid w:val="005C355C"/>
    <w:rsid w:val="005C35CD"/>
    <w:rsid w:val="005C35CE"/>
    <w:rsid w:val="005C37A8"/>
    <w:rsid w:val="005C380B"/>
    <w:rsid w:val="005C3A1C"/>
    <w:rsid w:val="005C3AE7"/>
    <w:rsid w:val="005C3CDD"/>
    <w:rsid w:val="005C3EE2"/>
    <w:rsid w:val="005C3EED"/>
    <w:rsid w:val="005C4263"/>
    <w:rsid w:val="005C4399"/>
    <w:rsid w:val="005C45CC"/>
    <w:rsid w:val="005C464B"/>
    <w:rsid w:val="005C4A67"/>
    <w:rsid w:val="005C4E4B"/>
    <w:rsid w:val="005C4ECB"/>
    <w:rsid w:val="005C510B"/>
    <w:rsid w:val="005C5692"/>
    <w:rsid w:val="005C56A8"/>
    <w:rsid w:val="005C5858"/>
    <w:rsid w:val="005C5D7E"/>
    <w:rsid w:val="005C5E69"/>
    <w:rsid w:val="005C5E91"/>
    <w:rsid w:val="005C5F05"/>
    <w:rsid w:val="005C606F"/>
    <w:rsid w:val="005C60DF"/>
    <w:rsid w:val="005C66FE"/>
    <w:rsid w:val="005C6D34"/>
    <w:rsid w:val="005C6DA7"/>
    <w:rsid w:val="005C74E1"/>
    <w:rsid w:val="005C7876"/>
    <w:rsid w:val="005C79BD"/>
    <w:rsid w:val="005C7AF5"/>
    <w:rsid w:val="005C7C00"/>
    <w:rsid w:val="005D0230"/>
    <w:rsid w:val="005D03C9"/>
    <w:rsid w:val="005D04DB"/>
    <w:rsid w:val="005D0625"/>
    <w:rsid w:val="005D066D"/>
    <w:rsid w:val="005D096B"/>
    <w:rsid w:val="005D0ADF"/>
    <w:rsid w:val="005D0BC8"/>
    <w:rsid w:val="005D0E19"/>
    <w:rsid w:val="005D0E8C"/>
    <w:rsid w:val="005D168F"/>
    <w:rsid w:val="005D1779"/>
    <w:rsid w:val="005D18BA"/>
    <w:rsid w:val="005D1B94"/>
    <w:rsid w:val="005D1D21"/>
    <w:rsid w:val="005D247D"/>
    <w:rsid w:val="005D24B7"/>
    <w:rsid w:val="005D295F"/>
    <w:rsid w:val="005D2CCC"/>
    <w:rsid w:val="005D2FF2"/>
    <w:rsid w:val="005D3529"/>
    <w:rsid w:val="005D362C"/>
    <w:rsid w:val="005D365D"/>
    <w:rsid w:val="005D365E"/>
    <w:rsid w:val="005D3702"/>
    <w:rsid w:val="005D3FBB"/>
    <w:rsid w:val="005D4036"/>
    <w:rsid w:val="005D4073"/>
    <w:rsid w:val="005D40FB"/>
    <w:rsid w:val="005D4248"/>
    <w:rsid w:val="005D43A3"/>
    <w:rsid w:val="005D49FB"/>
    <w:rsid w:val="005D4C88"/>
    <w:rsid w:val="005D4C99"/>
    <w:rsid w:val="005D4EAB"/>
    <w:rsid w:val="005D5013"/>
    <w:rsid w:val="005D5140"/>
    <w:rsid w:val="005D5243"/>
    <w:rsid w:val="005D5525"/>
    <w:rsid w:val="005D57DB"/>
    <w:rsid w:val="005D581B"/>
    <w:rsid w:val="005D5B75"/>
    <w:rsid w:val="005D5D86"/>
    <w:rsid w:val="005D5EE9"/>
    <w:rsid w:val="005D6226"/>
    <w:rsid w:val="005D63A7"/>
    <w:rsid w:val="005D6774"/>
    <w:rsid w:val="005D6AF8"/>
    <w:rsid w:val="005D6BCF"/>
    <w:rsid w:val="005D6CB8"/>
    <w:rsid w:val="005D6D3D"/>
    <w:rsid w:val="005D6FDB"/>
    <w:rsid w:val="005D7033"/>
    <w:rsid w:val="005D72E7"/>
    <w:rsid w:val="005D7314"/>
    <w:rsid w:val="005D732C"/>
    <w:rsid w:val="005D74A3"/>
    <w:rsid w:val="005D7698"/>
    <w:rsid w:val="005D7917"/>
    <w:rsid w:val="005D7954"/>
    <w:rsid w:val="005D7AC4"/>
    <w:rsid w:val="005D7B3E"/>
    <w:rsid w:val="005D7B80"/>
    <w:rsid w:val="005D7DA1"/>
    <w:rsid w:val="005D7DDB"/>
    <w:rsid w:val="005D7F99"/>
    <w:rsid w:val="005E0360"/>
    <w:rsid w:val="005E0621"/>
    <w:rsid w:val="005E06D6"/>
    <w:rsid w:val="005E073C"/>
    <w:rsid w:val="005E0771"/>
    <w:rsid w:val="005E0818"/>
    <w:rsid w:val="005E09F3"/>
    <w:rsid w:val="005E0A9A"/>
    <w:rsid w:val="005E0BF9"/>
    <w:rsid w:val="005E0BFD"/>
    <w:rsid w:val="005E0EF3"/>
    <w:rsid w:val="005E0F67"/>
    <w:rsid w:val="005E0FC3"/>
    <w:rsid w:val="005E140D"/>
    <w:rsid w:val="005E153C"/>
    <w:rsid w:val="005E158F"/>
    <w:rsid w:val="005E164F"/>
    <w:rsid w:val="005E1724"/>
    <w:rsid w:val="005E18E1"/>
    <w:rsid w:val="005E1B78"/>
    <w:rsid w:val="005E1E35"/>
    <w:rsid w:val="005E1EA6"/>
    <w:rsid w:val="005E2189"/>
    <w:rsid w:val="005E2534"/>
    <w:rsid w:val="005E267C"/>
    <w:rsid w:val="005E2798"/>
    <w:rsid w:val="005E2A35"/>
    <w:rsid w:val="005E2A53"/>
    <w:rsid w:val="005E2B73"/>
    <w:rsid w:val="005E2BD8"/>
    <w:rsid w:val="005E2EA5"/>
    <w:rsid w:val="005E321D"/>
    <w:rsid w:val="005E36D0"/>
    <w:rsid w:val="005E3C16"/>
    <w:rsid w:val="005E3C77"/>
    <w:rsid w:val="005E3CB8"/>
    <w:rsid w:val="005E40FE"/>
    <w:rsid w:val="005E42D5"/>
    <w:rsid w:val="005E44C2"/>
    <w:rsid w:val="005E44E4"/>
    <w:rsid w:val="005E4694"/>
    <w:rsid w:val="005E491B"/>
    <w:rsid w:val="005E4A04"/>
    <w:rsid w:val="005E4ABB"/>
    <w:rsid w:val="005E4BAF"/>
    <w:rsid w:val="005E4C46"/>
    <w:rsid w:val="005E4C4E"/>
    <w:rsid w:val="005E4E99"/>
    <w:rsid w:val="005E5071"/>
    <w:rsid w:val="005E51CA"/>
    <w:rsid w:val="005E53ED"/>
    <w:rsid w:val="005E5777"/>
    <w:rsid w:val="005E578B"/>
    <w:rsid w:val="005E57BB"/>
    <w:rsid w:val="005E590E"/>
    <w:rsid w:val="005E5A7F"/>
    <w:rsid w:val="005E5ADE"/>
    <w:rsid w:val="005E5F49"/>
    <w:rsid w:val="005E6360"/>
    <w:rsid w:val="005E637D"/>
    <w:rsid w:val="005E64E5"/>
    <w:rsid w:val="005E6596"/>
    <w:rsid w:val="005E6826"/>
    <w:rsid w:val="005E6BDD"/>
    <w:rsid w:val="005E6DAD"/>
    <w:rsid w:val="005E6ED0"/>
    <w:rsid w:val="005E75DD"/>
    <w:rsid w:val="005E7760"/>
    <w:rsid w:val="005E789F"/>
    <w:rsid w:val="005E7998"/>
    <w:rsid w:val="005E7B92"/>
    <w:rsid w:val="005E7BCC"/>
    <w:rsid w:val="005E7F53"/>
    <w:rsid w:val="005E7FD7"/>
    <w:rsid w:val="005F0048"/>
    <w:rsid w:val="005F014E"/>
    <w:rsid w:val="005F024F"/>
    <w:rsid w:val="005F0350"/>
    <w:rsid w:val="005F03A1"/>
    <w:rsid w:val="005F03D6"/>
    <w:rsid w:val="005F06EB"/>
    <w:rsid w:val="005F089D"/>
    <w:rsid w:val="005F08B6"/>
    <w:rsid w:val="005F0BFA"/>
    <w:rsid w:val="005F0C1F"/>
    <w:rsid w:val="005F0C9F"/>
    <w:rsid w:val="005F106B"/>
    <w:rsid w:val="005F1368"/>
    <w:rsid w:val="005F171C"/>
    <w:rsid w:val="005F18FC"/>
    <w:rsid w:val="005F1991"/>
    <w:rsid w:val="005F1CC5"/>
    <w:rsid w:val="005F20FA"/>
    <w:rsid w:val="005F2254"/>
    <w:rsid w:val="005F2392"/>
    <w:rsid w:val="005F2B17"/>
    <w:rsid w:val="005F2F8A"/>
    <w:rsid w:val="005F2F98"/>
    <w:rsid w:val="005F2FDD"/>
    <w:rsid w:val="005F312D"/>
    <w:rsid w:val="005F3185"/>
    <w:rsid w:val="005F3688"/>
    <w:rsid w:val="005F36AD"/>
    <w:rsid w:val="005F399F"/>
    <w:rsid w:val="005F3C0F"/>
    <w:rsid w:val="005F4150"/>
    <w:rsid w:val="005F4160"/>
    <w:rsid w:val="005F4198"/>
    <w:rsid w:val="005F4362"/>
    <w:rsid w:val="005F4506"/>
    <w:rsid w:val="005F4584"/>
    <w:rsid w:val="005F46D1"/>
    <w:rsid w:val="005F46D4"/>
    <w:rsid w:val="005F4BC0"/>
    <w:rsid w:val="005F4CD1"/>
    <w:rsid w:val="005F4FE5"/>
    <w:rsid w:val="005F514E"/>
    <w:rsid w:val="005F51A4"/>
    <w:rsid w:val="005F5604"/>
    <w:rsid w:val="005F58EA"/>
    <w:rsid w:val="005F5F29"/>
    <w:rsid w:val="005F5F95"/>
    <w:rsid w:val="005F5FAF"/>
    <w:rsid w:val="005F5FEE"/>
    <w:rsid w:val="005F615A"/>
    <w:rsid w:val="005F6299"/>
    <w:rsid w:val="005F62BD"/>
    <w:rsid w:val="005F62D0"/>
    <w:rsid w:val="005F63C3"/>
    <w:rsid w:val="005F670D"/>
    <w:rsid w:val="005F6ABD"/>
    <w:rsid w:val="005F6CD7"/>
    <w:rsid w:val="005F6ED6"/>
    <w:rsid w:val="005F7045"/>
    <w:rsid w:val="005F7324"/>
    <w:rsid w:val="005F7357"/>
    <w:rsid w:val="005F73D8"/>
    <w:rsid w:val="005F759B"/>
    <w:rsid w:val="005F75A2"/>
    <w:rsid w:val="005F775C"/>
    <w:rsid w:val="005F78B2"/>
    <w:rsid w:val="005F78B9"/>
    <w:rsid w:val="005F7BAC"/>
    <w:rsid w:val="005F7FAD"/>
    <w:rsid w:val="00600031"/>
    <w:rsid w:val="006001EF"/>
    <w:rsid w:val="006002CC"/>
    <w:rsid w:val="00600441"/>
    <w:rsid w:val="00600561"/>
    <w:rsid w:val="006005CA"/>
    <w:rsid w:val="00600848"/>
    <w:rsid w:val="006009DD"/>
    <w:rsid w:val="00600A99"/>
    <w:rsid w:val="00600CB5"/>
    <w:rsid w:val="006011E5"/>
    <w:rsid w:val="00601237"/>
    <w:rsid w:val="006012C0"/>
    <w:rsid w:val="006014D3"/>
    <w:rsid w:val="00601893"/>
    <w:rsid w:val="00601971"/>
    <w:rsid w:val="00601980"/>
    <w:rsid w:val="00601C1B"/>
    <w:rsid w:val="00601EB0"/>
    <w:rsid w:val="0060201D"/>
    <w:rsid w:val="0060226B"/>
    <w:rsid w:val="00602524"/>
    <w:rsid w:val="00602ABF"/>
    <w:rsid w:val="00602B76"/>
    <w:rsid w:val="00602B7D"/>
    <w:rsid w:val="006031C8"/>
    <w:rsid w:val="0060333E"/>
    <w:rsid w:val="006033BB"/>
    <w:rsid w:val="006033C1"/>
    <w:rsid w:val="0060344B"/>
    <w:rsid w:val="0060353D"/>
    <w:rsid w:val="00603551"/>
    <w:rsid w:val="006035F7"/>
    <w:rsid w:val="006036A0"/>
    <w:rsid w:val="00603B09"/>
    <w:rsid w:val="00603CC9"/>
    <w:rsid w:val="00603CCB"/>
    <w:rsid w:val="00603DC1"/>
    <w:rsid w:val="00603E10"/>
    <w:rsid w:val="00603F9C"/>
    <w:rsid w:val="00604030"/>
    <w:rsid w:val="00604097"/>
    <w:rsid w:val="00604284"/>
    <w:rsid w:val="00604512"/>
    <w:rsid w:val="006046F8"/>
    <w:rsid w:val="0060489A"/>
    <w:rsid w:val="00604918"/>
    <w:rsid w:val="0060492E"/>
    <w:rsid w:val="00604952"/>
    <w:rsid w:val="00604A4D"/>
    <w:rsid w:val="00604AEE"/>
    <w:rsid w:val="00604D87"/>
    <w:rsid w:val="00604FE0"/>
    <w:rsid w:val="006051DC"/>
    <w:rsid w:val="006052CE"/>
    <w:rsid w:val="0060531D"/>
    <w:rsid w:val="00605428"/>
    <w:rsid w:val="006055A2"/>
    <w:rsid w:val="00605661"/>
    <w:rsid w:val="00605872"/>
    <w:rsid w:val="00605893"/>
    <w:rsid w:val="006058D7"/>
    <w:rsid w:val="006059DE"/>
    <w:rsid w:val="00605B04"/>
    <w:rsid w:val="00605C70"/>
    <w:rsid w:val="00605E01"/>
    <w:rsid w:val="0060600C"/>
    <w:rsid w:val="006061DA"/>
    <w:rsid w:val="0060633D"/>
    <w:rsid w:val="006064DF"/>
    <w:rsid w:val="006065F7"/>
    <w:rsid w:val="006069D4"/>
    <w:rsid w:val="00606AC8"/>
    <w:rsid w:val="00606CD9"/>
    <w:rsid w:val="00606DAD"/>
    <w:rsid w:val="00606E8F"/>
    <w:rsid w:val="00606F81"/>
    <w:rsid w:val="006070EA"/>
    <w:rsid w:val="0060736F"/>
    <w:rsid w:val="00607428"/>
    <w:rsid w:val="00607771"/>
    <w:rsid w:val="00610169"/>
    <w:rsid w:val="00610204"/>
    <w:rsid w:val="006102E0"/>
    <w:rsid w:val="006102FF"/>
    <w:rsid w:val="00610389"/>
    <w:rsid w:val="00610395"/>
    <w:rsid w:val="006105F0"/>
    <w:rsid w:val="00610612"/>
    <w:rsid w:val="00610BF4"/>
    <w:rsid w:val="00611307"/>
    <w:rsid w:val="0061153E"/>
    <w:rsid w:val="00611664"/>
    <w:rsid w:val="00611C7F"/>
    <w:rsid w:val="00611D1B"/>
    <w:rsid w:val="00611D23"/>
    <w:rsid w:val="00612130"/>
    <w:rsid w:val="006124B1"/>
    <w:rsid w:val="0061261F"/>
    <w:rsid w:val="0061266E"/>
    <w:rsid w:val="00612687"/>
    <w:rsid w:val="00612B34"/>
    <w:rsid w:val="00612EFA"/>
    <w:rsid w:val="00612F54"/>
    <w:rsid w:val="00613137"/>
    <w:rsid w:val="00613306"/>
    <w:rsid w:val="006135BA"/>
    <w:rsid w:val="006135C4"/>
    <w:rsid w:val="0061371D"/>
    <w:rsid w:val="00613AB0"/>
    <w:rsid w:val="00613DB2"/>
    <w:rsid w:val="00613DD3"/>
    <w:rsid w:val="00613E61"/>
    <w:rsid w:val="00613F07"/>
    <w:rsid w:val="00613F22"/>
    <w:rsid w:val="0061402C"/>
    <w:rsid w:val="006140DE"/>
    <w:rsid w:val="00614220"/>
    <w:rsid w:val="00614263"/>
    <w:rsid w:val="00614336"/>
    <w:rsid w:val="00614A36"/>
    <w:rsid w:val="00614AD6"/>
    <w:rsid w:val="00614B98"/>
    <w:rsid w:val="00614C30"/>
    <w:rsid w:val="00614C53"/>
    <w:rsid w:val="00614DEB"/>
    <w:rsid w:val="00614F43"/>
    <w:rsid w:val="00614F6D"/>
    <w:rsid w:val="00615088"/>
    <w:rsid w:val="00615432"/>
    <w:rsid w:val="006155BD"/>
    <w:rsid w:val="006158C0"/>
    <w:rsid w:val="006159B4"/>
    <w:rsid w:val="00615B93"/>
    <w:rsid w:val="00615C43"/>
    <w:rsid w:val="00615D0E"/>
    <w:rsid w:val="00615E05"/>
    <w:rsid w:val="00615E7B"/>
    <w:rsid w:val="00616170"/>
    <w:rsid w:val="00616884"/>
    <w:rsid w:val="00616E9B"/>
    <w:rsid w:val="00617288"/>
    <w:rsid w:val="006173E9"/>
    <w:rsid w:val="006175E8"/>
    <w:rsid w:val="00617915"/>
    <w:rsid w:val="00617ADE"/>
    <w:rsid w:val="00617F76"/>
    <w:rsid w:val="006201C3"/>
    <w:rsid w:val="00620342"/>
    <w:rsid w:val="00621021"/>
    <w:rsid w:val="00621238"/>
    <w:rsid w:val="00621387"/>
    <w:rsid w:val="006215FF"/>
    <w:rsid w:val="00621B70"/>
    <w:rsid w:val="00621E1B"/>
    <w:rsid w:val="0062212F"/>
    <w:rsid w:val="00622161"/>
    <w:rsid w:val="0062240E"/>
    <w:rsid w:val="00622651"/>
    <w:rsid w:val="00622778"/>
    <w:rsid w:val="00622848"/>
    <w:rsid w:val="006228B6"/>
    <w:rsid w:val="006228D7"/>
    <w:rsid w:val="00622C95"/>
    <w:rsid w:val="00622F12"/>
    <w:rsid w:val="006230BE"/>
    <w:rsid w:val="006234FC"/>
    <w:rsid w:val="006235C6"/>
    <w:rsid w:val="006237DD"/>
    <w:rsid w:val="00623A21"/>
    <w:rsid w:val="00623A50"/>
    <w:rsid w:val="00623A6A"/>
    <w:rsid w:val="00623D62"/>
    <w:rsid w:val="00623EE3"/>
    <w:rsid w:val="006241F5"/>
    <w:rsid w:val="006242F3"/>
    <w:rsid w:val="00624459"/>
    <w:rsid w:val="006245E7"/>
    <w:rsid w:val="00624610"/>
    <w:rsid w:val="00624841"/>
    <w:rsid w:val="00624916"/>
    <w:rsid w:val="00624942"/>
    <w:rsid w:val="00624975"/>
    <w:rsid w:val="00624A94"/>
    <w:rsid w:val="00624D3A"/>
    <w:rsid w:val="00624E0C"/>
    <w:rsid w:val="00624E5B"/>
    <w:rsid w:val="00625064"/>
    <w:rsid w:val="006252C5"/>
    <w:rsid w:val="00625427"/>
    <w:rsid w:val="006257B2"/>
    <w:rsid w:val="006257ED"/>
    <w:rsid w:val="006258C4"/>
    <w:rsid w:val="006259D0"/>
    <w:rsid w:val="00625A52"/>
    <w:rsid w:val="00625C31"/>
    <w:rsid w:val="00625DC5"/>
    <w:rsid w:val="00625E92"/>
    <w:rsid w:val="00625FB5"/>
    <w:rsid w:val="0062672D"/>
    <w:rsid w:val="00626732"/>
    <w:rsid w:val="0062673E"/>
    <w:rsid w:val="006267D6"/>
    <w:rsid w:val="006267E6"/>
    <w:rsid w:val="0062684C"/>
    <w:rsid w:val="00626945"/>
    <w:rsid w:val="006269E2"/>
    <w:rsid w:val="00626AC4"/>
    <w:rsid w:val="00626AE5"/>
    <w:rsid w:val="00626FB8"/>
    <w:rsid w:val="006272A0"/>
    <w:rsid w:val="006272DF"/>
    <w:rsid w:val="0062731A"/>
    <w:rsid w:val="006278C1"/>
    <w:rsid w:val="00627902"/>
    <w:rsid w:val="00627974"/>
    <w:rsid w:val="00627A0F"/>
    <w:rsid w:val="00627B42"/>
    <w:rsid w:val="00627D6D"/>
    <w:rsid w:val="00627D7E"/>
    <w:rsid w:val="00627FB2"/>
    <w:rsid w:val="0063071B"/>
    <w:rsid w:val="00630AE1"/>
    <w:rsid w:val="00630B0A"/>
    <w:rsid w:val="00630C1A"/>
    <w:rsid w:val="00630C3A"/>
    <w:rsid w:val="00630C3E"/>
    <w:rsid w:val="00630D1D"/>
    <w:rsid w:val="00630D5B"/>
    <w:rsid w:val="00631136"/>
    <w:rsid w:val="00631285"/>
    <w:rsid w:val="0063145A"/>
    <w:rsid w:val="0063158B"/>
    <w:rsid w:val="00631715"/>
    <w:rsid w:val="00631B25"/>
    <w:rsid w:val="00631D5E"/>
    <w:rsid w:val="00631FE6"/>
    <w:rsid w:val="0063204E"/>
    <w:rsid w:val="006320A8"/>
    <w:rsid w:val="006321B6"/>
    <w:rsid w:val="006321E8"/>
    <w:rsid w:val="00632264"/>
    <w:rsid w:val="00632291"/>
    <w:rsid w:val="00632321"/>
    <w:rsid w:val="0063240A"/>
    <w:rsid w:val="0063291A"/>
    <w:rsid w:val="00632A0F"/>
    <w:rsid w:val="00632BBD"/>
    <w:rsid w:val="00632DB5"/>
    <w:rsid w:val="006330D9"/>
    <w:rsid w:val="00633356"/>
    <w:rsid w:val="006333FF"/>
    <w:rsid w:val="006334D3"/>
    <w:rsid w:val="0063355B"/>
    <w:rsid w:val="00633755"/>
    <w:rsid w:val="00633A21"/>
    <w:rsid w:val="00633CA1"/>
    <w:rsid w:val="00633CB4"/>
    <w:rsid w:val="00633F58"/>
    <w:rsid w:val="00633FC5"/>
    <w:rsid w:val="00634068"/>
    <w:rsid w:val="00634321"/>
    <w:rsid w:val="00634374"/>
    <w:rsid w:val="00634732"/>
    <w:rsid w:val="006349B8"/>
    <w:rsid w:val="00634AA5"/>
    <w:rsid w:val="00634E13"/>
    <w:rsid w:val="00634FDD"/>
    <w:rsid w:val="006353C3"/>
    <w:rsid w:val="00635D27"/>
    <w:rsid w:val="00636124"/>
    <w:rsid w:val="006367A7"/>
    <w:rsid w:val="006368D8"/>
    <w:rsid w:val="0063696C"/>
    <w:rsid w:val="00636F48"/>
    <w:rsid w:val="0063763C"/>
    <w:rsid w:val="00637688"/>
    <w:rsid w:val="006379C6"/>
    <w:rsid w:val="006379E0"/>
    <w:rsid w:val="00637D4F"/>
    <w:rsid w:val="00640028"/>
    <w:rsid w:val="006403FE"/>
    <w:rsid w:val="006404BF"/>
    <w:rsid w:val="00640936"/>
    <w:rsid w:val="00640BBA"/>
    <w:rsid w:val="00640C1A"/>
    <w:rsid w:val="00640E57"/>
    <w:rsid w:val="00640ECE"/>
    <w:rsid w:val="00640FBE"/>
    <w:rsid w:val="00641108"/>
    <w:rsid w:val="00641177"/>
    <w:rsid w:val="00641333"/>
    <w:rsid w:val="00641389"/>
    <w:rsid w:val="00641397"/>
    <w:rsid w:val="006413B7"/>
    <w:rsid w:val="006419B5"/>
    <w:rsid w:val="006419FA"/>
    <w:rsid w:val="00641A3E"/>
    <w:rsid w:val="00641D18"/>
    <w:rsid w:val="00641D85"/>
    <w:rsid w:val="00642072"/>
    <w:rsid w:val="00642108"/>
    <w:rsid w:val="00642280"/>
    <w:rsid w:val="006422A5"/>
    <w:rsid w:val="00642529"/>
    <w:rsid w:val="0064260F"/>
    <w:rsid w:val="006426EA"/>
    <w:rsid w:val="00642777"/>
    <w:rsid w:val="00642949"/>
    <w:rsid w:val="00642B78"/>
    <w:rsid w:val="00642CBC"/>
    <w:rsid w:val="00642F2D"/>
    <w:rsid w:val="00642FD5"/>
    <w:rsid w:val="00643229"/>
    <w:rsid w:val="00643505"/>
    <w:rsid w:val="00643AE7"/>
    <w:rsid w:val="00643CC9"/>
    <w:rsid w:val="00643F42"/>
    <w:rsid w:val="00644064"/>
    <w:rsid w:val="0064417A"/>
    <w:rsid w:val="0064419A"/>
    <w:rsid w:val="00644560"/>
    <w:rsid w:val="006445FF"/>
    <w:rsid w:val="00644636"/>
    <w:rsid w:val="0064481E"/>
    <w:rsid w:val="00644AB3"/>
    <w:rsid w:val="00644BC5"/>
    <w:rsid w:val="00644ED6"/>
    <w:rsid w:val="00644F50"/>
    <w:rsid w:val="00644F8E"/>
    <w:rsid w:val="00645039"/>
    <w:rsid w:val="00645167"/>
    <w:rsid w:val="00645373"/>
    <w:rsid w:val="006453A9"/>
    <w:rsid w:val="00645480"/>
    <w:rsid w:val="006454D9"/>
    <w:rsid w:val="00645511"/>
    <w:rsid w:val="006455F2"/>
    <w:rsid w:val="006457A3"/>
    <w:rsid w:val="00645A91"/>
    <w:rsid w:val="00645BD5"/>
    <w:rsid w:val="00645CE7"/>
    <w:rsid w:val="00645F79"/>
    <w:rsid w:val="006462D7"/>
    <w:rsid w:val="00646316"/>
    <w:rsid w:val="006466C1"/>
    <w:rsid w:val="0064699D"/>
    <w:rsid w:val="006469C9"/>
    <w:rsid w:val="00646B68"/>
    <w:rsid w:val="00646CE0"/>
    <w:rsid w:val="00646D5F"/>
    <w:rsid w:val="00646DA2"/>
    <w:rsid w:val="006470F2"/>
    <w:rsid w:val="00647453"/>
    <w:rsid w:val="0064749D"/>
    <w:rsid w:val="0064768D"/>
    <w:rsid w:val="00647B78"/>
    <w:rsid w:val="00647D04"/>
    <w:rsid w:val="00647D55"/>
    <w:rsid w:val="00650131"/>
    <w:rsid w:val="0065051A"/>
    <w:rsid w:val="00650D67"/>
    <w:rsid w:val="00650DA1"/>
    <w:rsid w:val="006514A0"/>
    <w:rsid w:val="00651833"/>
    <w:rsid w:val="006518FE"/>
    <w:rsid w:val="00651CDF"/>
    <w:rsid w:val="00651D01"/>
    <w:rsid w:val="00651F32"/>
    <w:rsid w:val="00652479"/>
    <w:rsid w:val="00652654"/>
    <w:rsid w:val="006526DB"/>
    <w:rsid w:val="00652741"/>
    <w:rsid w:val="006529AE"/>
    <w:rsid w:val="00652BEE"/>
    <w:rsid w:val="00653056"/>
    <w:rsid w:val="006530A2"/>
    <w:rsid w:val="0065314D"/>
    <w:rsid w:val="006531D7"/>
    <w:rsid w:val="00653573"/>
    <w:rsid w:val="00653688"/>
    <w:rsid w:val="00653702"/>
    <w:rsid w:val="00653721"/>
    <w:rsid w:val="006539EF"/>
    <w:rsid w:val="00653A03"/>
    <w:rsid w:val="00653CCA"/>
    <w:rsid w:val="00653D8E"/>
    <w:rsid w:val="00653DF1"/>
    <w:rsid w:val="00653FFA"/>
    <w:rsid w:val="006540A1"/>
    <w:rsid w:val="00654118"/>
    <w:rsid w:val="00654135"/>
    <w:rsid w:val="00654216"/>
    <w:rsid w:val="00654377"/>
    <w:rsid w:val="006544CC"/>
    <w:rsid w:val="006548B8"/>
    <w:rsid w:val="00654D03"/>
    <w:rsid w:val="00654D5F"/>
    <w:rsid w:val="00654EBF"/>
    <w:rsid w:val="00654FEC"/>
    <w:rsid w:val="006552E5"/>
    <w:rsid w:val="00655424"/>
    <w:rsid w:val="00655439"/>
    <w:rsid w:val="006555CB"/>
    <w:rsid w:val="00655667"/>
    <w:rsid w:val="006556B5"/>
    <w:rsid w:val="006556E7"/>
    <w:rsid w:val="00655D68"/>
    <w:rsid w:val="00655E4F"/>
    <w:rsid w:val="00656046"/>
    <w:rsid w:val="0065626E"/>
    <w:rsid w:val="006562D0"/>
    <w:rsid w:val="006567D3"/>
    <w:rsid w:val="006569F9"/>
    <w:rsid w:val="00656D9A"/>
    <w:rsid w:val="00657307"/>
    <w:rsid w:val="00657484"/>
    <w:rsid w:val="00657A7E"/>
    <w:rsid w:val="00657B2C"/>
    <w:rsid w:val="00657B70"/>
    <w:rsid w:val="00657C82"/>
    <w:rsid w:val="006600BC"/>
    <w:rsid w:val="006600D4"/>
    <w:rsid w:val="00660152"/>
    <w:rsid w:val="00660172"/>
    <w:rsid w:val="0066038C"/>
    <w:rsid w:val="00660629"/>
    <w:rsid w:val="006608B9"/>
    <w:rsid w:val="00660BC4"/>
    <w:rsid w:val="00660C8A"/>
    <w:rsid w:val="00661629"/>
    <w:rsid w:val="006618CB"/>
    <w:rsid w:val="00661987"/>
    <w:rsid w:val="00661AD3"/>
    <w:rsid w:val="00661B09"/>
    <w:rsid w:val="00661B41"/>
    <w:rsid w:val="00661C28"/>
    <w:rsid w:val="00661DC3"/>
    <w:rsid w:val="00661E72"/>
    <w:rsid w:val="00661EDD"/>
    <w:rsid w:val="00661FAD"/>
    <w:rsid w:val="00662415"/>
    <w:rsid w:val="00662762"/>
    <w:rsid w:val="00662814"/>
    <w:rsid w:val="00662BB0"/>
    <w:rsid w:val="00662BE4"/>
    <w:rsid w:val="00662BE5"/>
    <w:rsid w:val="00663056"/>
    <w:rsid w:val="0066312A"/>
    <w:rsid w:val="00663418"/>
    <w:rsid w:val="0066355D"/>
    <w:rsid w:val="00663816"/>
    <w:rsid w:val="00663999"/>
    <w:rsid w:val="0066399F"/>
    <w:rsid w:val="00663BAA"/>
    <w:rsid w:val="006640A6"/>
    <w:rsid w:val="00664578"/>
    <w:rsid w:val="006645D3"/>
    <w:rsid w:val="006647FB"/>
    <w:rsid w:val="00664A9C"/>
    <w:rsid w:val="00664BA9"/>
    <w:rsid w:val="00664CDE"/>
    <w:rsid w:val="00664D76"/>
    <w:rsid w:val="00664DA7"/>
    <w:rsid w:val="00664EFB"/>
    <w:rsid w:val="00664F37"/>
    <w:rsid w:val="00664F75"/>
    <w:rsid w:val="006654F5"/>
    <w:rsid w:val="00665641"/>
    <w:rsid w:val="0066574D"/>
    <w:rsid w:val="00665817"/>
    <w:rsid w:val="00665E85"/>
    <w:rsid w:val="00665F98"/>
    <w:rsid w:val="0066606D"/>
    <w:rsid w:val="006660CF"/>
    <w:rsid w:val="0066614A"/>
    <w:rsid w:val="006661AA"/>
    <w:rsid w:val="00666226"/>
    <w:rsid w:val="00666324"/>
    <w:rsid w:val="006664FB"/>
    <w:rsid w:val="00666816"/>
    <w:rsid w:val="00666A55"/>
    <w:rsid w:val="00666BC0"/>
    <w:rsid w:val="00666BCC"/>
    <w:rsid w:val="0066718D"/>
    <w:rsid w:val="00667252"/>
    <w:rsid w:val="00667375"/>
    <w:rsid w:val="00667657"/>
    <w:rsid w:val="00667875"/>
    <w:rsid w:val="0066791F"/>
    <w:rsid w:val="00667A26"/>
    <w:rsid w:val="00667B71"/>
    <w:rsid w:val="00667C38"/>
    <w:rsid w:val="00667D1E"/>
    <w:rsid w:val="00667ED1"/>
    <w:rsid w:val="00670100"/>
    <w:rsid w:val="00670166"/>
    <w:rsid w:val="00670710"/>
    <w:rsid w:val="0067083F"/>
    <w:rsid w:val="00670844"/>
    <w:rsid w:val="00670896"/>
    <w:rsid w:val="006709AC"/>
    <w:rsid w:val="00670A38"/>
    <w:rsid w:val="00670BB3"/>
    <w:rsid w:val="00670C56"/>
    <w:rsid w:val="00670EB2"/>
    <w:rsid w:val="00670F1F"/>
    <w:rsid w:val="006714C7"/>
    <w:rsid w:val="00671772"/>
    <w:rsid w:val="00671825"/>
    <w:rsid w:val="00671F02"/>
    <w:rsid w:val="006722DA"/>
    <w:rsid w:val="006723F1"/>
    <w:rsid w:val="0067259F"/>
    <w:rsid w:val="006726B2"/>
    <w:rsid w:val="006727A0"/>
    <w:rsid w:val="0067280B"/>
    <w:rsid w:val="00672819"/>
    <w:rsid w:val="00672878"/>
    <w:rsid w:val="006728C4"/>
    <w:rsid w:val="0067298C"/>
    <w:rsid w:val="00672DD9"/>
    <w:rsid w:val="00672E20"/>
    <w:rsid w:val="00672EB7"/>
    <w:rsid w:val="00673004"/>
    <w:rsid w:val="00673161"/>
    <w:rsid w:val="0067319F"/>
    <w:rsid w:val="006732D5"/>
    <w:rsid w:val="0067379E"/>
    <w:rsid w:val="006737D6"/>
    <w:rsid w:val="00673BC7"/>
    <w:rsid w:val="00673C2F"/>
    <w:rsid w:val="00674402"/>
    <w:rsid w:val="00674547"/>
    <w:rsid w:val="006746DA"/>
    <w:rsid w:val="006746E8"/>
    <w:rsid w:val="006750CB"/>
    <w:rsid w:val="0067519B"/>
    <w:rsid w:val="00675373"/>
    <w:rsid w:val="00675482"/>
    <w:rsid w:val="006756F5"/>
    <w:rsid w:val="0067573D"/>
    <w:rsid w:val="006758BA"/>
    <w:rsid w:val="00675B6E"/>
    <w:rsid w:val="00676031"/>
    <w:rsid w:val="00676037"/>
    <w:rsid w:val="006764E6"/>
    <w:rsid w:val="006767B5"/>
    <w:rsid w:val="00676925"/>
    <w:rsid w:val="0067694F"/>
    <w:rsid w:val="00676A0C"/>
    <w:rsid w:val="00676A5F"/>
    <w:rsid w:val="00676CA6"/>
    <w:rsid w:val="00676D7E"/>
    <w:rsid w:val="00676D88"/>
    <w:rsid w:val="00676E1A"/>
    <w:rsid w:val="006774B3"/>
    <w:rsid w:val="00677550"/>
    <w:rsid w:val="006775C0"/>
    <w:rsid w:val="006776E1"/>
    <w:rsid w:val="00677B17"/>
    <w:rsid w:val="00677D72"/>
    <w:rsid w:val="006800DB"/>
    <w:rsid w:val="0068041D"/>
    <w:rsid w:val="00680801"/>
    <w:rsid w:val="006808F8"/>
    <w:rsid w:val="00680B9B"/>
    <w:rsid w:val="00680BC9"/>
    <w:rsid w:val="00680FA7"/>
    <w:rsid w:val="00681083"/>
    <w:rsid w:val="006811EF"/>
    <w:rsid w:val="00681647"/>
    <w:rsid w:val="0068182F"/>
    <w:rsid w:val="00681CEE"/>
    <w:rsid w:val="00681E0A"/>
    <w:rsid w:val="00681E30"/>
    <w:rsid w:val="00681F28"/>
    <w:rsid w:val="00681F8F"/>
    <w:rsid w:val="00682079"/>
    <w:rsid w:val="006820C6"/>
    <w:rsid w:val="006820F6"/>
    <w:rsid w:val="006821A0"/>
    <w:rsid w:val="0068226B"/>
    <w:rsid w:val="006824C7"/>
    <w:rsid w:val="006824D2"/>
    <w:rsid w:val="0068255E"/>
    <w:rsid w:val="006827A0"/>
    <w:rsid w:val="00682815"/>
    <w:rsid w:val="006829C3"/>
    <w:rsid w:val="00682C61"/>
    <w:rsid w:val="00682CFD"/>
    <w:rsid w:val="006831A5"/>
    <w:rsid w:val="006831D6"/>
    <w:rsid w:val="006837FD"/>
    <w:rsid w:val="00683982"/>
    <w:rsid w:val="00683C2A"/>
    <w:rsid w:val="00683CB0"/>
    <w:rsid w:val="00683E88"/>
    <w:rsid w:val="00683FA1"/>
    <w:rsid w:val="00684037"/>
    <w:rsid w:val="00684273"/>
    <w:rsid w:val="006844E5"/>
    <w:rsid w:val="006846E1"/>
    <w:rsid w:val="006847A8"/>
    <w:rsid w:val="006848DE"/>
    <w:rsid w:val="00684E73"/>
    <w:rsid w:val="00684FE8"/>
    <w:rsid w:val="00685044"/>
    <w:rsid w:val="0068504C"/>
    <w:rsid w:val="006853AE"/>
    <w:rsid w:val="006854F9"/>
    <w:rsid w:val="00685574"/>
    <w:rsid w:val="0068567D"/>
    <w:rsid w:val="00685A62"/>
    <w:rsid w:val="00685B46"/>
    <w:rsid w:val="00685BDD"/>
    <w:rsid w:val="00685D2F"/>
    <w:rsid w:val="00685F7D"/>
    <w:rsid w:val="00686071"/>
    <w:rsid w:val="006861BD"/>
    <w:rsid w:val="00686381"/>
    <w:rsid w:val="0068661D"/>
    <w:rsid w:val="00686AA3"/>
    <w:rsid w:val="00686CD6"/>
    <w:rsid w:val="00686E1B"/>
    <w:rsid w:val="00686EFC"/>
    <w:rsid w:val="00686F9B"/>
    <w:rsid w:val="00686FA9"/>
    <w:rsid w:val="006870D2"/>
    <w:rsid w:val="006872DA"/>
    <w:rsid w:val="00687B1F"/>
    <w:rsid w:val="00687DEF"/>
    <w:rsid w:val="0069003B"/>
    <w:rsid w:val="00690594"/>
    <w:rsid w:val="006906C9"/>
    <w:rsid w:val="006907B9"/>
    <w:rsid w:val="00690D6B"/>
    <w:rsid w:val="00690DF5"/>
    <w:rsid w:val="00690E1B"/>
    <w:rsid w:val="00690E24"/>
    <w:rsid w:val="00690EDA"/>
    <w:rsid w:val="00691062"/>
    <w:rsid w:val="00691107"/>
    <w:rsid w:val="006911B0"/>
    <w:rsid w:val="0069135E"/>
    <w:rsid w:val="00691587"/>
    <w:rsid w:val="0069196A"/>
    <w:rsid w:val="00691F21"/>
    <w:rsid w:val="00691F34"/>
    <w:rsid w:val="0069226A"/>
    <w:rsid w:val="00692271"/>
    <w:rsid w:val="00692277"/>
    <w:rsid w:val="00692730"/>
    <w:rsid w:val="00692C9A"/>
    <w:rsid w:val="00692E89"/>
    <w:rsid w:val="00692FC3"/>
    <w:rsid w:val="0069312B"/>
    <w:rsid w:val="00693266"/>
    <w:rsid w:val="00693441"/>
    <w:rsid w:val="00693867"/>
    <w:rsid w:val="00693B27"/>
    <w:rsid w:val="00693BAF"/>
    <w:rsid w:val="00693CA5"/>
    <w:rsid w:val="00693E53"/>
    <w:rsid w:val="0069404F"/>
    <w:rsid w:val="006944E0"/>
    <w:rsid w:val="00694856"/>
    <w:rsid w:val="00694A0D"/>
    <w:rsid w:val="00694A57"/>
    <w:rsid w:val="00694BE3"/>
    <w:rsid w:val="00694DE5"/>
    <w:rsid w:val="0069507E"/>
    <w:rsid w:val="00695276"/>
    <w:rsid w:val="0069540F"/>
    <w:rsid w:val="00695645"/>
    <w:rsid w:val="00695A88"/>
    <w:rsid w:val="00695BF8"/>
    <w:rsid w:val="00695D47"/>
    <w:rsid w:val="00695DEC"/>
    <w:rsid w:val="006966BF"/>
    <w:rsid w:val="00696887"/>
    <w:rsid w:val="00696977"/>
    <w:rsid w:val="00696C80"/>
    <w:rsid w:val="00696CE1"/>
    <w:rsid w:val="00696D02"/>
    <w:rsid w:val="00696D24"/>
    <w:rsid w:val="00696ED7"/>
    <w:rsid w:val="00696F6C"/>
    <w:rsid w:val="0069727C"/>
    <w:rsid w:val="0069754E"/>
    <w:rsid w:val="00697874"/>
    <w:rsid w:val="00697A94"/>
    <w:rsid w:val="00697B0C"/>
    <w:rsid w:val="00697E73"/>
    <w:rsid w:val="006A0041"/>
    <w:rsid w:val="006A0104"/>
    <w:rsid w:val="006A0157"/>
    <w:rsid w:val="006A05EB"/>
    <w:rsid w:val="006A0666"/>
    <w:rsid w:val="006A0677"/>
    <w:rsid w:val="006A0690"/>
    <w:rsid w:val="006A08CC"/>
    <w:rsid w:val="006A0907"/>
    <w:rsid w:val="006A10C0"/>
    <w:rsid w:val="006A12DB"/>
    <w:rsid w:val="006A1750"/>
    <w:rsid w:val="006A19C4"/>
    <w:rsid w:val="006A1C06"/>
    <w:rsid w:val="006A1E68"/>
    <w:rsid w:val="006A20BF"/>
    <w:rsid w:val="006A21F9"/>
    <w:rsid w:val="006A2470"/>
    <w:rsid w:val="006A248B"/>
    <w:rsid w:val="006A2537"/>
    <w:rsid w:val="006A272F"/>
    <w:rsid w:val="006A27AA"/>
    <w:rsid w:val="006A27B3"/>
    <w:rsid w:val="006A293A"/>
    <w:rsid w:val="006A29D2"/>
    <w:rsid w:val="006A2D6F"/>
    <w:rsid w:val="006A2F0F"/>
    <w:rsid w:val="006A309D"/>
    <w:rsid w:val="006A3135"/>
    <w:rsid w:val="006A34D9"/>
    <w:rsid w:val="006A3845"/>
    <w:rsid w:val="006A3A59"/>
    <w:rsid w:val="006A3F12"/>
    <w:rsid w:val="006A4669"/>
    <w:rsid w:val="006A4710"/>
    <w:rsid w:val="006A4751"/>
    <w:rsid w:val="006A4821"/>
    <w:rsid w:val="006A482E"/>
    <w:rsid w:val="006A48E1"/>
    <w:rsid w:val="006A4C24"/>
    <w:rsid w:val="006A4E72"/>
    <w:rsid w:val="006A4F23"/>
    <w:rsid w:val="006A4F44"/>
    <w:rsid w:val="006A57F6"/>
    <w:rsid w:val="006A5B5E"/>
    <w:rsid w:val="006A60EE"/>
    <w:rsid w:val="006A63B3"/>
    <w:rsid w:val="006A669B"/>
    <w:rsid w:val="006A6838"/>
    <w:rsid w:val="006A68E7"/>
    <w:rsid w:val="006A69E1"/>
    <w:rsid w:val="006A6DCE"/>
    <w:rsid w:val="006A6DD5"/>
    <w:rsid w:val="006A6E33"/>
    <w:rsid w:val="006A7285"/>
    <w:rsid w:val="006A7448"/>
    <w:rsid w:val="006A74C2"/>
    <w:rsid w:val="006A754F"/>
    <w:rsid w:val="006A768A"/>
    <w:rsid w:val="006A780A"/>
    <w:rsid w:val="006A7A6E"/>
    <w:rsid w:val="006A7A7A"/>
    <w:rsid w:val="006A7B5A"/>
    <w:rsid w:val="006A7BD2"/>
    <w:rsid w:val="006A7DC6"/>
    <w:rsid w:val="006B0240"/>
    <w:rsid w:val="006B03C0"/>
    <w:rsid w:val="006B062C"/>
    <w:rsid w:val="006B06D6"/>
    <w:rsid w:val="006B0849"/>
    <w:rsid w:val="006B0BA4"/>
    <w:rsid w:val="006B0CF5"/>
    <w:rsid w:val="006B10E3"/>
    <w:rsid w:val="006B1107"/>
    <w:rsid w:val="006B11C4"/>
    <w:rsid w:val="006B1204"/>
    <w:rsid w:val="006B128E"/>
    <w:rsid w:val="006B19D5"/>
    <w:rsid w:val="006B1CDB"/>
    <w:rsid w:val="006B1DD2"/>
    <w:rsid w:val="006B1EEA"/>
    <w:rsid w:val="006B206B"/>
    <w:rsid w:val="006B20DA"/>
    <w:rsid w:val="006B21FF"/>
    <w:rsid w:val="006B2554"/>
    <w:rsid w:val="006B2B3B"/>
    <w:rsid w:val="006B2C9C"/>
    <w:rsid w:val="006B2D20"/>
    <w:rsid w:val="006B2E2D"/>
    <w:rsid w:val="006B3118"/>
    <w:rsid w:val="006B32C5"/>
    <w:rsid w:val="006B34E3"/>
    <w:rsid w:val="006B3D33"/>
    <w:rsid w:val="006B4036"/>
    <w:rsid w:val="006B4114"/>
    <w:rsid w:val="006B4713"/>
    <w:rsid w:val="006B47B4"/>
    <w:rsid w:val="006B49F9"/>
    <w:rsid w:val="006B4AC0"/>
    <w:rsid w:val="006B4C5F"/>
    <w:rsid w:val="006B503E"/>
    <w:rsid w:val="006B5310"/>
    <w:rsid w:val="006B5329"/>
    <w:rsid w:val="006B5431"/>
    <w:rsid w:val="006B5517"/>
    <w:rsid w:val="006B558C"/>
    <w:rsid w:val="006B59F3"/>
    <w:rsid w:val="006B5A7C"/>
    <w:rsid w:val="006B5D6E"/>
    <w:rsid w:val="006B63C0"/>
    <w:rsid w:val="006B64A9"/>
    <w:rsid w:val="006B68C2"/>
    <w:rsid w:val="006B68DE"/>
    <w:rsid w:val="006B6FA4"/>
    <w:rsid w:val="006B6FC1"/>
    <w:rsid w:val="006B704C"/>
    <w:rsid w:val="006B719F"/>
    <w:rsid w:val="006B7292"/>
    <w:rsid w:val="006B752F"/>
    <w:rsid w:val="006B762E"/>
    <w:rsid w:val="006B77F0"/>
    <w:rsid w:val="006B7BC2"/>
    <w:rsid w:val="006B7DF7"/>
    <w:rsid w:val="006B7DF8"/>
    <w:rsid w:val="006C00F1"/>
    <w:rsid w:val="006C0202"/>
    <w:rsid w:val="006C025A"/>
    <w:rsid w:val="006C028F"/>
    <w:rsid w:val="006C05C0"/>
    <w:rsid w:val="006C0648"/>
    <w:rsid w:val="006C07B5"/>
    <w:rsid w:val="006C0BBB"/>
    <w:rsid w:val="006C0C6A"/>
    <w:rsid w:val="006C1305"/>
    <w:rsid w:val="006C1323"/>
    <w:rsid w:val="006C15EE"/>
    <w:rsid w:val="006C16C2"/>
    <w:rsid w:val="006C17D0"/>
    <w:rsid w:val="006C1868"/>
    <w:rsid w:val="006C1ACD"/>
    <w:rsid w:val="006C1C6C"/>
    <w:rsid w:val="006C1F35"/>
    <w:rsid w:val="006C2289"/>
    <w:rsid w:val="006C28F6"/>
    <w:rsid w:val="006C2A8F"/>
    <w:rsid w:val="006C2BB6"/>
    <w:rsid w:val="006C2C5D"/>
    <w:rsid w:val="006C2EA2"/>
    <w:rsid w:val="006C31A4"/>
    <w:rsid w:val="006C32D2"/>
    <w:rsid w:val="006C371C"/>
    <w:rsid w:val="006C38EC"/>
    <w:rsid w:val="006C3EFA"/>
    <w:rsid w:val="006C3F88"/>
    <w:rsid w:val="006C3FF9"/>
    <w:rsid w:val="006C4063"/>
    <w:rsid w:val="006C4103"/>
    <w:rsid w:val="006C41EF"/>
    <w:rsid w:val="006C460D"/>
    <w:rsid w:val="006C4631"/>
    <w:rsid w:val="006C48CE"/>
    <w:rsid w:val="006C4A7C"/>
    <w:rsid w:val="006C508D"/>
    <w:rsid w:val="006C560B"/>
    <w:rsid w:val="006C564B"/>
    <w:rsid w:val="006C569A"/>
    <w:rsid w:val="006C5B53"/>
    <w:rsid w:val="006C6132"/>
    <w:rsid w:val="006C6586"/>
    <w:rsid w:val="006C65F4"/>
    <w:rsid w:val="006C6626"/>
    <w:rsid w:val="006C665C"/>
    <w:rsid w:val="006C6AA6"/>
    <w:rsid w:val="006C6B44"/>
    <w:rsid w:val="006C6BFD"/>
    <w:rsid w:val="006C6C0B"/>
    <w:rsid w:val="006C714C"/>
    <w:rsid w:val="006C7202"/>
    <w:rsid w:val="006C72B0"/>
    <w:rsid w:val="006C73D0"/>
    <w:rsid w:val="006C7606"/>
    <w:rsid w:val="006C7BB3"/>
    <w:rsid w:val="006D014B"/>
    <w:rsid w:val="006D0256"/>
    <w:rsid w:val="006D0544"/>
    <w:rsid w:val="006D0604"/>
    <w:rsid w:val="006D063B"/>
    <w:rsid w:val="006D0688"/>
    <w:rsid w:val="006D0A21"/>
    <w:rsid w:val="006D0AA4"/>
    <w:rsid w:val="006D0B27"/>
    <w:rsid w:val="006D0BC4"/>
    <w:rsid w:val="006D0E76"/>
    <w:rsid w:val="006D1047"/>
    <w:rsid w:val="006D10D0"/>
    <w:rsid w:val="006D136C"/>
    <w:rsid w:val="006D156E"/>
    <w:rsid w:val="006D16CD"/>
    <w:rsid w:val="006D1729"/>
    <w:rsid w:val="006D17D6"/>
    <w:rsid w:val="006D1A84"/>
    <w:rsid w:val="006D1BB0"/>
    <w:rsid w:val="006D1C10"/>
    <w:rsid w:val="006D2084"/>
    <w:rsid w:val="006D2298"/>
    <w:rsid w:val="006D247B"/>
    <w:rsid w:val="006D2665"/>
    <w:rsid w:val="006D26BA"/>
    <w:rsid w:val="006D2794"/>
    <w:rsid w:val="006D2BA2"/>
    <w:rsid w:val="006D2C42"/>
    <w:rsid w:val="006D321A"/>
    <w:rsid w:val="006D3359"/>
    <w:rsid w:val="006D33B5"/>
    <w:rsid w:val="006D3511"/>
    <w:rsid w:val="006D3676"/>
    <w:rsid w:val="006D3781"/>
    <w:rsid w:val="006D39BF"/>
    <w:rsid w:val="006D3A9F"/>
    <w:rsid w:val="006D3BB5"/>
    <w:rsid w:val="006D4075"/>
    <w:rsid w:val="006D429B"/>
    <w:rsid w:val="006D42A0"/>
    <w:rsid w:val="006D43F2"/>
    <w:rsid w:val="006D458E"/>
    <w:rsid w:val="006D471E"/>
    <w:rsid w:val="006D4BFA"/>
    <w:rsid w:val="006D510A"/>
    <w:rsid w:val="006D5145"/>
    <w:rsid w:val="006D5383"/>
    <w:rsid w:val="006D55F1"/>
    <w:rsid w:val="006D59F5"/>
    <w:rsid w:val="006D5AA7"/>
    <w:rsid w:val="006D5BF8"/>
    <w:rsid w:val="006D601F"/>
    <w:rsid w:val="006D6187"/>
    <w:rsid w:val="006D62E6"/>
    <w:rsid w:val="006D6428"/>
    <w:rsid w:val="006D699B"/>
    <w:rsid w:val="006D69B5"/>
    <w:rsid w:val="006D6D8B"/>
    <w:rsid w:val="006D6E7B"/>
    <w:rsid w:val="006D6EE2"/>
    <w:rsid w:val="006D7022"/>
    <w:rsid w:val="006D7123"/>
    <w:rsid w:val="006D7241"/>
    <w:rsid w:val="006D72FE"/>
    <w:rsid w:val="006D76A3"/>
    <w:rsid w:val="006D777C"/>
    <w:rsid w:val="006D78D4"/>
    <w:rsid w:val="006D79BD"/>
    <w:rsid w:val="006D7BF3"/>
    <w:rsid w:val="006D7CF3"/>
    <w:rsid w:val="006D7DD3"/>
    <w:rsid w:val="006D7EE1"/>
    <w:rsid w:val="006E019A"/>
    <w:rsid w:val="006E03D4"/>
    <w:rsid w:val="006E068E"/>
    <w:rsid w:val="006E0740"/>
    <w:rsid w:val="006E07E1"/>
    <w:rsid w:val="006E0882"/>
    <w:rsid w:val="006E0D34"/>
    <w:rsid w:val="006E0EDA"/>
    <w:rsid w:val="006E0F9C"/>
    <w:rsid w:val="006E114D"/>
    <w:rsid w:val="006E1172"/>
    <w:rsid w:val="006E125F"/>
    <w:rsid w:val="006E12DD"/>
    <w:rsid w:val="006E13EC"/>
    <w:rsid w:val="006E1448"/>
    <w:rsid w:val="006E14E5"/>
    <w:rsid w:val="006E16E5"/>
    <w:rsid w:val="006E1DA5"/>
    <w:rsid w:val="006E1DC4"/>
    <w:rsid w:val="006E1EAE"/>
    <w:rsid w:val="006E1EBA"/>
    <w:rsid w:val="006E1F4F"/>
    <w:rsid w:val="006E20D7"/>
    <w:rsid w:val="006E22C7"/>
    <w:rsid w:val="006E24E1"/>
    <w:rsid w:val="006E25E8"/>
    <w:rsid w:val="006E2752"/>
    <w:rsid w:val="006E289F"/>
    <w:rsid w:val="006E3343"/>
    <w:rsid w:val="006E34B0"/>
    <w:rsid w:val="006E3539"/>
    <w:rsid w:val="006E35C1"/>
    <w:rsid w:val="006E35D6"/>
    <w:rsid w:val="006E372F"/>
    <w:rsid w:val="006E37FC"/>
    <w:rsid w:val="006E3DCB"/>
    <w:rsid w:val="006E453B"/>
    <w:rsid w:val="006E477A"/>
    <w:rsid w:val="006E488D"/>
    <w:rsid w:val="006E4B3C"/>
    <w:rsid w:val="006E4C4D"/>
    <w:rsid w:val="006E4CC7"/>
    <w:rsid w:val="006E4D71"/>
    <w:rsid w:val="006E4E1F"/>
    <w:rsid w:val="006E4F68"/>
    <w:rsid w:val="006E5117"/>
    <w:rsid w:val="006E5E48"/>
    <w:rsid w:val="006E5FC7"/>
    <w:rsid w:val="006E6109"/>
    <w:rsid w:val="006E64CA"/>
    <w:rsid w:val="006E69AA"/>
    <w:rsid w:val="006E6AA0"/>
    <w:rsid w:val="006E6B6B"/>
    <w:rsid w:val="006E701D"/>
    <w:rsid w:val="006E715B"/>
    <w:rsid w:val="006E734F"/>
    <w:rsid w:val="006E7353"/>
    <w:rsid w:val="006E7412"/>
    <w:rsid w:val="006E79BB"/>
    <w:rsid w:val="006E7A5A"/>
    <w:rsid w:val="006E7AC1"/>
    <w:rsid w:val="006E7D12"/>
    <w:rsid w:val="006F072C"/>
    <w:rsid w:val="006F075A"/>
    <w:rsid w:val="006F0C42"/>
    <w:rsid w:val="006F0E78"/>
    <w:rsid w:val="006F0EC7"/>
    <w:rsid w:val="006F0F33"/>
    <w:rsid w:val="006F0FD8"/>
    <w:rsid w:val="006F10C6"/>
    <w:rsid w:val="006F134C"/>
    <w:rsid w:val="006F1450"/>
    <w:rsid w:val="006F18BA"/>
    <w:rsid w:val="006F198A"/>
    <w:rsid w:val="006F19EF"/>
    <w:rsid w:val="006F1A29"/>
    <w:rsid w:val="006F1C81"/>
    <w:rsid w:val="006F1D97"/>
    <w:rsid w:val="006F20B8"/>
    <w:rsid w:val="006F215C"/>
    <w:rsid w:val="006F2329"/>
    <w:rsid w:val="006F23CF"/>
    <w:rsid w:val="006F23DB"/>
    <w:rsid w:val="006F2660"/>
    <w:rsid w:val="006F282A"/>
    <w:rsid w:val="006F3019"/>
    <w:rsid w:val="006F303B"/>
    <w:rsid w:val="006F3356"/>
    <w:rsid w:val="006F33FE"/>
    <w:rsid w:val="006F343F"/>
    <w:rsid w:val="006F3491"/>
    <w:rsid w:val="006F38CE"/>
    <w:rsid w:val="006F3F15"/>
    <w:rsid w:val="006F3FBF"/>
    <w:rsid w:val="006F4024"/>
    <w:rsid w:val="006F4085"/>
    <w:rsid w:val="006F40DE"/>
    <w:rsid w:val="006F4181"/>
    <w:rsid w:val="006F43AA"/>
    <w:rsid w:val="006F4451"/>
    <w:rsid w:val="006F4544"/>
    <w:rsid w:val="006F461F"/>
    <w:rsid w:val="006F46A3"/>
    <w:rsid w:val="006F4721"/>
    <w:rsid w:val="006F4952"/>
    <w:rsid w:val="006F4B63"/>
    <w:rsid w:val="006F4D78"/>
    <w:rsid w:val="006F4DC1"/>
    <w:rsid w:val="006F4E01"/>
    <w:rsid w:val="006F553B"/>
    <w:rsid w:val="006F55C5"/>
    <w:rsid w:val="006F582A"/>
    <w:rsid w:val="006F5BCF"/>
    <w:rsid w:val="006F67C5"/>
    <w:rsid w:val="006F69A0"/>
    <w:rsid w:val="006F6A05"/>
    <w:rsid w:val="006F6D47"/>
    <w:rsid w:val="006F708F"/>
    <w:rsid w:val="006F70A2"/>
    <w:rsid w:val="006F70C3"/>
    <w:rsid w:val="006F714C"/>
    <w:rsid w:val="006F7375"/>
    <w:rsid w:val="006F73B4"/>
    <w:rsid w:val="006F743D"/>
    <w:rsid w:val="006F7854"/>
    <w:rsid w:val="006F7A05"/>
    <w:rsid w:val="006F7B03"/>
    <w:rsid w:val="006F7C17"/>
    <w:rsid w:val="006F7D29"/>
    <w:rsid w:val="006F7E98"/>
    <w:rsid w:val="00700000"/>
    <w:rsid w:val="0070048F"/>
    <w:rsid w:val="007004B5"/>
    <w:rsid w:val="0070064B"/>
    <w:rsid w:val="00700DCF"/>
    <w:rsid w:val="00700FFA"/>
    <w:rsid w:val="00701001"/>
    <w:rsid w:val="007012F8"/>
    <w:rsid w:val="0070149B"/>
    <w:rsid w:val="0070180B"/>
    <w:rsid w:val="007019BB"/>
    <w:rsid w:val="007019D1"/>
    <w:rsid w:val="00701CDF"/>
    <w:rsid w:val="00701D9C"/>
    <w:rsid w:val="00701FAF"/>
    <w:rsid w:val="007021EB"/>
    <w:rsid w:val="00702379"/>
    <w:rsid w:val="00702561"/>
    <w:rsid w:val="007026CE"/>
    <w:rsid w:val="007029E7"/>
    <w:rsid w:val="00702B36"/>
    <w:rsid w:val="00702B7B"/>
    <w:rsid w:val="00702BCA"/>
    <w:rsid w:val="00702C6B"/>
    <w:rsid w:val="00702DB5"/>
    <w:rsid w:val="007030A7"/>
    <w:rsid w:val="007030EF"/>
    <w:rsid w:val="007033AB"/>
    <w:rsid w:val="00703412"/>
    <w:rsid w:val="007034DE"/>
    <w:rsid w:val="00703682"/>
    <w:rsid w:val="007036AF"/>
    <w:rsid w:val="007036D4"/>
    <w:rsid w:val="0070370C"/>
    <w:rsid w:val="0070396C"/>
    <w:rsid w:val="00703A7A"/>
    <w:rsid w:val="00703D46"/>
    <w:rsid w:val="00703DC9"/>
    <w:rsid w:val="00703E1F"/>
    <w:rsid w:val="007043C1"/>
    <w:rsid w:val="00704431"/>
    <w:rsid w:val="00704596"/>
    <w:rsid w:val="00704655"/>
    <w:rsid w:val="00704681"/>
    <w:rsid w:val="007047AC"/>
    <w:rsid w:val="007047E7"/>
    <w:rsid w:val="00704820"/>
    <w:rsid w:val="00704972"/>
    <w:rsid w:val="00704C70"/>
    <w:rsid w:val="00704F16"/>
    <w:rsid w:val="0070500A"/>
    <w:rsid w:val="0070565B"/>
    <w:rsid w:val="00705779"/>
    <w:rsid w:val="0070589D"/>
    <w:rsid w:val="00705B48"/>
    <w:rsid w:val="00705CD3"/>
    <w:rsid w:val="00705D34"/>
    <w:rsid w:val="00705F94"/>
    <w:rsid w:val="00706076"/>
    <w:rsid w:val="0070614C"/>
    <w:rsid w:val="00706371"/>
    <w:rsid w:val="00706402"/>
    <w:rsid w:val="00706503"/>
    <w:rsid w:val="00706520"/>
    <w:rsid w:val="00706DF4"/>
    <w:rsid w:val="00706EBF"/>
    <w:rsid w:val="00706F59"/>
    <w:rsid w:val="00707113"/>
    <w:rsid w:val="0070763F"/>
    <w:rsid w:val="007076F5"/>
    <w:rsid w:val="007077BD"/>
    <w:rsid w:val="00707A06"/>
    <w:rsid w:val="00707AA0"/>
    <w:rsid w:val="00707E94"/>
    <w:rsid w:val="00710008"/>
    <w:rsid w:val="0071020A"/>
    <w:rsid w:val="00710407"/>
    <w:rsid w:val="0071040F"/>
    <w:rsid w:val="0071045C"/>
    <w:rsid w:val="0071050B"/>
    <w:rsid w:val="007105A7"/>
    <w:rsid w:val="007107B7"/>
    <w:rsid w:val="00710866"/>
    <w:rsid w:val="007108BE"/>
    <w:rsid w:val="00710AD4"/>
    <w:rsid w:val="00710AE7"/>
    <w:rsid w:val="00710E76"/>
    <w:rsid w:val="00710ED8"/>
    <w:rsid w:val="007110D0"/>
    <w:rsid w:val="00711300"/>
    <w:rsid w:val="007114B0"/>
    <w:rsid w:val="007114C9"/>
    <w:rsid w:val="00711598"/>
    <w:rsid w:val="00711759"/>
    <w:rsid w:val="0071180F"/>
    <w:rsid w:val="00711B3B"/>
    <w:rsid w:val="00711F5B"/>
    <w:rsid w:val="00711F6B"/>
    <w:rsid w:val="007120D1"/>
    <w:rsid w:val="007122A4"/>
    <w:rsid w:val="007128AA"/>
    <w:rsid w:val="007129D7"/>
    <w:rsid w:val="00712D15"/>
    <w:rsid w:val="00712D69"/>
    <w:rsid w:val="00712F05"/>
    <w:rsid w:val="00712F09"/>
    <w:rsid w:val="00713126"/>
    <w:rsid w:val="00713347"/>
    <w:rsid w:val="00713504"/>
    <w:rsid w:val="0071361C"/>
    <w:rsid w:val="007136DD"/>
    <w:rsid w:val="0071374C"/>
    <w:rsid w:val="00713C44"/>
    <w:rsid w:val="00713DB1"/>
    <w:rsid w:val="00714126"/>
    <w:rsid w:val="0071425B"/>
    <w:rsid w:val="00714434"/>
    <w:rsid w:val="0071444C"/>
    <w:rsid w:val="007149C5"/>
    <w:rsid w:val="00714A1B"/>
    <w:rsid w:val="00714B77"/>
    <w:rsid w:val="00714BE0"/>
    <w:rsid w:val="00714CC7"/>
    <w:rsid w:val="00714CE4"/>
    <w:rsid w:val="00714D40"/>
    <w:rsid w:val="00714DA9"/>
    <w:rsid w:val="00714F80"/>
    <w:rsid w:val="00715124"/>
    <w:rsid w:val="0071534C"/>
    <w:rsid w:val="00715531"/>
    <w:rsid w:val="007155F9"/>
    <w:rsid w:val="007157AC"/>
    <w:rsid w:val="007157DD"/>
    <w:rsid w:val="00715982"/>
    <w:rsid w:val="007159E1"/>
    <w:rsid w:val="00715FDC"/>
    <w:rsid w:val="00716BAC"/>
    <w:rsid w:val="00716BE6"/>
    <w:rsid w:val="00716F89"/>
    <w:rsid w:val="00717163"/>
    <w:rsid w:val="0071737A"/>
    <w:rsid w:val="007173C4"/>
    <w:rsid w:val="00717425"/>
    <w:rsid w:val="0071744F"/>
    <w:rsid w:val="0071772A"/>
    <w:rsid w:val="0071794E"/>
    <w:rsid w:val="00717F2E"/>
    <w:rsid w:val="007206B5"/>
    <w:rsid w:val="00720805"/>
    <w:rsid w:val="00720995"/>
    <w:rsid w:val="00720A8B"/>
    <w:rsid w:val="00720B93"/>
    <w:rsid w:val="00720CE8"/>
    <w:rsid w:val="00720CEE"/>
    <w:rsid w:val="00720D9A"/>
    <w:rsid w:val="00720E38"/>
    <w:rsid w:val="00720E96"/>
    <w:rsid w:val="007210A4"/>
    <w:rsid w:val="007210C5"/>
    <w:rsid w:val="00721310"/>
    <w:rsid w:val="007214ED"/>
    <w:rsid w:val="007215F6"/>
    <w:rsid w:val="0072185E"/>
    <w:rsid w:val="00721895"/>
    <w:rsid w:val="007219EE"/>
    <w:rsid w:val="00721F39"/>
    <w:rsid w:val="00722156"/>
    <w:rsid w:val="00722290"/>
    <w:rsid w:val="007222D9"/>
    <w:rsid w:val="007224ED"/>
    <w:rsid w:val="00722532"/>
    <w:rsid w:val="00722C9C"/>
    <w:rsid w:val="00722CBB"/>
    <w:rsid w:val="00722D83"/>
    <w:rsid w:val="00722E05"/>
    <w:rsid w:val="00722F09"/>
    <w:rsid w:val="0072356D"/>
    <w:rsid w:val="00723580"/>
    <w:rsid w:val="0072378E"/>
    <w:rsid w:val="0072384B"/>
    <w:rsid w:val="007238D7"/>
    <w:rsid w:val="00723A50"/>
    <w:rsid w:val="00723D50"/>
    <w:rsid w:val="00723FC1"/>
    <w:rsid w:val="00724162"/>
    <w:rsid w:val="007245CC"/>
    <w:rsid w:val="00724964"/>
    <w:rsid w:val="007249ED"/>
    <w:rsid w:val="00724A32"/>
    <w:rsid w:val="00724A6E"/>
    <w:rsid w:val="00724BAA"/>
    <w:rsid w:val="00724C73"/>
    <w:rsid w:val="0072515E"/>
    <w:rsid w:val="00725184"/>
    <w:rsid w:val="007252CF"/>
    <w:rsid w:val="007258B5"/>
    <w:rsid w:val="00725C76"/>
    <w:rsid w:val="00726380"/>
    <w:rsid w:val="007264CA"/>
    <w:rsid w:val="007264FD"/>
    <w:rsid w:val="00726636"/>
    <w:rsid w:val="00726685"/>
    <w:rsid w:val="00726D56"/>
    <w:rsid w:val="00727174"/>
    <w:rsid w:val="00727189"/>
    <w:rsid w:val="007277F0"/>
    <w:rsid w:val="00727906"/>
    <w:rsid w:val="00727E54"/>
    <w:rsid w:val="00727EF4"/>
    <w:rsid w:val="0073016B"/>
    <w:rsid w:val="007301DF"/>
    <w:rsid w:val="00730649"/>
    <w:rsid w:val="00730696"/>
    <w:rsid w:val="0073092A"/>
    <w:rsid w:val="00730B18"/>
    <w:rsid w:val="00730B87"/>
    <w:rsid w:val="00730DF0"/>
    <w:rsid w:val="00730FFB"/>
    <w:rsid w:val="007311F0"/>
    <w:rsid w:val="00731352"/>
    <w:rsid w:val="007313A6"/>
    <w:rsid w:val="00731DC1"/>
    <w:rsid w:val="00731EE1"/>
    <w:rsid w:val="00731EFA"/>
    <w:rsid w:val="00731F7A"/>
    <w:rsid w:val="00731F8F"/>
    <w:rsid w:val="00732028"/>
    <w:rsid w:val="0073204F"/>
    <w:rsid w:val="00732301"/>
    <w:rsid w:val="00732320"/>
    <w:rsid w:val="007323F0"/>
    <w:rsid w:val="00732BD4"/>
    <w:rsid w:val="00732BFB"/>
    <w:rsid w:val="00732CEE"/>
    <w:rsid w:val="00732CF9"/>
    <w:rsid w:val="00732E81"/>
    <w:rsid w:val="00733133"/>
    <w:rsid w:val="007336CA"/>
    <w:rsid w:val="00733814"/>
    <w:rsid w:val="007339E2"/>
    <w:rsid w:val="00733E27"/>
    <w:rsid w:val="00733E42"/>
    <w:rsid w:val="00734095"/>
    <w:rsid w:val="007340F4"/>
    <w:rsid w:val="007347FF"/>
    <w:rsid w:val="00734992"/>
    <w:rsid w:val="007349A8"/>
    <w:rsid w:val="00734B9E"/>
    <w:rsid w:val="00734D60"/>
    <w:rsid w:val="00735039"/>
    <w:rsid w:val="00735190"/>
    <w:rsid w:val="007351C5"/>
    <w:rsid w:val="007354E2"/>
    <w:rsid w:val="007357CD"/>
    <w:rsid w:val="007357E8"/>
    <w:rsid w:val="00735803"/>
    <w:rsid w:val="00735AC2"/>
    <w:rsid w:val="00735E0C"/>
    <w:rsid w:val="00736010"/>
    <w:rsid w:val="00736166"/>
    <w:rsid w:val="0073633B"/>
    <w:rsid w:val="0073636D"/>
    <w:rsid w:val="00736652"/>
    <w:rsid w:val="0073697C"/>
    <w:rsid w:val="00736DEF"/>
    <w:rsid w:val="00736ECD"/>
    <w:rsid w:val="00736FA8"/>
    <w:rsid w:val="0073701A"/>
    <w:rsid w:val="00737405"/>
    <w:rsid w:val="00737453"/>
    <w:rsid w:val="0073776B"/>
    <w:rsid w:val="0073778E"/>
    <w:rsid w:val="007379D5"/>
    <w:rsid w:val="00737AE1"/>
    <w:rsid w:val="00737E0B"/>
    <w:rsid w:val="00737FB0"/>
    <w:rsid w:val="007400FB"/>
    <w:rsid w:val="00740391"/>
    <w:rsid w:val="0074056E"/>
    <w:rsid w:val="007406F0"/>
    <w:rsid w:val="00740993"/>
    <w:rsid w:val="007409C6"/>
    <w:rsid w:val="007409E5"/>
    <w:rsid w:val="00740ACE"/>
    <w:rsid w:val="00740B02"/>
    <w:rsid w:val="00740B74"/>
    <w:rsid w:val="00740C3D"/>
    <w:rsid w:val="00740CFF"/>
    <w:rsid w:val="00740F9B"/>
    <w:rsid w:val="00740FBB"/>
    <w:rsid w:val="007411FE"/>
    <w:rsid w:val="00741482"/>
    <w:rsid w:val="007416D0"/>
    <w:rsid w:val="007417A3"/>
    <w:rsid w:val="00741822"/>
    <w:rsid w:val="0074183C"/>
    <w:rsid w:val="00741D58"/>
    <w:rsid w:val="007423D0"/>
    <w:rsid w:val="00742685"/>
    <w:rsid w:val="0074278E"/>
    <w:rsid w:val="007429EA"/>
    <w:rsid w:val="00742E09"/>
    <w:rsid w:val="0074304E"/>
    <w:rsid w:val="00743166"/>
    <w:rsid w:val="00743440"/>
    <w:rsid w:val="0074346D"/>
    <w:rsid w:val="00743799"/>
    <w:rsid w:val="007437DC"/>
    <w:rsid w:val="007439AE"/>
    <w:rsid w:val="00743A51"/>
    <w:rsid w:val="00743A5E"/>
    <w:rsid w:val="00743AF4"/>
    <w:rsid w:val="007445A4"/>
    <w:rsid w:val="00744981"/>
    <w:rsid w:val="00744D29"/>
    <w:rsid w:val="00744D93"/>
    <w:rsid w:val="007451A5"/>
    <w:rsid w:val="007451BC"/>
    <w:rsid w:val="007452A9"/>
    <w:rsid w:val="007453EF"/>
    <w:rsid w:val="00745424"/>
    <w:rsid w:val="007454ED"/>
    <w:rsid w:val="0074554B"/>
    <w:rsid w:val="00745BCE"/>
    <w:rsid w:val="00745CBB"/>
    <w:rsid w:val="00745CD4"/>
    <w:rsid w:val="00745DA8"/>
    <w:rsid w:val="00745F1D"/>
    <w:rsid w:val="007460AC"/>
    <w:rsid w:val="00746309"/>
    <w:rsid w:val="00746B3E"/>
    <w:rsid w:val="00746BCC"/>
    <w:rsid w:val="00746C15"/>
    <w:rsid w:val="00747018"/>
    <w:rsid w:val="007470A6"/>
    <w:rsid w:val="00747301"/>
    <w:rsid w:val="0074756E"/>
    <w:rsid w:val="0074758C"/>
    <w:rsid w:val="00747819"/>
    <w:rsid w:val="0074788E"/>
    <w:rsid w:val="007478C4"/>
    <w:rsid w:val="007479E6"/>
    <w:rsid w:val="007479FF"/>
    <w:rsid w:val="00747A34"/>
    <w:rsid w:val="00747F63"/>
    <w:rsid w:val="00747F94"/>
    <w:rsid w:val="00747FBD"/>
    <w:rsid w:val="00750071"/>
    <w:rsid w:val="00750260"/>
    <w:rsid w:val="007502D5"/>
    <w:rsid w:val="007503A9"/>
    <w:rsid w:val="00750583"/>
    <w:rsid w:val="007508B9"/>
    <w:rsid w:val="007508C2"/>
    <w:rsid w:val="00750A47"/>
    <w:rsid w:val="00750B88"/>
    <w:rsid w:val="00750D27"/>
    <w:rsid w:val="00750D96"/>
    <w:rsid w:val="00750E82"/>
    <w:rsid w:val="00750F24"/>
    <w:rsid w:val="00751176"/>
    <w:rsid w:val="007513B7"/>
    <w:rsid w:val="007515CD"/>
    <w:rsid w:val="007516AA"/>
    <w:rsid w:val="0075171B"/>
    <w:rsid w:val="0075185E"/>
    <w:rsid w:val="007518BB"/>
    <w:rsid w:val="00751D0B"/>
    <w:rsid w:val="00751E09"/>
    <w:rsid w:val="0075255C"/>
    <w:rsid w:val="00752862"/>
    <w:rsid w:val="00752A52"/>
    <w:rsid w:val="00752EA8"/>
    <w:rsid w:val="00752EAD"/>
    <w:rsid w:val="00753019"/>
    <w:rsid w:val="0075329F"/>
    <w:rsid w:val="00753534"/>
    <w:rsid w:val="00753584"/>
    <w:rsid w:val="00753791"/>
    <w:rsid w:val="00753801"/>
    <w:rsid w:val="00753846"/>
    <w:rsid w:val="007538AA"/>
    <w:rsid w:val="00753959"/>
    <w:rsid w:val="00753A61"/>
    <w:rsid w:val="00753AB2"/>
    <w:rsid w:val="00753AFE"/>
    <w:rsid w:val="00753C1D"/>
    <w:rsid w:val="00753C1E"/>
    <w:rsid w:val="0075424B"/>
    <w:rsid w:val="00754271"/>
    <w:rsid w:val="00754344"/>
    <w:rsid w:val="007543EA"/>
    <w:rsid w:val="007544BE"/>
    <w:rsid w:val="007546EA"/>
    <w:rsid w:val="00754804"/>
    <w:rsid w:val="0075498C"/>
    <w:rsid w:val="00754BE1"/>
    <w:rsid w:val="00754D19"/>
    <w:rsid w:val="00754D4B"/>
    <w:rsid w:val="00754E6F"/>
    <w:rsid w:val="00754FF1"/>
    <w:rsid w:val="00754FF3"/>
    <w:rsid w:val="007552F9"/>
    <w:rsid w:val="00755317"/>
    <w:rsid w:val="00755594"/>
    <w:rsid w:val="007555ED"/>
    <w:rsid w:val="007557FC"/>
    <w:rsid w:val="00755885"/>
    <w:rsid w:val="007559B3"/>
    <w:rsid w:val="007559F5"/>
    <w:rsid w:val="00755A5B"/>
    <w:rsid w:val="00755B23"/>
    <w:rsid w:val="007561A6"/>
    <w:rsid w:val="007569B6"/>
    <w:rsid w:val="007569BF"/>
    <w:rsid w:val="0075732B"/>
    <w:rsid w:val="00757590"/>
    <w:rsid w:val="007577CF"/>
    <w:rsid w:val="0075781A"/>
    <w:rsid w:val="00757833"/>
    <w:rsid w:val="007578C8"/>
    <w:rsid w:val="007578DC"/>
    <w:rsid w:val="00757A50"/>
    <w:rsid w:val="00757C85"/>
    <w:rsid w:val="00757FF3"/>
    <w:rsid w:val="007602F6"/>
    <w:rsid w:val="0076030A"/>
    <w:rsid w:val="007603F0"/>
    <w:rsid w:val="0076057D"/>
    <w:rsid w:val="007607AC"/>
    <w:rsid w:val="0076084B"/>
    <w:rsid w:val="00760963"/>
    <w:rsid w:val="00760A6A"/>
    <w:rsid w:val="00760AF0"/>
    <w:rsid w:val="00760B49"/>
    <w:rsid w:val="00760BEC"/>
    <w:rsid w:val="00760F74"/>
    <w:rsid w:val="00760FF9"/>
    <w:rsid w:val="0076135C"/>
    <w:rsid w:val="00761701"/>
    <w:rsid w:val="0076176D"/>
    <w:rsid w:val="0076197D"/>
    <w:rsid w:val="00761A23"/>
    <w:rsid w:val="00761AFB"/>
    <w:rsid w:val="00761B89"/>
    <w:rsid w:val="00761C5F"/>
    <w:rsid w:val="0076205D"/>
    <w:rsid w:val="007620BD"/>
    <w:rsid w:val="0076213A"/>
    <w:rsid w:val="007622A1"/>
    <w:rsid w:val="0076269C"/>
    <w:rsid w:val="0076282A"/>
    <w:rsid w:val="00762E61"/>
    <w:rsid w:val="00762E94"/>
    <w:rsid w:val="007633F8"/>
    <w:rsid w:val="00763732"/>
    <w:rsid w:val="007637FE"/>
    <w:rsid w:val="00763876"/>
    <w:rsid w:val="00763B22"/>
    <w:rsid w:val="00764251"/>
    <w:rsid w:val="00764AA0"/>
    <w:rsid w:val="00764F83"/>
    <w:rsid w:val="00764FBB"/>
    <w:rsid w:val="0076504B"/>
    <w:rsid w:val="00765149"/>
    <w:rsid w:val="0076514B"/>
    <w:rsid w:val="00765662"/>
    <w:rsid w:val="007659CB"/>
    <w:rsid w:val="00765CB7"/>
    <w:rsid w:val="00765E83"/>
    <w:rsid w:val="007661C5"/>
    <w:rsid w:val="007661CE"/>
    <w:rsid w:val="00766352"/>
    <w:rsid w:val="007663B2"/>
    <w:rsid w:val="007665A5"/>
    <w:rsid w:val="0076685D"/>
    <w:rsid w:val="00766BBF"/>
    <w:rsid w:val="00766C83"/>
    <w:rsid w:val="00766DAC"/>
    <w:rsid w:val="00766EBF"/>
    <w:rsid w:val="0076710C"/>
    <w:rsid w:val="0076714B"/>
    <w:rsid w:val="0076722C"/>
    <w:rsid w:val="00767255"/>
    <w:rsid w:val="00767440"/>
    <w:rsid w:val="00767456"/>
    <w:rsid w:val="007674E8"/>
    <w:rsid w:val="00767DA2"/>
    <w:rsid w:val="0077007B"/>
    <w:rsid w:val="00770367"/>
    <w:rsid w:val="00770455"/>
    <w:rsid w:val="00770521"/>
    <w:rsid w:val="00770852"/>
    <w:rsid w:val="007708CC"/>
    <w:rsid w:val="00770A40"/>
    <w:rsid w:val="00770A58"/>
    <w:rsid w:val="00770C1A"/>
    <w:rsid w:val="00770CE6"/>
    <w:rsid w:val="00770D6E"/>
    <w:rsid w:val="00770EDB"/>
    <w:rsid w:val="00770FD4"/>
    <w:rsid w:val="00771007"/>
    <w:rsid w:val="007711DA"/>
    <w:rsid w:val="00771417"/>
    <w:rsid w:val="00771485"/>
    <w:rsid w:val="00771648"/>
    <w:rsid w:val="00771766"/>
    <w:rsid w:val="0077178E"/>
    <w:rsid w:val="00771970"/>
    <w:rsid w:val="00771D33"/>
    <w:rsid w:val="00771F62"/>
    <w:rsid w:val="0077207E"/>
    <w:rsid w:val="00772204"/>
    <w:rsid w:val="00772271"/>
    <w:rsid w:val="0077232E"/>
    <w:rsid w:val="0077244A"/>
    <w:rsid w:val="00772527"/>
    <w:rsid w:val="00772783"/>
    <w:rsid w:val="00772884"/>
    <w:rsid w:val="00772A10"/>
    <w:rsid w:val="00772BFC"/>
    <w:rsid w:val="00772DBF"/>
    <w:rsid w:val="00772DEF"/>
    <w:rsid w:val="007730C8"/>
    <w:rsid w:val="00773133"/>
    <w:rsid w:val="0077316F"/>
    <w:rsid w:val="007731A6"/>
    <w:rsid w:val="007732A7"/>
    <w:rsid w:val="00773883"/>
    <w:rsid w:val="007739E3"/>
    <w:rsid w:val="00773AFD"/>
    <w:rsid w:val="00773B15"/>
    <w:rsid w:val="00773B4D"/>
    <w:rsid w:val="00773B87"/>
    <w:rsid w:val="00773E02"/>
    <w:rsid w:val="00774144"/>
    <w:rsid w:val="0077444B"/>
    <w:rsid w:val="007745AE"/>
    <w:rsid w:val="007745BC"/>
    <w:rsid w:val="007749B7"/>
    <w:rsid w:val="00774DFE"/>
    <w:rsid w:val="00774E62"/>
    <w:rsid w:val="0077503A"/>
    <w:rsid w:val="007751ED"/>
    <w:rsid w:val="007757EB"/>
    <w:rsid w:val="00775877"/>
    <w:rsid w:val="00775CC6"/>
    <w:rsid w:val="00775D14"/>
    <w:rsid w:val="00775D2D"/>
    <w:rsid w:val="00775D7B"/>
    <w:rsid w:val="00775E33"/>
    <w:rsid w:val="00776082"/>
    <w:rsid w:val="007761C4"/>
    <w:rsid w:val="007762AC"/>
    <w:rsid w:val="00776311"/>
    <w:rsid w:val="007766BC"/>
    <w:rsid w:val="007767D6"/>
    <w:rsid w:val="007768BD"/>
    <w:rsid w:val="00776B91"/>
    <w:rsid w:val="007770F2"/>
    <w:rsid w:val="0077714A"/>
    <w:rsid w:val="00777247"/>
    <w:rsid w:val="0077730B"/>
    <w:rsid w:val="00777361"/>
    <w:rsid w:val="0077739D"/>
    <w:rsid w:val="007773D6"/>
    <w:rsid w:val="00777491"/>
    <w:rsid w:val="0077752D"/>
    <w:rsid w:val="00777688"/>
    <w:rsid w:val="0077771B"/>
    <w:rsid w:val="0077777F"/>
    <w:rsid w:val="00777807"/>
    <w:rsid w:val="00777821"/>
    <w:rsid w:val="007779EB"/>
    <w:rsid w:val="00777BAB"/>
    <w:rsid w:val="00777D56"/>
    <w:rsid w:val="00780139"/>
    <w:rsid w:val="0078019C"/>
    <w:rsid w:val="00780522"/>
    <w:rsid w:val="007805B6"/>
    <w:rsid w:val="007805C6"/>
    <w:rsid w:val="00780A90"/>
    <w:rsid w:val="00780ADD"/>
    <w:rsid w:val="00780B28"/>
    <w:rsid w:val="00780C3B"/>
    <w:rsid w:val="00780ED7"/>
    <w:rsid w:val="007810BE"/>
    <w:rsid w:val="007811C2"/>
    <w:rsid w:val="00781425"/>
    <w:rsid w:val="00781761"/>
    <w:rsid w:val="0078197A"/>
    <w:rsid w:val="00781B31"/>
    <w:rsid w:val="00781B5C"/>
    <w:rsid w:val="00781C05"/>
    <w:rsid w:val="007820C8"/>
    <w:rsid w:val="007822A1"/>
    <w:rsid w:val="0078250E"/>
    <w:rsid w:val="007825AF"/>
    <w:rsid w:val="00782696"/>
    <w:rsid w:val="00782C54"/>
    <w:rsid w:val="00782FEC"/>
    <w:rsid w:val="007830DB"/>
    <w:rsid w:val="007832B2"/>
    <w:rsid w:val="007834A8"/>
    <w:rsid w:val="007834D9"/>
    <w:rsid w:val="007835D0"/>
    <w:rsid w:val="007835ED"/>
    <w:rsid w:val="00783637"/>
    <w:rsid w:val="00783652"/>
    <w:rsid w:val="0078371E"/>
    <w:rsid w:val="007838BA"/>
    <w:rsid w:val="00783927"/>
    <w:rsid w:val="00783967"/>
    <w:rsid w:val="00783E15"/>
    <w:rsid w:val="00783F06"/>
    <w:rsid w:val="007841C8"/>
    <w:rsid w:val="007842A8"/>
    <w:rsid w:val="007842BC"/>
    <w:rsid w:val="0078491B"/>
    <w:rsid w:val="00784ADE"/>
    <w:rsid w:val="00784BB9"/>
    <w:rsid w:val="00784C47"/>
    <w:rsid w:val="00784CDF"/>
    <w:rsid w:val="0078513D"/>
    <w:rsid w:val="007851A8"/>
    <w:rsid w:val="007851B3"/>
    <w:rsid w:val="007851EA"/>
    <w:rsid w:val="0078525E"/>
    <w:rsid w:val="0078560F"/>
    <w:rsid w:val="007856AB"/>
    <w:rsid w:val="007856EC"/>
    <w:rsid w:val="007859DF"/>
    <w:rsid w:val="00785A85"/>
    <w:rsid w:val="00785BD8"/>
    <w:rsid w:val="00785D1E"/>
    <w:rsid w:val="00785EC7"/>
    <w:rsid w:val="007860FA"/>
    <w:rsid w:val="00786316"/>
    <w:rsid w:val="0078649E"/>
    <w:rsid w:val="0078670E"/>
    <w:rsid w:val="0078673E"/>
    <w:rsid w:val="007867D2"/>
    <w:rsid w:val="0078698F"/>
    <w:rsid w:val="00786CEF"/>
    <w:rsid w:val="00786FB5"/>
    <w:rsid w:val="007870E0"/>
    <w:rsid w:val="00787743"/>
    <w:rsid w:val="00787D95"/>
    <w:rsid w:val="00787DFE"/>
    <w:rsid w:val="007903A3"/>
    <w:rsid w:val="0079071A"/>
    <w:rsid w:val="007908E8"/>
    <w:rsid w:val="00790B42"/>
    <w:rsid w:val="00790C67"/>
    <w:rsid w:val="00790FAD"/>
    <w:rsid w:val="0079101E"/>
    <w:rsid w:val="007910C9"/>
    <w:rsid w:val="0079168B"/>
    <w:rsid w:val="007916C1"/>
    <w:rsid w:val="007916DE"/>
    <w:rsid w:val="00791714"/>
    <w:rsid w:val="0079176A"/>
    <w:rsid w:val="0079198A"/>
    <w:rsid w:val="00791A91"/>
    <w:rsid w:val="00792007"/>
    <w:rsid w:val="0079211E"/>
    <w:rsid w:val="00792369"/>
    <w:rsid w:val="00792570"/>
    <w:rsid w:val="007926BF"/>
    <w:rsid w:val="007927AD"/>
    <w:rsid w:val="00792A78"/>
    <w:rsid w:val="00792BB9"/>
    <w:rsid w:val="00792E7B"/>
    <w:rsid w:val="00793444"/>
    <w:rsid w:val="007937EB"/>
    <w:rsid w:val="00793831"/>
    <w:rsid w:val="0079395B"/>
    <w:rsid w:val="00793993"/>
    <w:rsid w:val="00793AD9"/>
    <w:rsid w:val="00793B04"/>
    <w:rsid w:val="00793B7A"/>
    <w:rsid w:val="00793C25"/>
    <w:rsid w:val="00793CCA"/>
    <w:rsid w:val="00793CEE"/>
    <w:rsid w:val="00793D50"/>
    <w:rsid w:val="00793D73"/>
    <w:rsid w:val="00793E09"/>
    <w:rsid w:val="00793E25"/>
    <w:rsid w:val="00794232"/>
    <w:rsid w:val="00794480"/>
    <w:rsid w:val="00794B21"/>
    <w:rsid w:val="00794CF5"/>
    <w:rsid w:val="00794D79"/>
    <w:rsid w:val="00794DDB"/>
    <w:rsid w:val="00794F3A"/>
    <w:rsid w:val="00794F42"/>
    <w:rsid w:val="00794F9B"/>
    <w:rsid w:val="0079541C"/>
    <w:rsid w:val="0079553E"/>
    <w:rsid w:val="007955F0"/>
    <w:rsid w:val="0079561D"/>
    <w:rsid w:val="00795718"/>
    <w:rsid w:val="00795D70"/>
    <w:rsid w:val="00795D76"/>
    <w:rsid w:val="00795D98"/>
    <w:rsid w:val="00795DE5"/>
    <w:rsid w:val="00795E47"/>
    <w:rsid w:val="00796042"/>
    <w:rsid w:val="00796075"/>
    <w:rsid w:val="007961F2"/>
    <w:rsid w:val="007961FB"/>
    <w:rsid w:val="0079621D"/>
    <w:rsid w:val="007964C4"/>
    <w:rsid w:val="007968B5"/>
    <w:rsid w:val="00797053"/>
    <w:rsid w:val="00797693"/>
    <w:rsid w:val="00797697"/>
    <w:rsid w:val="00797994"/>
    <w:rsid w:val="00797A9D"/>
    <w:rsid w:val="007A00B6"/>
    <w:rsid w:val="007A01C8"/>
    <w:rsid w:val="007A038B"/>
    <w:rsid w:val="007A064D"/>
    <w:rsid w:val="007A0920"/>
    <w:rsid w:val="007A093C"/>
    <w:rsid w:val="007A096D"/>
    <w:rsid w:val="007A0BA7"/>
    <w:rsid w:val="007A0DE6"/>
    <w:rsid w:val="007A1324"/>
    <w:rsid w:val="007A1337"/>
    <w:rsid w:val="007A13AE"/>
    <w:rsid w:val="007A1846"/>
    <w:rsid w:val="007A1DA5"/>
    <w:rsid w:val="007A1FA9"/>
    <w:rsid w:val="007A2091"/>
    <w:rsid w:val="007A2162"/>
    <w:rsid w:val="007A2172"/>
    <w:rsid w:val="007A2364"/>
    <w:rsid w:val="007A2457"/>
    <w:rsid w:val="007A2660"/>
    <w:rsid w:val="007A26C7"/>
    <w:rsid w:val="007A2A46"/>
    <w:rsid w:val="007A2B65"/>
    <w:rsid w:val="007A2BA0"/>
    <w:rsid w:val="007A2BBA"/>
    <w:rsid w:val="007A2D0C"/>
    <w:rsid w:val="007A310F"/>
    <w:rsid w:val="007A36B5"/>
    <w:rsid w:val="007A36EE"/>
    <w:rsid w:val="007A373C"/>
    <w:rsid w:val="007A37E8"/>
    <w:rsid w:val="007A395A"/>
    <w:rsid w:val="007A39D6"/>
    <w:rsid w:val="007A3B24"/>
    <w:rsid w:val="007A3E0C"/>
    <w:rsid w:val="007A3E1B"/>
    <w:rsid w:val="007A48E0"/>
    <w:rsid w:val="007A4A7B"/>
    <w:rsid w:val="007A4A7C"/>
    <w:rsid w:val="007A4BEC"/>
    <w:rsid w:val="007A4CED"/>
    <w:rsid w:val="007A501D"/>
    <w:rsid w:val="007A5047"/>
    <w:rsid w:val="007A515C"/>
    <w:rsid w:val="007A5163"/>
    <w:rsid w:val="007A51B3"/>
    <w:rsid w:val="007A5425"/>
    <w:rsid w:val="007A55C5"/>
    <w:rsid w:val="007A5617"/>
    <w:rsid w:val="007A588C"/>
    <w:rsid w:val="007A5946"/>
    <w:rsid w:val="007A5A0B"/>
    <w:rsid w:val="007A5B96"/>
    <w:rsid w:val="007A5C8C"/>
    <w:rsid w:val="007A5E1E"/>
    <w:rsid w:val="007A60B7"/>
    <w:rsid w:val="007A610E"/>
    <w:rsid w:val="007A618A"/>
    <w:rsid w:val="007A61BF"/>
    <w:rsid w:val="007A61DB"/>
    <w:rsid w:val="007A62A7"/>
    <w:rsid w:val="007A69AB"/>
    <w:rsid w:val="007A6A82"/>
    <w:rsid w:val="007A6B0C"/>
    <w:rsid w:val="007A6EDF"/>
    <w:rsid w:val="007A7259"/>
    <w:rsid w:val="007A72C4"/>
    <w:rsid w:val="007A7567"/>
    <w:rsid w:val="007A759A"/>
    <w:rsid w:val="007A75AA"/>
    <w:rsid w:val="007A764B"/>
    <w:rsid w:val="007A7738"/>
    <w:rsid w:val="007A775C"/>
    <w:rsid w:val="007A79B6"/>
    <w:rsid w:val="007A7D66"/>
    <w:rsid w:val="007A7DA4"/>
    <w:rsid w:val="007B0074"/>
    <w:rsid w:val="007B00DF"/>
    <w:rsid w:val="007B02A3"/>
    <w:rsid w:val="007B02D0"/>
    <w:rsid w:val="007B0302"/>
    <w:rsid w:val="007B0466"/>
    <w:rsid w:val="007B06E7"/>
    <w:rsid w:val="007B071B"/>
    <w:rsid w:val="007B09AC"/>
    <w:rsid w:val="007B09AF"/>
    <w:rsid w:val="007B0ADF"/>
    <w:rsid w:val="007B0F92"/>
    <w:rsid w:val="007B109E"/>
    <w:rsid w:val="007B10D7"/>
    <w:rsid w:val="007B1186"/>
    <w:rsid w:val="007B11BD"/>
    <w:rsid w:val="007B1590"/>
    <w:rsid w:val="007B19D8"/>
    <w:rsid w:val="007B1AC0"/>
    <w:rsid w:val="007B1D2B"/>
    <w:rsid w:val="007B1DB7"/>
    <w:rsid w:val="007B20E7"/>
    <w:rsid w:val="007B211A"/>
    <w:rsid w:val="007B2329"/>
    <w:rsid w:val="007B2450"/>
    <w:rsid w:val="007B247D"/>
    <w:rsid w:val="007B250D"/>
    <w:rsid w:val="007B254D"/>
    <w:rsid w:val="007B2664"/>
    <w:rsid w:val="007B267F"/>
    <w:rsid w:val="007B26B8"/>
    <w:rsid w:val="007B2853"/>
    <w:rsid w:val="007B287E"/>
    <w:rsid w:val="007B2D0E"/>
    <w:rsid w:val="007B3088"/>
    <w:rsid w:val="007B3395"/>
    <w:rsid w:val="007B3816"/>
    <w:rsid w:val="007B394B"/>
    <w:rsid w:val="007B3CB4"/>
    <w:rsid w:val="007B3CD4"/>
    <w:rsid w:val="007B3DE6"/>
    <w:rsid w:val="007B3EB0"/>
    <w:rsid w:val="007B3FC8"/>
    <w:rsid w:val="007B4149"/>
    <w:rsid w:val="007B43CB"/>
    <w:rsid w:val="007B4467"/>
    <w:rsid w:val="007B4576"/>
    <w:rsid w:val="007B45B4"/>
    <w:rsid w:val="007B48FA"/>
    <w:rsid w:val="007B4945"/>
    <w:rsid w:val="007B4B41"/>
    <w:rsid w:val="007B53FF"/>
    <w:rsid w:val="007B552E"/>
    <w:rsid w:val="007B56EA"/>
    <w:rsid w:val="007B59DE"/>
    <w:rsid w:val="007B5A58"/>
    <w:rsid w:val="007B5AD0"/>
    <w:rsid w:val="007B5CD8"/>
    <w:rsid w:val="007B5F86"/>
    <w:rsid w:val="007B6070"/>
    <w:rsid w:val="007B6130"/>
    <w:rsid w:val="007B646A"/>
    <w:rsid w:val="007B6532"/>
    <w:rsid w:val="007B6617"/>
    <w:rsid w:val="007B69F8"/>
    <w:rsid w:val="007B6C6C"/>
    <w:rsid w:val="007B6E2F"/>
    <w:rsid w:val="007B70AD"/>
    <w:rsid w:val="007B713B"/>
    <w:rsid w:val="007B7174"/>
    <w:rsid w:val="007B748B"/>
    <w:rsid w:val="007C036F"/>
    <w:rsid w:val="007C049B"/>
    <w:rsid w:val="007C04EA"/>
    <w:rsid w:val="007C058C"/>
    <w:rsid w:val="007C05B2"/>
    <w:rsid w:val="007C08AD"/>
    <w:rsid w:val="007C0989"/>
    <w:rsid w:val="007C0FC8"/>
    <w:rsid w:val="007C1007"/>
    <w:rsid w:val="007C1232"/>
    <w:rsid w:val="007C135A"/>
    <w:rsid w:val="007C14C1"/>
    <w:rsid w:val="007C1646"/>
    <w:rsid w:val="007C1706"/>
    <w:rsid w:val="007C1783"/>
    <w:rsid w:val="007C1883"/>
    <w:rsid w:val="007C1AEB"/>
    <w:rsid w:val="007C1B25"/>
    <w:rsid w:val="007C1B31"/>
    <w:rsid w:val="007C1CC2"/>
    <w:rsid w:val="007C1F00"/>
    <w:rsid w:val="007C20A7"/>
    <w:rsid w:val="007C20B1"/>
    <w:rsid w:val="007C234F"/>
    <w:rsid w:val="007C2588"/>
    <w:rsid w:val="007C2615"/>
    <w:rsid w:val="007C26C1"/>
    <w:rsid w:val="007C27FC"/>
    <w:rsid w:val="007C281D"/>
    <w:rsid w:val="007C29C0"/>
    <w:rsid w:val="007C2A7C"/>
    <w:rsid w:val="007C2C3F"/>
    <w:rsid w:val="007C2EAB"/>
    <w:rsid w:val="007C3029"/>
    <w:rsid w:val="007C3119"/>
    <w:rsid w:val="007C3313"/>
    <w:rsid w:val="007C337A"/>
    <w:rsid w:val="007C3400"/>
    <w:rsid w:val="007C35B3"/>
    <w:rsid w:val="007C36E0"/>
    <w:rsid w:val="007C391F"/>
    <w:rsid w:val="007C3961"/>
    <w:rsid w:val="007C3C40"/>
    <w:rsid w:val="007C3C59"/>
    <w:rsid w:val="007C3D94"/>
    <w:rsid w:val="007C4055"/>
    <w:rsid w:val="007C40F2"/>
    <w:rsid w:val="007C42A9"/>
    <w:rsid w:val="007C45FA"/>
    <w:rsid w:val="007C4770"/>
    <w:rsid w:val="007C4D3D"/>
    <w:rsid w:val="007C4FDB"/>
    <w:rsid w:val="007C4FE9"/>
    <w:rsid w:val="007C5308"/>
    <w:rsid w:val="007C56CE"/>
    <w:rsid w:val="007C573F"/>
    <w:rsid w:val="007C5D74"/>
    <w:rsid w:val="007C5E2A"/>
    <w:rsid w:val="007C5FE7"/>
    <w:rsid w:val="007C61A8"/>
    <w:rsid w:val="007C6A9A"/>
    <w:rsid w:val="007C6BA3"/>
    <w:rsid w:val="007C6D37"/>
    <w:rsid w:val="007C6F93"/>
    <w:rsid w:val="007C762E"/>
    <w:rsid w:val="007C76C9"/>
    <w:rsid w:val="007C7D7E"/>
    <w:rsid w:val="007C7ED8"/>
    <w:rsid w:val="007D04A3"/>
    <w:rsid w:val="007D0660"/>
    <w:rsid w:val="007D0789"/>
    <w:rsid w:val="007D09D5"/>
    <w:rsid w:val="007D0C18"/>
    <w:rsid w:val="007D0C4C"/>
    <w:rsid w:val="007D0D37"/>
    <w:rsid w:val="007D1118"/>
    <w:rsid w:val="007D112A"/>
    <w:rsid w:val="007D15F5"/>
    <w:rsid w:val="007D176D"/>
    <w:rsid w:val="007D1B6A"/>
    <w:rsid w:val="007D2061"/>
    <w:rsid w:val="007D24D1"/>
    <w:rsid w:val="007D26F2"/>
    <w:rsid w:val="007D287A"/>
    <w:rsid w:val="007D28BD"/>
    <w:rsid w:val="007D291F"/>
    <w:rsid w:val="007D2DE2"/>
    <w:rsid w:val="007D2EE9"/>
    <w:rsid w:val="007D2F8D"/>
    <w:rsid w:val="007D2FAC"/>
    <w:rsid w:val="007D3583"/>
    <w:rsid w:val="007D35C9"/>
    <w:rsid w:val="007D35D7"/>
    <w:rsid w:val="007D35EB"/>
    <w:rsid w:val="007D378D"/>
    <w:rsid w:val="007D39E8"/>
    <w:rsid w:val="007D3A5C"/>
    <w:rsid w:val="007D3AE6"/>
    <w:rsid w:val="007D3C35"/>
    <w:rsid w:val="007D3DF5"/>
    <w:rsid w:val="007D3E00"/>
    <w:rsid w:val="007D3E48"/>
    <w:rsid w:val="007D401F"/>
    <w:rsid w:val="007D4036"/>
    <w:rsid w:val="007D43B3"/>
    <w:rsid w:val="007D45D7"/>
    <w:rsid w:val="007D4691"/>
    <w:rsid w:val="007D4A17"/>
    <w:rsid w:val="007D4E73"/>
    <w:rsid w:val="007D52DB"/>
    <w:rsid w:val="007D535B"/>
    <w:rsid w:val="007D5419"/>
    <w:rsid w:val="007D543B"/>
    <w:rsid w:val="007D547C"/>
    <w:rsid w:val="007D55F0"/>
    <w:rsid w:val="007D5B7C"/>
    <w:rsid w:val="007D5BC1"/>
    <w:rsid w:val="007D5C8A"/>
    <w:rsid w:val="007D5FD3"/>
    <w:rsid w:val="007D6149"/>
    <w:rsid w:val="007D63E5"/>
    <w:rsid w:val="007D645F"/>
    <w:rsid w:val="007D648C"/>
    <w:rsid w:val="007D68F6"/>
    <w:rsid w:val="007D6CF0"/>
    <w:rsid w:val="007D6E14"/>
    <w:rsid w:val="007D6E76"/>
    <w:rsid w:val="007D74F4"/>
    <w:rsid w:val="007D7538"/>
    <w:rsid w:val="007D77BE"/>
    <w:rsid w:val="007D78D3"/>
    <w:rsid w:val="007D7A9F"/>
    <w:rsid w:val="007E0191"/>
    <w:rsid w:val="007E0607"/>
    <w:rsid w:val="007E088E"/>
    <w:rsid w:val="007E09DE"/>
    <w:rsid w:val="007E0A36"/>
    <w:rsid w:val="007E0A38"/>
    <w:rsid w:val="007E0CF2"/>
    <w:rsid w:val="007E0F05"/>
    <w:rsid w:val="007E136E"/>
    <w:rsid w:val="007E143E"/>
    <w:rsid w:val="007E15BD"/>
    <w:rsid w:val="007E1678"/>
    <w:rsid w:val="007E17A4"/>
    <w:rsid w:val="007E17AD"/>
    <w:rsid w:val="007E19B4"/>
    <w:rsid w:val="007E19CA"/>
    <w:rsid w:val="007E1A62"/>
    <w:rsid w:val="007E1A89"/>
    <w:rsid w:val="007E1A97"/>
    <w:rsid w:val="007E1C4B"/>
    <w:rsid w:val="007E2024"/>
    <w:rsid w:val="007E2055"/>
    <w:rsid w:val="007E209C"/>
    <w:rsid w:val="007E2579"/>
    <w:rsid w:val="007E25BD"/>
    <w:rsid w:val="007E28FC"/>
    <w:rsid w:val="007E29D7"/>
    <w:rsid w:val="007E2C61"/>
    <w:rsid w:val="007E323C"/>
    <w:rsid w:val="007E3415"/>
    <w:rsid w:val="007E3456"/>
    <w:rsid w:val="007E3518"/>
    <w:rsid w:val="007E3560"/>
    <w:rsid w:val="007E357B"/>
    <w:rsid w:val="007E38EA"/>
    <w:rsid w:val="007E4264"/>
    <w:rsid w:val="007E4744"/>
    <w:rsid w:val="007E48A5"/>
    <w:rsid w:val="007E4B65"/>
    <w:rsid w:val="007E4BDC"/>
    <w:rsid w:val="007E4DFB"/>
    <w:rsid w:val="007E4E1B"/>
    <w:rsid w:val="007E4F1F"/>
    <w:rsid w:val="007E50F8"/>
    <w:rsid w:val="007E54AF"/>
    <w:rsid w:val="007E54EF"/>
    <w:rsid w:val="007E56DB"/>
    <w:rsid w:val="007E5783"/>
    <w:rsid w:val="007E586D"/>
    <w:rsid w:val="007E593E"/>
    <w:rsid w:val="007E5B17"/>
    <w:rsid w:val="007E5D73"/>
    <w:rsid w:val="007E5E50"/>
    <w:rsid w:val="007E5ED4"/>
    <w:rsid w:val="007E68F1"/>
    <w:rsid w:val="007E6AAC"/>
    <w:rsid w:val="007E6AF5"/>
    <w:rsid w:val="007E6C55"/>
    <w:rsid w:val="007E6C8A"/>
    <w:rsid w:val="007E6DDC"/>
    <w:rsid w:val="007E6F02"/>
    <w:rsid w:val="007E6FF9"/>
    <w:rsid w:val="007E751A"/>
    <w:rsid w:val="007E7667"/>
    <w:rsid w:val="007E7A3F"/>
    <w:rsid w:val="007E7B1D"/>
    <w:rsid w:val="007E7DCB"/>
    <w:rsid w:val="007F039B"/>
    <w:rsid w:val="007F03B9"/>
    <w:rsid w:val="007F03F8"/>
    <w:rsid w:val="007F0448"/>
    <w:rsid w:val="007F06E6"/>
    <w:rsid w:val="007F0806"/>
    <w:rsid w:val="007F0E11"/>
    <w:rsid w:val="007F0E4B"/>
    <w:rsid w:val="007F0FA9"/>
    <w:rsid w:val="007F1BB6"/>
    <w:rsid w:val="007F1F3B"/>
    <w:rsid w:val="007F23BD"/>
    <w:rsid w:val="007F254F"/>
    <w:rsid w:val="007F27C2"/>
    <w:rsid w:val="007F2973"/>
    <w:rsid w:val="007F2F2D"/>
    <w:rsid w:val="007F2FEA"/>
    <w:rsid w:val="007F32F2"/>
    <w:rsid w:val="007F331E"/>
    <w:rsid w:val="007F3344"/>
    <w:rsid w:val="007F336A"/>
    <w:rsid w:val="007F33DF"/>
    <w:rsid w:val="007F343E"/>
    <w:rsid w:val="007F3452"/>
    <w:rsid w:val="007F348B"/>
    <w:rsid w:val="007F37F9"/>
    <w:rsid w:val="007F39D7"/>
    <w:rsid w:val="007F3AAE"/>
    <w:rsid w:val="007F3EA7"/>
    <w:rsid w:val="007F3F00"/>
    <w:rsid w:val="007F4156"/>
    <w:rsid w:val="007F4439"/>
    <w:rsid w:val="007F46A7"/>
    <w:rsid w:val="007F4AB4"/>
    <w:rsid w:val="007F4C7F"/>
    <w:rsid w:val="007F4D66"/>
    <w:rsid w:val="007F4DD7"/>
    <w:rsid w:val="007F54E4"/>
    <w:rsid w:val="007F56CC"/>
    <w:rsid w:val="007F57CA"/>
    <w:rsid w:val="007F57EF"/>
    <w:rsid w:val="007F5963"/>
    <w:rsid w:val="007F5B84"/>
    <w:rsid w:val="007F603D"/>
    <w:rsid w:val="007F61E3"/>
    <w:rsid w:val="007F6399"/>
    <w:rsid w:val="007F6623"/>
    <w:rsid w:val="007F66D9"/>
    <w:rsid w:val="007F68D7"/>
    <w:rsid w:val="007F691A"/>
    <w:rsid w:val="007F6A8C"/>
    <w:rsid w:val="007F6B0E"/>
    <w:rsid w:val="007F6CA1"/>
    <w:rsid w:val="007F6DDA"/>
    <w:rsid w:val="007F74DB"/>
    <w:rsid w:val="007F785E"/>
    <w:rsid w:val="007F78B0"/>
    <w:rsid w:val="007F79C5"/>
    <w:rsid w:val="007F7A6A"/>
    <w:rsid w:val="007F7D78"/>
    <w:rsid w:val="007F7E92"/>
    <w:rsid w:val="007F7F68"/>
    <w:rsid w:val="007F7FCE"/>
    <w:rsid w:val="008000B2"/>
    <w:rsid w:val="00800116"/>
    <w:rsid w:val="008002AB"/>
    <w:rsid w:val="008002B9"/>
    <w:rsid w:val="008004DA"/>
    <w:rsid w:val="0080050C"/>
    <w:rsid w:val="00800CB3"/>
    <w:rsid w:val="00800E3C"/>
    <w:rsid w:val="00801474"/>
    <w:rsid w:val="008015D5"/>
    <w:rsid w:val="00801806"/>
    <w:rsid w:val="00801A0A"/>
    <w:rsid w:val="00801A78"/>
    <w:rsid w:val="00801B0E"/>
    <w:rsid w:val="00801B69"/>
    <w:rsid w:val="00801CA9"/>
    <w:rsid w:val="00801F90"/>
    <w:rsid w:val="00801FE2"/>
    <w:rsid w:val="00802027"/>
    <w:rsid w:val="0080206A"/>
    <w:rsid w:val="008020CF"/>
    <w:rsid w:val="00802375"/>
    <w:rsid w:val="008026A3"/>
    <w:rsid w:val="00802EDA"/>
    <w:rsid w:val="00802F54"/>
    <w:rsid w:val="00803162"/>
    <w:rsid w:val="00803220"/>
    <w:rsid w:val="0080334A"/>
    <w:rsid w:val="00803571"/>
    <w:rsid w:val="008035FE"/>
    <w:rsid w:val="0080367C"/>
    <w:rsid w:val="008036A7"/>
    <w:rsid w:val="008036ED"/>
    <w:rsid w:val="008038BD"/>
    <w:rsid w:val="0080390D"/>
    <w:rsid w:val="00803BDE"/>
    <w:rsid w:val="00803CEE"/>
    <w:rsid w:val="00803F6A"/>
    <w:rsid w:val="008040FA"/>
    <w:rsid w:val="008042E5"/>
    <w:rsid w:val="0080437A"/>
    <w:rsid w:val="008044CB"/>
    <w:rsid w:val="00804586"/>
    <w:rsid w:val="0080462D"/>
    <w:rsid w:val="0080478D"/>
    <w:rsid w:val="00804796"/>
    <w:rsid w:val="00804804"/>
    <w:rsid w:val="00804984"/>
    <w:rsid w:val="008049BB"/>
    <w:rsid w:val="00804A28"/>
    <w:rsid w:val="00804AE0"/>
    <w:rsid w:val="00804BDB"/>
    <w:rsid w:val="00804C13"/>
    <w:rsid w:val="00804D8B"/>
    <w:rsid w:val="00804D9C"/>
    <w:rsid w:val="00804EB6"/>
    <w:rsid w:val="00804F59"/>
    <w:rsid w:val="008050F7"/>
    <w:rsid w:val="008053C7"/>
    <w:rsid w:val="00805565"/>
    <w:rsid w:val="008056C5"/>
    <w:rsid w:val="008057A4"/>
    <w:rsid w:val="008057D0"/>
    <w:rsid w:val="00805DB3"/>
    <w:rsid w:val="00805F04"/>
    <w:rsid w:val="00805F57"/>
    <w:rsid w:val="00805FD4"/>
    <w:rsid w:val="00805FD9"/>
    <w:rsid w:val="00806355"/>
    <w:rsid w:val="0080636E"/>
    <w:rsid w:val="008065A4"/>
    <w:rsid w:val="008066E9"/>
    <w:rsid w:val="00806870"/>
    <w:rsid w:val="008068FC"/>
    <w:rsid w:val="00806B6C"/>
    <w:rsid w:val="00806DB5"/>
    <w:rsid w:val="00806F68"/>
    <w:rsid w:val="008071E1"/>
    <w:rsid w:val="00807201"/>
    <w:rsid w:val="008072A3"/>
    <w:rsid w:val="0080771C"/>
    <w:rsid w:val="0080785E"/>
    <w:rsid w:val="00807AAD"/>
    <w:rsid w:val="00807CB6"/>
    <w:rsid w:val="00807E5C"/>
    <w:rsid w:val="008100E9"/>
    <w:rsid w:val="008102A5"/>
    <w:rsid w:val="008102E9"/>
    <w:rsid w:val="008102EF"/>
    <w:rsid w:val="008103F3"/>
    <w:rsid w:val="00810449"/>
    <w:rsid w:val="00810566"/>
    <w:rsid w:val="008105C6"/>
    <w:rsid w:val="0081072C"/>
    <w:rsid w:val="008107C9"/>
    <w:rsid w:val="0081084C"/>
    <w:rsid w:val="00810A85"/>
    <w:rsid w:val="00810B4A"/>
    <w:rsid w:val="00810B4C"/>
    <w:rsid w:val="0081114D"/>
    <w:rsid w:val="008114B7"/>
    <w:rsid w:val="008114FA"/>
    <w:rsid w:val="008116B6"/>
    <w:rsid w:val="008118D7"/>
    <w:rsid w:val="0081192F"/>
    <w:rsid w:val="00811B64"/>
    <w:rsid w:val="00811C7C"/>
    <w:rsid w:val="008121B9"/>
    <w:rsid w:val="00812329"/>
    <w:rsid w:val="00812564"/>
    <w:rsid w:val="008128D4"/>
    <w:rsid w:val="00812AC1"/>
    <w:rsid w:val="00812B89"/>
    <w:rsid w:val="00812C7E"/>
    <w:rsid w:val="008130D6"/>
    <w:rsid w:val="00813120"/>
    <w:rsid w:val="008132AA"/>
    <w:rsid w:val="00813618"/>
    <w:rsid w:val="0081385D"/>
    <w:rsid w:val="00813A2F"/>
    <w:rsid w:val="00813A34"/>
    <w:rsid w:val="008143D1"/>
    <w:rsid w:val="008143EC"/>
    <w:rsid w:val="008143EE"/>
    <w:rsid w:val="0081443B"/>
    <w:rsid w:val="00814828"/>
    <w:rsid w:val="008148E5"/>
    <w:rsid w:val="00814977"/>
    <w:rsid w:val="008149B1"/>
    <w:rsid w:val="00814A87"/>
    <w:rsid w:val="00814BC8"/>
    <w:rsid w:val="00814C4B"/>
    <w:rsid w:val="00815049"/>
    <w:rsid w:val="0081519E"/>
    <w:rsid w:val="00815575"/>
    <w:rsid w:val="008155A2"/>
    <w:rsid w:val="00815602"/>
    <w:rsid w:val="0081560D"/>
    <w:rsid w:val="0081563A"/>
    <w:rsid w:val="00815651"/>
    <w:rsid w:val="0081598A"/>
    <w:rsid w:val="00815B4E"/>
    <w:rsid w:val="00815C40"/>
    <w:rsid w:val="008164D9"/>
    <w:rsid w:val="00816CCC"/>
    <w:rsid w:val="00817062"/>
    <w:rsid w:val="008171C5"/>
    <w:rsid w:val="0081764C"/>
    <w:rsid w:val="008176DF"/>
    <w:rsid w:val="00817FD4"/>
    <w:rsid w:val="0082003D"/>
    <w:rsid w:val="0082019B"/>
    <w:rsid w:val="008204E5"/>
    <w:rsid w:val="008208CA"/>
    <w:rsid w:val="00820A70"/>
    <w:rsid w:val="00820CBA"/>
    <w:rsid w:val="00820D26"/>
    <w:rsid w:val="0082101F"/>
    <w:rsid w:val="008211F2"/>
    <w:rsid w:val="008216A5"/>
    <w:rsid w:val="00821707"/>
    <w:rsid w:val="0082190D"/>
    <w:rsid w:val="00821A89"/>
    <w:rsid w:val="00821AC7"/>
    <w:rsid w:val="00821B4D"/>
    <w:rsid w:val="00821D67"/>
    <w:rsid w:val="00821E1A"/>
    <w:rsid w:val="00821F48"/>
    <w:rsid w:val="008221E2"/>
    <w:rsid w:val="008222B1"/>
    <w:rsid w:val="00822371"/>
    <w:rsid w:val="008223E4"/>
    <w:rsid w:val="0082251D"/>
    <w:rsid w:val="00822566"/>
    <w:rsid w:val="00822635"/>
    <w:rsid w:val="00822696"/>
    <w:rsid w:val="008226CE"/>
    <w:rsid w:val="00822C5B"/>
    <w:rsid w:val="00822CC8"/>
    <w:rsid w:val="00822F63"/>
    <w:rsid w:val="00823289"/>
    <w:rsid w:val="008234BB"/>
    <w:rsid w:val="008237B3"/>
    <w:rsid w:val="008238C8"/>
    <w:rsid w:val="00823A35"/>
    <w:rsid w:val="00823B9E"/>
    <w:rsid w:val="00823BA6"/>
    <w:rsid w:val="00823DFC"/>
    <w:rsid w:val="00823EE3"/>
    <w:rsid w:val="00823F3B"/>
    <w:rsid w:val="0082401F"/>
    <w:rsid w:val="00824559"/>
    <w:rsid w:val="008247E1"/>
    <w:rsid w:val="00824B22"/>
    <w:rsid w:val="008252EC"/>
    <w:rsid w:val="0082587C"/>
    <w:rsid w:val="00825971"/>
    <w:rsid w:val="00825A6E"/>
    <w:rsid w:val="00826029"/>
    <w:rsid w:val="00826250"/>
    <w:rsid w:val="008268BC"/>
    <w:rsid w:val="00826986"/>
    <w:rsid w:val="00826AD9"/>
    <w:rsid w:val="00826BE3"/>
    <w:rsid w:val="00826CA1"/>
    <w:rsid w:val="00827229"/>
    <w:rsid w:val="00827387"/>
    <w:rsid w:val="008275E9"/>
    <w:rsid w:val="008276AA"/>
    <w:rsid w:val="008277A8"/>
    <w:rsid w:val="008279E0"/>
    <w:rsid w:val="00827A9D"/>
    <w:rsid w:val="00827C35"/>
    <w:rsid w:val="00827CBF"/>
    <w:rsid w:val="00830058"/>
    <w:rsid w:val="0083089A"/>
    <w:rsid w:val="008309FB"/>
    <w:rsid w:val="00830E37"/>
    <w:rsid w:val="00830EE0"/>
    <w:rsid w:val="00830F89"/>
    <w:rsid w:val="008310C7"/>
    <w:rsid w:val="008312E1"/>
    <w:rsid w:val="00831333"/>
    <w:rsid w:val="008314EB"/>
    <w:rsid w:val="0083188B"/>
    <w:rsid w:val="00831A46"/>
    <w:rsid w:val="00831CEA"/>
    <w:rsid w:val="00831D3D"/>
    <w:rsid w:val="00831D4E"/>
    <w:rsid w:val="00831FD6"/>
    <w:rsid w:val="00832242"/>
    <w:rsid w:val="0083244B"/>
    <w:rsid w:val="0083256F"/>
    <w:rsid w:val="008325CF"/>
    <w:rsid w:val="008326EB"/>
    <w:rsid w:val="00832703"/>
    <w:rsid w:val="008327BC"/>
    <w:rsid w:val="00832824"/>
    <w:rsid w:val="00832B7B"/>
    <w:rsid w:val="00832C2D"/>
    <w:rsid w:val="00832DDB"/>
    <w:rsid w:val="00833031"/>
    <w:rsid w:val="008330F5"/>
    <w:rsid w:val="00833965"/>
    <w:rsid w:val="00833D92"/>
    <w:rsid w:val="00833F46"/>
    <w:rsid w:val="008343B1"/>
    <w:rsid w:val="00834674"/>
    <w:rsid w:val="00834705"/>
    <w:rsid w:val="00834774"/>
    <w:rsid w:val="0083481C"/>
    <w:rsid w:val="008348A3"/>
    <w:rsid w:val="00834C65"/>
    <w:rsid w:val="00834CBD"/>
    <w:rsid w:val="00834D89"/>
    <w:rsid w:val="008350F5"/>
    <w:rsid w:val="00835113"/>
    <w:rsid w:val="00835193"/>
    <w:rsid w:val="0083521D"/>
    <w:rsid w:val="00835802"/>
    <w:rsid w:val="0083594D"/>
    <w:rsid w:val="00835E76"/>
    <w:rsid w:val="00836319"/>
    <w:rsid w:val="0083643E"/>
    <w:rsid w:val="008364A7"/>
    <w:rsid w:val="0083655A"/>
    <w:rsid w:val="008367CE"/>
    <w:rsid w:val="00836818"/>
    <w:rsid w:val="00836887"/>
    <w:rsid w:val="008368A5"/>
    <w:rsid w:val="008369E8"/>
    <w:rsid w:val="00836A3A"/>
    <w:rsid w:val="00836CFE"/>
    <w:rsid w:val="00836D4D"/>
    <w:rsid w:val="00836D69"/>
    <w:rsid w:val="00836F29"/>
    <w:rsid w:val="00836FA0"/>
    <w:rsid w:val="00836FF6"/>
    <w:rsid w:val="00837111"/>
    <w:rsid w:val="0083746E"/>
    <w:rsid w:val="008377A3"/>
    <w:rsid w:val="008377CC"/>
    <w:rsid w:val="0083784E"/>
    <w:rsid w:val="00837B86"/>
    <w:rsid w:val="00837C49"/>
    <w:rsid w:val="00837CC9"/>
    <w:rsid w:val="00837EC5"/>
    <w:rsid w:val="00837F45"/>
    <w:rsid w:val="00840212"/>
    <w:rsid w:val="008403A2"/>
    <w:rsid w:val="00840665"/>
    <w:rsid w:val="00840850"/>
    <w:rsid w:val="00840B37"/>
    <w:rsid w:val="00840EDE"/>
    <w:rsid w:val="00840EE7"/>
    <w:rsid w:val="0084109D"/>
    <w:rsid w:val="00841234"/>
    <w:rsid w:val="0084131C"/>
    <w:rsid w:val="0084159E"/>
    <w:rsid w:val="00841BE9"/>
    <w:rsid w:val="0084220B"/>
    <w:rsid w:val="008422C5"/>
    <w:rsid w:val="008425BA"/>
    <w:rsid w:val="00842822"/>
    <w:rsid w:val="0084289D"/>
    <w:rsid w:val="008428BA"/>
    <w:rsid w:val="00842929"/>
    <w:rsid w:val="00842D4B"/>
    <w:rsid w:val="00842DAB"/>
    <w:rsid w:val="00842E66"/>
    <w:rsid w:val="0084325F"/>
    <w:rsid w:val="00843716"/>
    <w:rsid w:val="008438F1"/>
    <w:rsid w:val="008439D8"/>
    <w:rsid w:val="008441F0"/>
    <w:rsid w:val="0084426D"/>
    <w:rsid w:val="00844384"/>
    <w:rsid w:val="0084448C"/>
    <w:rsid w:val="0084462B"/>
    <w:rsid w:val="00844691"/>
    <w:rsid w:val="00844792"/>
    <w:rsid w:val="0084481F"/>
    <w:rsid w:val="008448BB"/>
    <w:rsid w:val="00844AC8"/>
    <w:rsid w:val="00844DD3"/>
    <w:rsid w:val="00844FF8"/>
    <w:rsid w:val="008450A0"/>
    <w:rsid w:val="0084519E"/>
    <w:rsid w:val="00845216"/>
    <w:rsid w:val="00845223"/>
    <w:rsid w:val="008454A1"/>
    <w:rsid w:val="008454A6"/>
    <w:rsid w:val="008454AD"/>
    <w:rsid w:val="00845949"/>
    <w:rsid w:val="00845AC5"/>
    <w:rsid w:val="00845AD2"/>
    <w:rsid w:val="00845C8F"/>
    <w:rsid w:val="00845D90"/>
    <w:rsid w:val="00845FB8"/>
    <w:rsid w:val="00846277"/>
    <w:rsid w:val="008463A1"/>
    <w:rsid w:val="008463A4"/>
    <w:rsid w:val="008464B3"/>
    <w:rsid w:val="00846713"/>
    <w:rsid w:val="00846A3D"/>
    <w:rsid w:val="0084703B"/>
    <w:rsid w:val="0084739A"/>
    <w:rsid w:val="008474D8"/>
    <w:rsid w:val="008475AD"/>
    <w:rsid w:val="008476B6"/>
    <w:rsid w:val="00847779"/>
    <w:rsid w:val="008477FD"/>
    <w:rsid w:val="008479CE"/>
    <w:rsid w:val="00847D46"/>
    <w:rsid w:val="00847FEC"/>
    <w:rsid w:val="0085005D"/>
    <w:rsid w:val="0085047E"/>
    <w:rsid w:val="008505F7"/>
    <w:rsid w:val="00850675"/>
    <w:rsid w:val="008508EC"/>
    <w:rsid w:val="00850954"/>
    <w:rsid w:val="00850A05"/>
    <w:rsid w:val="00850B29"/>
    <w:rsid w:val="00850C45"/>
    <w:rsid w:val="00850F26"/>
    <w:rsid w:val="00851241"/>
    <w:rsid w:val="00851580"/>
    <w:rsid w:val="00851855"/>
    <w:rsid w:val="00851868"/>
    <w:rsid w:val="00851A3C"/>
    <w:rsid w:val="00851C80"/>
    <w:rsid w:val="00851CB2"/>
    <w:rsid w:val="00851E40"/>
    <w:rsid w:val="00852113"/>
    <w:rsid w:val="00852136"/>
    <w:rsid w:val="0085220E"/>
    <w:rsid w:val="00852477"/>
    <w:rsid w:val="00852858"/>
    <w:rsid w:val="008528E4"/>
    <w:rsid w:val="00852BE4"/>
    <w:rsid w:val="00852D1C"/>
    <w:rsid w:val="00852DDF"/>
    <w:rsid w:val="00852EEC"/>
    <w:rsid w:val="008532E2"/>
    <w:rsid w:val="008533D4"/>
    <w:rsid w:val="0085340B"/>
    <w:rsid w:val="008535B8"/>
    <w:rsid w:val="008536A3"/>
    <w:rsid w:val="008537D8"/>
    <w:rsid w:val="00853921"/>
    <w:rsid w:val="00853977"/>
    <w:rsid w:val="00853CD1"/>
    <w:rsid w:val="00853EC6"/>
    <w:rsid w:val="0085423A"/>
    <w:rsid w:val="0085466F"/>
    <w:rsid w:val="008546E4"/>
    <w:rsid w:val="0085484E"/>
    <w:rsid w:val="008548A7"/>
    <w:rsid w:val="00854CA2"/>
    <w:rsid w:val="008552E7"/>
    <w:rsid w:val="00855574"/>
    <w:rsid w:val="00855A9D"/>
    <w:rsid w:val="00855AA5"/>
    <w:rsid w:val="00855DBA"/>
    <w:rsid w:val="00856376"/>
    <w:rsid w:val="0085643A"/>
    <w:rsid w:val="00856950"/>
    <w:rsid w:val="00856984"/>
    <w:rsid w:val="00856ACB"/>
    <w:rsid w:val="00856B45"/>
    <w:rsid w:val="00856EAD"/>
    <w:rsid w:val="00856FA3"/>
    <w:rsid w:val="0085706D"/>
    <w:rsid w:val="008570E1"/>
    <w:rsid w:val="00857218"/>
    <w:rsid w:val="0085721D"/>
    <w:rsid w:val="00857298"/>
    <w:rsid w:val="0085755B"/>
    <w:rsid w:val="00857651"/>
    <w:rsid w:val="00857709"/>
    <w:rsid w:val="00857862"/>
    <w:rsid w:val="0085798E"/>
    <w:rsid w:val="008603DE"/>
    <w:rsid w:val="00860637"/>
    <w:rsid w:val="00860642"/>
    <w:rsid w:val="0086065B"/>
    <w:rsid w:val="008606D3"/>
    <w:rsid w:val="008609E3"/>
    <w:rsid w:val="00860AAE"/>
    <w:rsid w:val="00860CDB"/>
    <w:rsid w:val="00860D6F"/>
    <w:rsid w:val="00860FAB"/>
    <w:rsid w:val="00861313"/>
    <w:rsid w:val="0086134A"/>
    <w:rsid w:val="00861357"/>
    <w:rsid w:val="00861541"/>
    <w:rsid w:val="008615C8"/>
    <w:rsid w:val="00861633"/>
    <w:rsid w:val="0086186E"/>
    <w:rsid w:val="00861928"/>
    <w:rsid w:val="00861AAC"/>
    <w:rsid w:val="00861B28"/>
    <w:rsid w:val="00861EB8"/>
    <w:rsid w:val="00861F09"/>
    <w:rsid w:val="00862202"/>
    <w:rsid w:val="008622AA"/>
    <w:rsid w:val="00862428"/>
    <w:rsid w:val="008626C6"/>
    <w:rsid w:val="008626D3"/>
    <w:rsid w:val="008628D0"/>
    <w:rsid w:val="00862AF0"/>
    <w:rsid w:val="00862C6F"/>
    <w:rsid w:val="00862C87"/>
    <w:rsid w:val="00862CE8"/>
    <w:rsid w:val="00862D58"/>
    <w:rsid w:val="00862E76"/>
    <w:rsid w:val="0086305E"/>
    <w:rsid w:val="00863884"/>
    <w:rsid w:val="0086394C"/>
    <w:rsid w:val="00863C8F"/>
    <w:rsid w:val="00863DC3"/>
    <w:rsid w:val="00863EF9"/>
    <w:rsid w:val="0086400F"/>
    <w:rsid w:val="008643DA"/>
    <w:rsid w:val="00864A80"/>
    <w:rsid w:val="00864D3B"/>
    <w:rsid w:val="00864FB3"/>
    <w:rsid w:val="00865257"/>
    <w:rsid w:val="0086591F"/>
    <w:rsid w:val="00865C3E"/>
    <w:rsid w:val="00865CD4"/>
    <w:rsid w:val="00865D3F"/>
    <w:rsid w:val="00865EBE"/>
    <w:rsid w:val="00865F50"/>
    <w:rsid w:val="00865FB9"/>
    <w:rsid w:val="00866285"/>
    <w:rsid w:val="00866454"/>
    <w:rsid w:val="008666DE"/>
    <w:rsid w:val="00866921"/>
    <w:rsid w:val="0086698E"/>
    <w:rsid w:val="00866F45"/>
    <w:rsid w:val="00866FA3"/>
    <w:rsid w:val="0086708A"/>
    <w:rsid w:val="0086708E"/>
    <w:rsid w:val="0086725F"/>
    <w:rsid w:val="0086729C"/>
    <w:rsid w:val="008672EE"/>
    <w:rsid w:val="0086736B"/>
    <w:rsid w:val="0086752B"/>
    <w:rsid w:val="00867547"/>
    <w:rsid w:val="00867589"/>
    <w:rsid w:val="008677FB"/>
    <w:rsid w:val="0086784B"/>
    <w:rsid w:val="00867C50"/>
    <w:rsid w:val="0087011A"/>
    <w:rsid w:val="00870239"/>
    <w:rsid w:val="008706D5"/>
    <w:rsid w:val="008708A5"/>
    <w:rsid w:val="008708C7"/>
    <w:rsid w:val="008709B7"/>
    <w:rsid w:val="008709D5"/>
    <w:rsid w:val="00870CB4"/>
    <w:rsid w:val="0087114A"/>
    <w:rsid w:val="008711B1"/>
    <w:rsid w:val="00871221"/>
    <w:rsid w:val="008712F1"/>
    <w:rsid w:val="00871320"/>
    <w:rsid w:val="008715E6"/>
    <w:rsid w:val="008715F4"/>
    <w:rsid w:val="00871750"/>
    <w:rsid w:val="00871DFA"/>
    <w:rsid w:val="00871EB2"/>
    <w:rsid w:val="008720A7"/>
    <w:rsid w:val="00872233"/>
    <w:rsid w:val="008723C6"/>
    <w:rsid w:val="008723D3"/>
    <w:rsid w:val="0087244D"/>
    <w:rsid w:val="008724AE"/>
    <w:rsid w:val="00872790"/>
    <w:rsid w:val="0087289A"/>
    <w:rsid w:val="008728A1"/>
    <w:rsid w:val="008728A8"/>
    <w:rsid w:val="008729EE"/>
    <w:rsid w:val="00872B62"/>
    <w:rsid w:val="00872BA7"/>
    <w:rsid w:val="00872DDF"/>
    <w:rsid w:val="00872EE9"/>
    <w:rsid w:val="00872F0B"/>
    <w:rsid w:val="008731F0"/>
    <w:rsid w:val="008732E9"/>
    <w:rsid w:val="0087339E"/>
    <w:rsid w:val="008734E7"/>
    <w:rsid w:val="00873C27"/>
    <w:rsid w:val="00873C4F"/>
    <w:rsid w:val="0087415F"/>
    <w:rsid w:val="008743C9"/>
    <w:rsid w:val="008744B7"/>
    <w:rsid w:val="00874564"/>
    <w:rsid w:val="008745C6"/>
    <w:rsid w:val="008746AC"/>
    <w:rsid w:val="008747FF"/>
    <w:rsid w:val="0087496E"/>
    <w:rsid w:val="00874A7C"/>
    <w:rsid w:val="00874AA7"/>
    <w:rsid w:val="00874B4F"/>
    <w:rsid w:val="00874BF0"/>
    <w:rsid w:val="00874F1C"/>
    <w:rsid w:val="00875422"/>
    <w:rsid w:val="00875579"/>
    <w:rsid w:val="008755B4"/>
    <w:rsid w:val="0087594D"/>
    <w:rsid w:val="00875B32"/>
    <w:rsid w:val="00875D6B"/>
    <w:rsid w:val="0087604A"/>
    <w:rsid w:val="0087646B"/>
    <w:rsid w:val="0087658B"/>
    <w:rsid w:val="008767A9"/>
    <w:rsid w:val="008767E3"/>
    <w:rsid w:val="00876B18"/>
    <w:rsid w:val="00876B75"/>
    <w:rsid w:val="00876BD0"/>
    <w:rsid w:val="00876E5E"/>
    <w:rsid w:val="00876FA5"/>
    <w:rsid w:val="00877118"/>
    <w:rsid w:val="00877189"/>
    <w:rsid w:val="008775EF"/>
    <w:rsid w:val="0087793D"/>
    <w:rsid w:val="00877FF6"/>
    <w:rsid w:val="0088005A"/>
    <w:rsid w:val="00880276"/>
    <w:rsid w:val="0088043B"/>
    <w:rsid w:val="00880A1A"/>
    <w:rsid w:val="00880AFB"/>
    <w:rsid w:val="00880B11"/>
    <w:rsid w:val="00880D30"/>
    <w:rsid w:val="00880ECC"/>
    <w:rsid w:val="00880FA7"/>
    <w:rsid w:val="008810D9"/>
    <w:rsid w:val="0088120F"/>
    <w:rsid w:val="00881288"/>
    <w:rsid w:val="0088151E"/>
    <w:rsid w:val="00881555"/>
    <w:rsid w:val="008817AF"/>
    <w:rsid w:val="00881801"/>
    <w:rsid w:val="00881A64"/>
    <w:rsid w:val="00881BD9"/>
    <w:rsid w:val="00881EE5"/>
    <w:rsid w:val="00882053"/>
    <w:rsid w:val="0088227C"/>
    <w:rsid w:val="008824DE"/>
    <w:rsid w:val="00882528"/>
    <w:rsid w:val="00882531"/>
    <w:rsid w:val="00882555"/>
    <w:rsid w:val="0088285E"/>
    <w:rsid w:val="00882E3F"/>
    <w:rsid w:val="00882EBD"/>
    <w:rsid w:val="00883181"/>
    <w:rsid w:val="00883368"/>
    <w:rsid w:val="0088357A"/>
    <w:rsid w:val="008835FA"/>
    <w:rsid w:val="0088392E"/>
    <w:rsid w:val="008839B0"/>
    <w:rsid w:val="00883E1D"/>
    <w:rsid w:val="00883F7A"/>
    <w:rsid w:val="00883F85"/>
    <w:rsid w:val="00884374"/>
    <w:rsid w:val="008843AB"/>
    <w:rsid w:val="00884407"/>
    <w:rsid w:val="008846C7"/>
    <w:rsid w:val="0088482E"/>
    <w:rsid w:val="00884854"/>
    <w:rsid w:val="00884BC3"/>
    <w:rsid w:val="00884C49"/>
    <w:rsid w:val="00885663"/>
    <w:rsid w:val="00885A50"/>
    <w:rsid w:val="00886295"/>
    <w:rsid w:val="00886384"/>
    <w:rsid w:val="00886A3A"/>
    <w:rsid w:val="00886C2F"/>
    <w:rsid w:val="00886FA3"/>
    <w:rsid w:val="008871EE"/>
    <w:rsid w:val="00887244"/>
    <w:rsid w:val="00887643"/>
    <w:rsid w:val="0088764A"/>
    <w:rsid w:val="0088770A"/>
    <w:rsid w:val="00887EB8"/>
    <w:rsid w:val="00890000"/>
    <w:rsid w:val="0089019B"/>
    <w:rsid w:val="00890214"/>
    <w:rsid w:val="008903CD"/>
    <w:rsid w:val="0089045B"/>
    <w:rsid w:val="0089047F"/>
    <w:rsid w:val="008904DA"/>
    <w:rsid w:val="00890508"/>
    <w:rsid w:val="00890743"/>
    <w:rsid w:val="008909C9"/>
    <w:rsid w:val="00890A5E"/>
    <w:rsid w:val="00890BA1"/>
    <w:rsid w:val="00890D03"/>
    <w:rsid w:val="00890D26"/>
    <w:rsid w:val="00890D90"/>
    <w:rsid w:val="008910CF"/>
    <w:rsid w:val="008910EF"/>
    <w:rsid w:val="0089130F"/>
    <w:rsid w:val="008917CC"/>
    <w:rsid w:val="00891A0C"/>
    <w:rsid w:val="00891D19"/>
    <w:rsid w:val="00891D82"/>
    <w:rsid w:val="00891E49"/>
    <w:rsid w:val="00892A2D"/>
    <w:rsid w:val="00892A6B"/>
    <w:rsid w:val="00892E0C"/>
    <w:rsid w:val="00892FAD"/>
    <w:rsid w:val="008930F3"/>
    <w:rsid w:val="00893122"/>
    <w:rsid w:val="00893286"/>
    <w:rsid w:val="008934A1"/>
    <w:rsid w:val="008934BD"/>
    <w:rsid w:val="008939E4"/>
    <w:rsid w:val="00893A4A"/>
    <w:rsid w:val="00893F40"/>
    <w:rsid w:val="00894126"/>
    <w:rsid w:val="0089426C"/>
    <w:rsid w:val="0089439E"/>
    <w:rsid w:val="00894837"/>
    <w:rsid w:val="00894CA1"/>
    <w:rsid w:val="00894DF1"/>
    <w:rsid w:val="00894DF9"/>
    <w:rsid w:val="0089528E"/>
    <w:rsid w:val="008953CA"/>
    <w:rsid w:val="00895487"/>
    <w:rsid w:val="008954C7"/>
    <w:rsid w:val="00895639"/>
    <w:rsid w:val="00895643"/>
    <w:rsid w:val="0089577C"/>
    <w:rsid w:val="00895951"/>
    <w:rsid w:val="008959E7"/>
    <w:rsid w:val="00895AC8"/>
    <w:rsid w:val="00895C2B"/>
    <w:rsid w:val="00895E4B"/>
    <w:rsid w:val="00895F76"/>
    <w:rsid w:val="00895FD4"/>
    <w:rsid w:val="0089612B"/>
    <w:rsid w:val="008963E1"/>
    <w:rsid w:val="008965E0"/>
    <w:rsid w:val="00896657"/>
    <w:rsid w:val="00896982"/>
    <w:rsid w:val="008970C6"/>
    <w:rsid w:val="008970F6"/>
    <w:rsid w:val="00897476"/>
    <w:rsid w:val="0089758C"/>
    <w:rsid w:val="00897784"/>
    <w:rsid w:val="00897B56"/>
    <w:rsid w:val="00897BAD"/>
    <w:rsid w:val="00897E36"/>
    <w:rsid w:val="00897F18"/>
    <w:rsid w:val="008A05D9"/>
    <w:rsid w:val="008A0790"/>
    <w:rsid w:val="008A082D"/>
    <w:rsid w:val="008A0845"/>
    <w:rsid w:val="008A0BBF"/>
    <w:rsid w:val="008A0C6A"/>
    <w:rsid w:val="008A16F7"/>
    <w:rsid w:val="008A16F9"/>
    <w:rsid w:val="008A173E"/>
    <w:rsid w:val="008A187E"/>
    <w:rsid w:val="008A1A87"/>
    <w:rsid w:val="008A216B"/>
    <w:rsid w:val="008A2972"/>
    <w:rsid w:val="008A29C2"/>
    <w:rsid w:val="008A2A8E"/>
    <w:rsid w:val="008A2C6D"/>
    <w:rsid w:val="008A2EB2"/>
    <w:rsid w:val="008A2ED4"/>
    <w:rsid w:val="008A3111"/>
    <w:rsid w:val="008A311B"/>
    <w:rsid w:val="008A31D9"/>
    <w:rsid w:val="008A3283"/>
    <w:rsid w:val="008A329C"/>
    <w:rsid w:val="008A3680"/>
    <w:rsid w:val="008A36EB"/>
    <w:rsid w:val="008A3C8E"/>
    <w:rsid w:val="008A4360"/>
    <w:rsid w:val="008A4982"/>
    <w:rsid w:val="008A4A55"/>
    <w:rsid w:val="008A4AE0"/>
    <w:rsid w:val="008A511A"/>
    <w:rsid w:val="008A51CB"/>
    <w:rsid w:val="008A5D5E"/>
    <w:rsid w:val="008A5DE9"/>
    <w:rsid w:val="008A5F8E"/>
    <w:rsid w:val="008A601A"/>
    <w:rsid w:val="008A6235"/>
    <w:rsid w:val="008A624A"/>
    <w:rsid w:val="008A63B1"/>
    <w:rsid w:val="008A63EB"/>
    <w:rsid w:val="008A6486"/>
    <w:rsid w:val="008A6543"/>
    <w:rsid w:val="008A6558"/>
    <w:rsid w:val="008A6654"/>
    <w:rsid w:val="008A672C"/>
    <w:rsid w:val="008A6B0B"/>
    <w:rsid w:val="008A6C17"/>
    <w:rsid w:val="008A6C3A"/>
    <w:rsid w:val="008A6C6E"/>
    <w:rsid w:val="008A6E32"/>
    <w:rsid w:val="008A6E9B"/>
    <w:rsid w:val="008A6FC6"/>
    <w:rsid w:val="008A708A"/>
    <w:rsid w:val="008A7124"/>
    <w:rsid w:val="008A725C"/>
    <w:rsid w:val="008A7273"/>
    <w:rsid w:val="008A7740"/>
    <w:rsid w:val="008A783F"/>
    <w:rsid w:val="008A78CC"/>
    <w:rsid w:val="008A7928"/>
    <w:rsid w:val="008A7DCF"/>
    <w:rsid w:val="008A7FFE"/>
    <w:rsid w:val="008B02E2"/>
    <w:rsid w:val="008B0487"/>
    <w:rsid w:val="008B0513"/>
    <w:rsid w:val="008B085C"/>
    <w:rsid w:val="008B09D5"/>
    <w:rsid w:val="008B0CC7"/>
    <w:rsid w:val="008B0EE3"/>
    <w:rsid w:val="008B14B2"/>
    <w:rsid w:val="008B1C7A"/>
    <w:rsid w:val="008B1F11"/>
    <w:rsid w:val="008B1FBF"/>
    <w:rsid w:val="008B2239"/>
    <w:rsid w:val="008B240F"/>
    <w:rsid w:val="008B2502"/>
    <w:rsid w:val="008B255D"/>
    <w:rsid w:val="008B2779"/>
    <w:rsid w:val="008B281D"/>
    <w:rsid w:val="008B2948"/>
    <w:rsid w:val="008B2A5A"/>
    <w:rsid w:val="008B2A7F"/>
    <w:rsid w:val="008B2EB9"/>
    <w:rsid w:val="008B3025"/>
    <w:rsid w:val="008B35FD"/>
    <w:rsid w:val="008B366D"/>
    <w:rsid w:val="008B3824"/>
    <w:rsid w:val="008B386A"/>
    <w:rsid w:val="008B38E4"/>
    <w:rsid w:val="008B3963"/>
    <w:rsid w:val="008B3AC5"/>
    <w:rsid w:val="008B3AE0"/>
    <w:rsid w:val="008B3DD1"/>
    <w:rsid w:val="008B426C"/>
    <w:rsid w:val="008B4364"/>
    <w:rsid w:val="008B43D7"/>
    <w:rsid w:val="008B46AB"/>
    <w:rsid w:val="008B476E"/>
    <w:rsid w:val="008B4803"/>
    <w:rsid w:val="008B4855"/>
    <w:rsid w:val="008B49B4"/>
    <w:rsid w:val="008B4A1C"/>
    <w:rsid w:val="008B4FF0"/>
    <w:rsid w:val="008B53CA"/>
    <w:rsid w:val="008B5525"/>
    <w:rsid w:val="008B569A"/>
    <w:rsid w:val="008B56E4"/>
    <w:rsid w:val="008B5866"/>
    <w:rsid w:val="008B590A"/>
    <w:rsid w:val="008B5982"/>
    <w:rsid w:val="008B5A0E"/>
    <w:rsid w:val="008B5C40"/>
    <w:rsid w:val="008B5D8B"/>
    <w:rsid w:val="008B628E"/>
    <w:rsid w:val="008B6538"/>
    <w:rsid w:val="008B6726"/>
    <w:rsid w:val="008B672E"/>
    <w:rsid w:val="008B6A82"/>
    <w:rsid w:val="008B6C1C"/>
    <w:rsid w:val="008B6CA5"/>
    <w:rsid w:val="008B6D38"/>
    <w:rsid w:val="008B6DD0"/>
    <w:rsid w:val="008B6EAE"/>
    <w:rsid w:val="008B6FB3"/>
    <w:rsid w:val="008B70B2"/>
    <w:rsid w:val="008B72CB"/>
    <w:rsid w:val="008B7550"/>
    <w:rsid w:val="008B762A"/>
    <w:rsid w:val="008B7661"/>
    <w:rsid w:val="008B7808"/>
    <w:rsid w:val="008B789E"/>
    <w:rsid w:val="008B795D"/>
    <w:rsid w:val="008B7A56"/>
    <w:rsid w:val="008B7CEA"/>
    <w:rsid w:val="008B7E7A"/>
    <w:rsid w:val="008B7FDF"/>
    <w:rsid w:val="008C00A3"/>
    <w:rsid w:val="008C04F2"/>
    <w:rsid w:val="008C0761"/>
    <w:rsid w:val="008C0BE3"/>
    <w:rsid w:val="008C15AE"/>
    <w:rsid w:val="008C170E"/>
    <w:rsid w:val="008C1751"/>
    <w:rsid w:val="008C1879"/>
    <w:rsid w:val="008C1B51"/>
    <w:rsid w:val="008C1EB4"/>
    <w:rsid w:val="008C1EBA"/>
    <w:rsid w:val="008C1EDA"/>
    <w:rsid w:val="008C2111"/>
    <w:rsid w:val="008C219B"/>
    <w:rsid w:val="008C2355"/>
    <w:rsid w:val="008C2429"/>
    <w:rsid w:val="008C247D"/>
    <w:rsid w:val="008C2498"/>
    <w:rsid w:val="008C2C53"/>
    <w:rsid w:val="008C2D40"/>
    <w:rsid w:val="008C305D"/>
    <w:rsid w:val="008C3795"/>
    <w:rsid w:val="008C3A50"/>
    <w:rsid w:val="008C3B61"/>
    <w:rsid w:val="008C3CF0"/>
    <w:rsid w:val="008C3D04"/>
    <w:rsid w:val="008C3DAF"/>
    <w:rsid w:val="008C3EC6"/>
    <w:rsid w:val="008C3EF9"/>
    <w:rsid w:val="008C40A5"/>
    <w:rsid w:val="008C40CC"/>
    <w:rsid w:val="008C4476"/>
    <w:rsid w:val="008C45A7"/>
    <w:rsid w:val="008C46AF"/>
    <w:rsid w:val="008C4C58"/>
    <w:rsid w:val="008C4E89"/>
    <w:rsid w:val="008C4F44"/>
    <w:rsid w:val="008C5218"/>
    <w:rsid w:val="008C5529"/>
    <w:rsid w:val="008C5B92"/>
    <w:rsid w:val="008C5D39"/>
    <w:rsid w:val="008C5E54"/>
    <w:rsid w:val="008C5F0F"/>
    <w:rsid w:val="008C61A9"/>
    <w:rsid w:val="008C631D"/>
    <w:rsid w:val="008C63C5"/>
    <w:rsid w:val="008C64D9"/>
    <w:rsid w:val="008C6BFB"/>
    <w:rsid w:val="008C7056"/>
    <w:rsid w:val="008C72C8"/>
    <w:rsid w:val="008C7335"/>
    <w:rsid w:val="008C7496"/>
    <w:rsid w:val="008C75A0"/>
    <w:rsid w:val="008C78D6"/>
    <w:rsid w:val="008C7911"/>
    <w:rsid w:val="008C7C96"/>
    <w:rsid w:val="008C7D8F"/>
    <w:rsid w:val="008D0240"/>
    <w:rsid w:val="008D03D2"/>
    <w:rsid w:val="008D03D5"/>
    <w:rsid w:val="008D0C9C"/>
    <w:rsid w:val="008D0D22"/>
    <w:rsid w:val="008D0DB7"/>
    <w:rsid w:val="008D0E0B"/>
    <w:rsid w:val="008D0F05"/>
    <w:rsid w:val="008D0F20"/>
    <w:rsid w:val="008D0F3F"/>
    <w:rsid w:val="008D107D"/>
    <w:rsid w:val="008D10AD"/>
    <w:rsid w:val="008D1269"/>
    <w:rsid w:val="008D1270"/>
    <w:rsid w:val="008D154D"/>
    <w:rsid w:val="008D1864"/>
    <w:rsid w:val="008D1896"/>
    <w:rsid w:val="008D19B4"/>
    <w:rsid w:val="008D1C23"/>
    <w:rsid w:val="008D1E92"/>
    <w:rsid w:val="008D1ED8"/>
    <w:rsid w:val="008D2065"/>
    <w:rsid w:val="008D238A"/>
    <w:rsid w:val="008D2403"/>
    <w:rsid w:val="008D278E"/>
    <w:rsid w:val="008D2836"/>
    <w:rsid w:val="008D2B09"/>
    <w:rsid w:val="008D2C84"/>
    <w:rsid w:val="008D2CA1"/>
    <w:rsid w:val="008D2D67"/>
    <w:rsid w:val="008D3152"/>
    <w:rsid w:val="008D34DB"/>
    <w:rsid w:val="008D3683"/>
    <w:rsid w:val="008D382E"/>
    <w:rsid w:val="008D3E2D"/>
    <w:rsid w:val="008D4115"/>
    <w:rsid w:val="008D450C"/>
    <w:rsid w:val="008D4692"/>
    <w:rsid w:val="008D475E"/>
    <w:rsid w:val="008D4872"/>
    <w:rsid w:val="008D4EA2"/>
    <w:rsid w:val="008D50EF"/>
    <w:rsid w:val="008D5105"/>
    <w:rsid w:val="008D51F3"/>
    <w:rsid w:val="008D5370"/>
    <w:rsid w:val="008D53F1"/>
    <w:rsid w:val="008D5657"/>
    <w:rsid w:val="008D5860"/>
    <w:rsid w:val="008D5910"/>
    <w:rsid w:val="008D598F"/>
    <w:rsid w:val="008D5A4A"/>
    <w:rsid w:val="008D5BEC"/>
    <w:rsid w:val="008D5D0D"/>
    <w:rsid w:val="008D5D51"/>
    <w:rsid w:val="008D5E52"/>
    <w:rsid w:val="008D61D6"/>
    <w:rsid w:val="008D64FC"/>
    <w:rsid w:val="008D6631"/>
    <w:rsid w:val="008D6A28"/>
    <w:rsid w:val="008D6A56"/>
    <w:rsid w:val="008D6E2B"/>
    <w:rsid w:val="008D7239"/>
    <w:rsid w:val="008D7304"/>
    <w:rsid w:val="008D749E"/>
    <w:rsid w:val="008D7769"/>
    <w:rsid w:val="008D788D"/>
    <w:rsid w:val="008D7929"/>
    <w:rsid w:val="008D79DA"/>
    <w:rsid w:val="008D7A55"/>
    <w:rsid w:val="008D7B59"/>
    <w:rsid w:val="008D7C58"/>
    <w:rsid w:val="008D7D8B"/>
    <w:rsid w:val="008D7DE9"/>
    <w:rsid w:val="008D7EBB"/>
    <w:rsid w:val="008D7F75"/>
    <w:rsid w:val="008E0044"/>
    <w:rsid w:val="008E017B"/>
    <w:rsid w:val="008E02CF"/>
    <w:rsid w:val="008E038D"/>
    <w:rsid w:val="008E038E"/>
    <w:rsid w:val="008E0453"/>
    <w:rsid w:val="008E0473"/>
    <w:rsid w:val="008E060F"/>
    <w:rsid w:val="008E075B"/>
    <w:rsid w:val="008E078C"/>
    <w:rsid w:val="008E0BFA"/>
    <w:rsid w:val="008E0EAA"/>
    <w:rsid w:val="008E0F32"/>
    <w:rsid w:val="008E10E1"/>
    <w:rsid w:val="008E13E3"/>
    <w:rsid w:val="008E13F7"/>
    <w:rsid w:val="008E1477"/>
    <w:rsid w:val="008E15D6"/>
    <w:rsid w:val="008E169B"/>
    <w:rsid w:val="008E16DF"/>
    <w:rsid w:val="008E1B0D"/>
    <w:rsid w:val="008E1DB8"/>
    <w:rsid w:val="008E21CA"/>
    <w:rsid w:val="008E21E1"/>
    <w:rsid w:val="008E24BF"/>
    <w:rsid w:val="008E24D4"/>
    <w:rsid w:val="008E27AC"/>
    <w:rsid w:val="008E2830"/>
    <w:rsid w:val="008E2934"/>
    <w:rsid w:val="008E29C7"/>
    <w:rsid w:val="008E2B47"/>
    <w:rsid w:val="008E2E1E"/>
    <w:rsid w:val="008E3073"/>
    <w:rsid w:val="008E3368"/>
    <w:rsid w:val="008E33CF"/>
    <w:rsid w:val="008E37DD"/>
    <w:rsid w:val="008E3997"/>
    <w:rsid w:val="008E3A39"/>
    <w:rsid w:val="008E3B4F"/>
    <w:rsid w:val="008E3B55"/>
    <w:rsid w:val="008E3CD3"/>
    <w:rsid w:val="008E40E9"/>
    <w:rsid w:val="008E42ED"/>
    <w:rsid w:val="008E4319"/>
    <w:rsid w:val="008E4510"/>
    <w:rsid w:val="008E47AF"/>
    <w:rsid w:val="008E4837"/>
    <w:rsid w:val="008E4A2E"/>
    <w:rsid w:val="008E4F06"/>
    <w:rsid w:val="008E51AA"/>
    <w:rsid w:val="008E5321"/>
    <w:rsid w:val="008E53AC"/>
    <w:rsid w:val="008E56ED"/>
    <w:rsid w:val="008E5716"/>
    <w:rsid w:val="008E5A8B"/>
    <w:rsid w:val="008E5AE6"/>
    <w:rsid w:val="008E5C5B"/>
    <w:rsid w:val="008E5D28"/>
    <w:rsid w:val="008E5F15"/>
    <w:rsid w:val="008E60EB"/>
    <w:rsid w:val="008E647B"/>
    <w:rsid w:val="008E649C"/>
    <w:rsid w:val="008E66EC"/>
    <w:rsid w:val="008E6E13"/>
    <w:rsid w:val="008E7001"/>
    <w:rsid w:val="008E7268"/>
    <w:rsid w:val="008E7470"/>
    <w:rsid w:val="008E769F"/>
    <w:rsid w:val="008E7C61"/>
    <w:rsid w:val="008E7F07"/>
    <w:rsid w:val="008E7F18"/>
    <w:rsid w:val="008E7FA5"/>
    <w:rsid w:val="008F022B"/>
    <w:rsid w:val="008F034E"/>
    <w:rsid w:val="008F087B"/>
    <w:rsid w:val="008F094A"/>
    <w:rsid w:val="008F0A56"/>
    <w:rsid w:val="008F0CBD"/>
    <w:rsid w:val="008F0DA6"/>
    <w:rsid w:val="008F0FA1"/>
    <w:rsid w:val="008F101C"/>
    <w:rsid w:val="008F1171"/>
    <w:rsid w:val="008F11CE"/>
    <w:rsid w:val="008F124B"/>
    <w:rsid w:val="008F1B13"/>
    <w:rsid w:val="008F1E28"/>
    <w:rsid w:val="008F1E7E"/>
    <w:rsid w:val="008F227E"/>
    <w:rsid w:val="008F2405"/>
    <w:rsid w:val="008F2656"/>
    <w:rsid w:val="008F2738"/>
    <w:rsid w:val="008F2788"/>
    <w:rsid w:val="008F2863"/>
    <w:rsid w:val="008F29D9"/>
    <w:rsid w:val="008F314C"/>
    <w:rsid w:val="008F31E0"/>
    <w:rsid w:val="008F32B0"/>
    <w:rsid w:val="008F33CE"/>
    <w:rsid w:val="008F33E5"/>
    <w:rsid w:val="008F33FA"/>
    <w:rsid w:val="008F3484"/>
    <w:rsid w:val="008F357A"/>
    <w:rsid w:val="008F38C6"/>
    <w:rsid w:val="008F3958"/>
    <w:rsid w:val="008F3A25"/>
    <w:rsid w:val="008F3B6A"/>
    <w:rsid w:val="008F3D79"/>
    <w:rsid w:val="008F434A"/>
    <w:rsid w:val="008F4622"/>
    <w:rsid w:val="008F4B6D"/>
    <w:rsid w:val="008F4CFC"/>
    <w:rsid w:val="008F4DC6"/>
    <w:rsid w:val="008F4EBC"/>
    <w:rsid w:val="008F5026"/>
    <w:rsid w:val="008F50B6"/>
    <w:rsid w:val="008F5104"/>
    <w:rsid w:val="008F5108"/>
    <w:rsid w:val="008F5119"/>
    <w:rsid w:val="008F5367"/>
    <w:rsid w:val="008F55C6"/>
    <w:rsid w:val="008F567F"/>
    <w:rsid w:val="008F587C"/>
    <w:rsid w:val="008F59EC"/>
    <w:rsid w:val="008F5A58"/>
    <w:rsid w:val="008F5BC4"/>
    <w:rsid w:val="008F5C46"/>
    <w:rsid w:val="008F6061"/>
    <w:rsid w:val="008F61EA"/>
    <w:rsid w:val="008F625E"/>
    <w:rsid w:val="008F6287"/>
    <w:rsid w:val="008F62A2"/>
    <w:rsid w:val="008F6478"/>
    <w:rsid w:val="008F6626"/>
    <w:rsid w:val="008F6925"/>
    <w:rsid w:val="008F6E38"/>
    <w:rsid w:val="008F6F4F"/>
    <w:rsid w:val="008F6FD3"/>
    <w:rsid w:val="008F7051"/>
    <w:rsid w:val="008F7077"/>
    <w:rsid w:val="008F71DD"/>
    <w:rsid w:val="008F7654"/>
    <w:rsid w:val="008F788E"/>
    <w:rsid w:val="008F7E47"/>
    <w:rsid w:val="00900429"/>
    <w:rsid w:val="00900589"/>
    <w:rsid w:val="00900623"/>
    <w:rsid w:val="0090086C"/>
    <w:rsid w:val="009008F6"/>
    <w:rsid w:val="00900A32"/>
    <w:rsid w:val="00900A63"/>
    <w:rsid w:val="00900BAB"/>
    <w:rsid w:val="00900C28"/>
    <w:rsid w:val="00900D56"/>
    <w:rsid w:val="00900FEC"/>
    <w:rsid w:val="00901015"/>
    <w:rsid w:val="009011F5"/>
    <w:rsid w:val="0090144E"/>
    <w:rsid w:val="00901476"/>
    <w:rsid w:val="00901637"/>
    <w:rsid w:val="00901650"/>
    <w:rsid w:val="009016FA"/>
    <w:rsid w:val="00901850"/>
    <w:rsid w:val="00901AD9"/>
    <w:rsid w:val="00901B97"/>
    <w:rsid w:val="00901BA6"/>
    <w:rsid w:val="00901DAC"/>
    <w:rsid w:val="00901EDC"/>
    <w:rsid w:val="00901F9C"/>
    <w:rsid w:val="00902343"/>
    <w:rsid w:val="00902544"/>
    <w:rsid w:val="00902865"/>
    <w:rsid w:val="00902905"/>
    <w:rsid w:val="00902ADE"/>
    <w:rsid w:val="00902BBB"/>
    <w:rsid w:val="00902CCA"/>
    <w:rsid w:val="00902CF5"/>
    <w:rsid w:val="0090319B"/>
    <w:rsid w:val="009031D6"/>
    <w:rsid w:val="0090321D"/>
    <w:rsid w:val="00903290"/>
    <w:rsid w:val="0090382B"/>
    <w:rsid w:val="00903901"/>
    <w:rsid w:val="0090393E"/>
    <w:rsid w:val="00903A7B"/>
    <w:rsid w:val="00903B16"/>
    <w:rsid w:val="00903EB8"/>
    <w:rsid w:val="00903FAB"/>
    <w:rsid w:val="009041EB"/>
    <w:rsid w:val="0090429C"/>
    <w:rsid w:val="00904624"/>
    <w:rsid w:val="009046A3"/>
    <w:rsid w:val="0090473D"/>
    <w:rsid w:val="009047A0"/>
    <w:rsid w:val="00904B57"/>
    <w:rsid w:val="00904EE8"/>
    <w:rsid w:val="009052CF"/>
    <w:rsid w:val="009053F5"/>
    <w:rsid w:val="009056D2"/>
    <w:rsid w:val="0090571B"/>
    <w:rsid w:val="009057A1"/>
    <w:rsid w:val="009058FA"/>
    <w:rsid w:val="009059FE"/>
    <w:rsid w:val="00905A94"/>
    <w:rsid w:val="00905CEC"/>
    <w:rsid w:val="00905D63"/>
    <w:rsid w:val="00905D94"/>
    <w:rsid w:val="00905DC9"/>
    <w:rsid w:val="00905E30"/>
    <w:rsid w:val="00905F4F"/>
    <w:rsid w:val="009061F6"/>
    <w:rsid w:val="0090643B"/>
    <w:rsid w:val="00906447"/>
    <w:rsid w:val="0090645B"/>
    <w:rsid w:val="00906661"/>
    <w:rsid w:val="00906B74"/>
    <w:rsid w:val="00906B89"/>
    <w:rsid w:val="00906D67"/>
    <w:rsid w:val="00906E0A"/>
    <w:rsid w:val="00907035"/>
    <w:rsid w:val="00907061"/>
    <w:rsid w:val="00907322"/>
    <w:rsid w:val="00907426"/>
    <w:rsid w:val="00907447"/>
    <w:rsid w:val="00907A53"/>
    <w:rsid w:val="00907AFE"/>
    <w:rsid w:val="00910064"/>
    <w:rsid w:val="00910090"/>
    <w:rsid w:val="0091019F"/>
    <w:rsid w:val="0091029E"/>
    <w:rsid w:val="00910794"/>
    <w:rsid w:val="00910846"/>
    <w:rsid w:val="00910D3B"/>
    <w:rsid w:val="0091117A"/>
    <w:rsid w:val="009112E7"/>
    <w:rsid w:val="009114B6"/>
    <w:rsid w:val="0091152D"/>
    <w:rsid w:val="009116E0"/>
    <w:rsid w:val="009117B8"/>
    <w:rsid w:val="009119B5"/>
    <w:rsid w:val="00911AB6"/>
    <w:rsid w:val="00911AF7"/>
    <w:rsid w:val="00911B50"/>
    <w:rsid w:val="00911C4C"/>
    <w:rsid w:val="00911E06"/>
    <w:rsid w:val="00911F03"/>
    <w:rsid w:val="0091217D"/>
    <w:rsid w:val="0091219B"/>
    <w:rsid w:val="0091225D"/>
    <w:rsid w:val="00912293"/>
    <w:rsid w:val="00912383"/>
    <w:rsid w:val="00912457"/>
    <w:rsid w:val="009124C7"/>
    <w:rsid w:val="00912BB0"/>
    <w:rsid w:val="00913053"/>
    <w:rsid w:val="0091320E"/>
    <w:rsid w:val="009136D0"/>
    <w:rsid w:val="00913D2B"/>
    <w:rsid w:val="00913DA8"/>
    <w:rsid w:val="00914217"/>
    <w:rsid w:val="00914312"/>
    <w:rsid w:val="0091443D"/>
    <w:rsid w:val="00914968"/>
    <w:rsid w:val="00914BF0"/>
    <w:rsid w:val="00914C9C"/>
    <w:rsid w:val="00914CB7"/>
    <w:rsid w:val="009151B1"/>
    <w:rsid w:val="009151CB"/>
    <w:rsid w:val="00915443"/>
    <w:rsid w:val="0091559B"/>
    <w:rsid w:val="009155B9"/>
    <w:rsid w:val="009159B9"/>
    <w:rsid w:val="00915C33"/>
    <w:rsid w:val="00915F08"/>
    <w:rsid w:val="00916268"/>
    <w:rsid w:val="00916408"/>
    <w:rsid w:val="00916417"/>
    <w:rsid w:val="00916674"/>
    <w:rsid w:val="00916697"/>
    <w:rsid w:val="009166AC"/>
    <w:rsid w:val="00916AA7"/>
    <w:rsid w:val="00916CFD"/>
    <w:rsid w:val="009170C0"/>
    <w:rsid w:val="009171D1"/>
    <w:rsid w:val="0091731A"/>
    <w:rsid w:val="00917A48"/>
    <w:rsid w:val="00917EC7"/>
    <w:rsid w:val="00920124"/>
    <w:rsid w:val="009201BC"/>
    <w:rsid w:val="009202C0"/>
    <w:rsid w:val="00920508"/>
    <w:rsid w:val="0092061E"/>
    <w:rsid w:val="009206CE"/>
    <w:rsid w:val="00920719"/>
    <w:rsid w:val="0092080B"/>
    <w:rsid w:val="009208CC"/>
    <w:rsid w:val="009209B0"/>
    <w:rsid w:val="00920CF9"/>
    <w:rsid w:val="009210CA"/>
    <w:rsid w:val="0092124A"/>
    <w:rsid w:val="0092185B"/>
    <w:rsid w:val="009218BC"/>
    <w:rsid w:val="009219AD"/>
    <w:rsid w:val="00921A8C"/>
    <w:rsid w:val="00922037"/>
    <w:rsid w:val="0092225C"/>
    <w:rsid w:val="009222F7"/>
    <w:rsid w:val="009223A5"/>
    <w:rsid w:val="009225BD"/>
    <w:rsid w:val="0092265B"/>
    <w:rsid w:val="0092282B"/>
    <w:rsid w:val="00922CD9"/>
    <w:rsid w:val="0092338B"/>
    <w:rsid w:val="009233DE"/>
    <w:rsid w:val="009238E9"/>
    <w:rsid w:val="00923B05"/>
    <w:rsid w:val="00923C40"/>
    <w:rsid w:val="00923DB7"/>
    <w:rsid w:val="00923DDD"/>
    <w:rsid w:val="00923E6C"/>
    <w:rsid w:val="00923F7B"/>
    <w:rsid w:val="009243F6"/>
    <w:rsid w:val="009245A4"/>
    <w:rsid w:val="0092494A"/>
    <w:rsid w:val="0092497C"/>
    <w:rsid w:val="00924B3A"/>
    <w:rsid w:val="00924B70"/>
    <w:rsid w:val="009251F0"/>
    <w:rsid w:val="00925208"/>
    <w:rsid w:val="00925377"/>
    <w:rsid w:val="0092538E"/>
    <w:rsid w:val="009253AE"/>
    <w:rsid w:val="00925618"/>
    <w:rsid w:val="009260B3"/>
    <w:rsid w:val="009260D7"/>
    <w:rsid w:val="00926122"/>
    <w:rsid w:val="0092644A"/>
    <w:rsid w:val="009265B6"/>
    <w:rsid w:val="0092666D"/>
    <w:rsid w:val="0092689A"/>
    <w:rsid w:val="00926905"/>
    <w:rsid w:val="009269D9"/>
    <w:rsid w:val="00926B5A"/>
    <w:rsid w:val="00926D43"/>
    <w:rsid w:val="00926E5C"/>
    <w:rsid w:val="00926E60"/>
    <w:rsid w:val="00926F87"/>
    <w:rsid w:val="009270D8"/>
    <w:rsid w:val="009275EA"/>
    <w:rsid w:val="00927721"/>
    <w:rsid w:val="00927741"/>
    <w:rsid w:val="009277B8"/>
    <w:rsid w:val="00927809"/>
    <w:rsid w:val="00927986"/>
    <w:rsid w:val="00927E15"/>
    <w:rsid w:val="00927F3D"/>
    <w:rsid w:val="00927FDA"/>
    <w:rsid w:val="00930138"/>
    <w:rsid w:val="009301D1"/>
    <w:rsid w:val="00930291"/>
    <w:rsid w:val="0093041F"/>
    <w:rsid w:val="009306B6"/>
    <w:rsid w:val="009308B5"/>
    <w:rsid w:val="009308E0"/>
    <w:rsid w:val="009309DD"/>
    <w:rsid w:val="00930B72"/>
    <w:rsid w:val="00930E95"/>
    <w:rsid w:val="0093115A"/>
    <w:rsid w:val="0093116E"/>
    <w:rsid w:val="0093137C"/>
    <w:rsid w:val="009314F0"/>
    <w:rsid w:val="00931692"/>
    <w:rsid w:val="00931A91"/>
    <w:rsid w:val="00931BC5"/>
    <w:rsid w:val="00931C2E"/>
    <w:rsid w:val="00931CCC"/>
    <w:rsid w:val="00931DC8"/>
    <w:rsid w:val="00931DF7"/>
    <w:rsid w:val="00931F76"/>
    <w:rsid w:val="009321FE"/>
    <w:rsid w:val="009323E8"/>
    <w:rsid w:val="00932514"/>
    <w:rsid w:val="00932841"/>
    <w:rsid w:val="00932A52"/>
    <w:rsid w:val="00932C31"/>
    <w:rsid w:val="00933020"/>
    <w:rsid w:val="00933081"/>
    <w:rsid w:val="00933291"/>
    <w:rsid w:val="009334D4"/>
    <w:rsid w:val="00933612"/>
    <w:rsid w:val="0093362A"/>
    <w:rsid w:val="00933680"/>
    <w:rsid w:val="009337AC"/>
    <w:rsid w:val="009337DF"/>
    <w:rsid w:val="00933AFF"/>
    <w:rsid w:val="00933BC6"/>
    <w:rsid w:val="00933C61"/>
    <w:rsid w:val="00933C6B"/>
    <w:rsid w:val="00933D73"/>
    <w:rsid w:val="00933F31"/>
    <w:rsid w:val="00933F6D"/>
    <w:rsid w:val="009343AD"/>
    <w:rsid w:val="009345A0"/>
    <w:rsid w:val="009345C1"/>
    <w:rsid w:val="009346A8"/>
    <w:rsid w:val="0093477F"/>
    <w:rsid w:val="00934831"/>
    <w:rsid w:val="0093485A"/>
    <w:rsid w:val="009349A4"/>
    <w:rsid w:val="00934B5C"/>
    <w:rsid w:val="00934C0C"/>
    <w:rsid w:val="00934C42"/>
    <w:rsid w:val="00934D30"/>
    <w:rsid w:val="009352B8"/>
    <w:rsid w:val="009354D2"/>
    <w:rsid w:val="009354DD"/>
    <w:rsid w:val="009355A7"/>
    <w:rsid w:val="009356CD"/>
    <w:rsid w:val="00935A26"/>
    <w:rsid w:val="00935BD3"/>
    <w:rsid w:val="00935BFB"/>
    <w:rsid w:val="00935DE2"/>
    <w:rsid w:val="00936009"/>
    <w:rsid w:val="0093605E"/>
    <w:rsid w:val="009361AB"/>
    <w:rsid w:val="00936755"/>
    <w:rsid w:val="00936CAA"/>
    <w:rsid w:val="00936DFB"/>
    <w:rsid w:val="00936F09"/>
    <w:rsid w:val="0093716D"/>
    <w:rsid w:val="00937356"/>
    <w:rsid w:val="009375EE"/>
    <w:rsid w:val="009378D3"/>
    <w:rsid w:val="009378E8"/>
    <w:rsid w:val="00937B7D"/>
    <w:rsid w:val="00937BBF"/>
    <w:rsid w:val="00937FB6"/>
    <w:rsid w:val="00940493"/>
    <w:rsid w:val="0094049E"/>
    <w:rsid w:val="009406BD"/>
    <w:rsid w:val="00940773"/>
    <w:rsid w:val="0094083A"/>
    <w:rsid w:val="00940AC8"/>
    <w:rsid w:val="00940AD3"/>
    <w:rsid w:val="00940C3B"/>
    <w:rsid w:val="009410C1"/>
    <w:rsid w:val="00941136"/>
    <w:rsid w:val="00941300"/>
    <w:rsid w:val="009415A8"/>
    <w:rsid w:val="00941642"/>
    <w:rsid w:val="0094165A"/>
    <w:rsid w:val="009416FD"/>
    <w:rsid w:val="00941849"/>
    <w:rsid w:val="009418DA"/>
    <w:rsid w:val="00941979"/>
    <w:rsid w:val="00941AEB"/>
    <w:rsid w:val="00941B43"/>
    <w:rsid w:val="00941DF1"/>
    <w:rsid w:val="00941E12"/>
    <w:rsid w:val="00941E66"/>
    <w:rsid w:val="00941EBC"/>
    <w:rsid w:val="00941F17"/>
    <w:rsid w:val="00941FEC"/>
    <w:rsid w:val="009423E3"/>
    <w:rsid w:val="00942535"/>
    <w:rsid w:val="0094258B"/>
    <w:rsid w:val="009425AC"/>
    <w:rsid w:val="00942662"/>
    <w:rsid w:val="00942C54"/>
    <w:rsid w:val="00942D14"/>
    <w:rsid w:val="00942D4B"/>
    <w:rsid w:val="00942EBF"/>
    <w:rsid w:val="00943324"/>
    <w:rsid w:val="009436FB"/>
    <w:rsid w:val="00943752"/>
    <w:rsid w:val="00943B21"/>
    <w:rsid w:val="00943C18"/>
    <w:rsid w:val="00943D90"/>
    <w:rsid w:val="00943F9A"/>
    <w:rsid w:val="00943FC7"/>
    <w:rsid w:val="0094413A"/>
    <w:rsid w:val="00944165"/>
    <w:rsid w:val="009443A5"/>
    <w:rsid w:val="0094440F"/>
    <w:rsid w:val="00944473"/>
    <w:rsid w:val="009446E2"/>
    <w:rsid w:val="0094488F"/>
    <w:rsid w:val="0094491F"/>
    <w:rsid w:val="009449A9"/>
    <w:rsid w:val="00944A56"/>
    <w:rsid w:val="00944AB0"/>
    <w:rsid w:val="00944D35"/>
    <w:rsid w:val="00944DF8"/>
    <w:rsid w:val="00944F3B"/>
    <w:rsid w:val="009453C4"/>
    <w:rsid w:val="00945403"/>
    <w:rsid w:val="009456CA"/>
    <w:rsid w:val="00945733"/>
    <w:rsid w:val="009457A4"/>
    <w:rsid w:val="00945926"/>
    <w:rsid w:val="00945ACA"/>
    <w:rsid w:val="00945B14"/>
    <w:rsid w:val="00945B75"/>
    <w:rsid w:val="00945B84"/>
    <w:rsid w:val="00945B99"/>
    <w:rsid w:val="00945C47"/>
    <w:rsid w:val="00945D89"/>
    <w:rsid w:val="00945F09"/>
    <w:rsid w:val="00945FA2"/>
    <w:rsid w:val="00945FD6"/>
    <w:rsid w:val="00946140"/>
    <w:rsid w:val="0094618B"/>
    <w:rsid w:val="0094658F"/>
    <w:rsid w:val="0094677E"/>
    <w:rsid w:val="009468EE"/>
    <w:rsid w:val="009469C6"/>
    <w:rsid w:val="00946C5B"/>
    <w:rsid w:val="00946C72"/>
    <w:rsid w:val="00946E6C"/>
    <w:rsid w:val="00946E82"/>
    <w:rsid w:val="0094701F"/>
    <w:rsid w:val="00947094"/>
    <w:rsid w:val="009471EE"/>
    <w:rsid w:val="009473F8"/>
    <w:rsid w:val="009477EC"/>
    <w:rsid w:val="0094781C"/>
    <w:rsid w:val="00947A4D"/>
    <w:rsid w:val="00947D5F"/>
    <w:rsid w:val="009504D1"/>
    <w:rsid w:val="00950686"/>
    <w:rsid w:val="009506AB"/>
    <w:rsid w:val="0095073E"/>
    <w:rsid w:val="0095085E"/>
    <w:rsid w:val="0095094D"/>
    <w:rsid w:val="009509F1"/>
    <w:rsid w:val="00950B65"/>
    <w:rsid w:val="00950C6E"/>
    <w:rsid w:val="00950DC2"/>
    <w:rsid w:val="00950F28"/>
    <w:rsid w:val="00950FD8"/>
    <w:rsid w:val="0095122E"/>
    <w:rsid w:val="00951266"/>
    <w:rsid w:val="0095136A"/>
    <w:rsid w:val="0095150D"/>
    <w:rsid w:val="009515CB"/>
    <w:rsid w:val="00951771"/>
    <w:rsid w:val="00951AFA"/>
    <w:rsid w:val="00951E61"/>
    <w:rsid w:val="00952108"/>
    <w:rsid w:val="0095258B"/>
    <w:rsid w:val="00952643"/>
    <w:rsid w:val="00952778"/>
    <w:rsid w:val="00952839"/>
    <w:rsid w:val="00952CE3"/>
    <w:rsid w:val="00952DDA"/>
    <w:rsid w:val="00952E91"/>
    <w:rsid w:val="00953036"/>
    <w:rsid w:val="00953079"/>
    <w:rsid w:val="00953169"/>
    <w:rsid w:val="00953295"/>
    <w:rsid w:val="0095384A"/>
    <w:rsid w:val="00953A66"/>
    <w:rsid w:val="00953B70"/>
    <w:rsid w:val="00953E8B"/>
    <w:rsid w:val="00953F07"/>
    <w:rsid w:val="0095428E"/>
    <w:rsid w:val="0095432D"/>
    <w:rsid w:val="009546E9"/>
    <w:rsid w:val="009548B4"/>
    <w:rsid w:val="00954D03"/>
    <w:rsid w:val="00954DFD"/>
    <w:rsid w:val="0095506A"/>
    <w:rsid w:val="00955120"/>
    <w:rsid w:val="00955183"/>
    <w:rsid w:val="00955B49"/>
    <w:rsid w:val="00955F62"/>
    <w:rsid w:val="0095605D"/>
    <w:rsid w:val="009561A9"/>
    <w:rsid w:val="009562FD"/>
    <w:rsid w:val="00956425"/>
    <w:rsid w:val="00956680"/>
    <w:rsid w:val="009568F9"/>
    <w:rsid w:val="00956BB6"/>
    <w:rsid w:val="00956C7E"/>
    <w:rsid w:val="00956FC0"/>
    <w:rsid w:val="00957091"/>
    <w:rsid w:val="009570D1"/>
    <w:rsid w:val="009572EE"/>
    <w:rsid w:val="009572FD"/>
    <w:rsid w:val="00957397"/>
    <w:rsid w:val="0095739B"/>
    <w:rsid w:val="009573D2"/>
    <w:rsid w:val="00957739"/>
    <w:rsid w:val="00957AAC"/>
    <w:rsid w:val="00957C03"/>
    <w:rsid w:val="00957CCD"/>
    <w:rsid w:val="00957F20"/>
    <w:rsid w:val="0096026D"/>
    <w:rsid w:val="00960272"/>
    <w:rsid w:val="0096053D"/>
    <w:rsid w:val="0096082F"/>
    <w:rsid w:val="00960BE0"/>
    <w:rsid w:val="00960C36"/>
    <w:rsid w:val="00960C70"/>
    <w:rsid w:val="00960CAC"/>
    <w:rsid w:val="00960E37"/>
    <w:rsid w:val="009610EF"/>
    <w:rsid w:val="00961B64"/>
    <w:rsid w:val="00961C46"/>
    <w:rsid w:val="00961D04"/>
    <w:rsid w:val="00961D11"/>
    <w:rsid w:val="00961DE0"/>
    <w:rsid w:val="00961E40"/>
    <w:rsid w:val="00962167"/>
    <w:rsid w:val="00962446"/>
    <w:rsid w:val="00962468"/>
    <w:rsid w:val="00962659"/>
    <w:rsid w:val="00962ACE"/>
    <w:rsid w:val="00962BBA"/>
    <w:rsid w:val="00963058"/>
    <w:rsid w:val="00963234"/>
    <w:rsid w:val="00963273"/>
    <w:rsid w:val="0096332F"/>
    <w:rsid w:val="00963336"/>
    <w:rsid w:val="009633BC"/>
    <w:rsid w:val="009634FF"/>
    <w:rsid w:val="00963504"/>
    <w:rsid w:val="00963857"/>
    <w:rsid w:val="00963BBC"/>
    <w:rsid w:val="00963C00"/>
    <w:rsid w:val="00963C18"/>
    <w:rsid w:val="009640FB"/>
    <w:rsid w:val="009646D8"/>
    <w:rsid w:val="009647B1"/>
    <w:rsid w:val="009647E6"/>
    <w:rsid w:val="00964808"/>
    <w:rsid w:val="009648D0"/>
    <w:rsid w:val="00964A12"/>
    <w:rsid w:val="00964B99"/>
    <w:rsid w:val="00964CE6"/>
    <w:rsid w:val="00965048"/>
    <w:rsid w:val="0096504A"/>
    <w:rsid w:val="0096509A"/>
    <w:rsid w:val="00965537"/>
    <w:rsid w:val="009657EF"/>
    <w:rsid w:val="00965808"/>
    <w:rsid w:val="009658B1"/>
    <w:rsid w:val="00965991"/>
    <w:rsid w:val="00965C13"/>
    <w:rsid w:val="00965DA1"/>
    <w:rsid w:val="00966478"/>
    <w:rsid w:val="0096672D"/>
    <w:rsid w:val="009667C4"/>
    <w:rsid w:val="009668E1"/>
    <w:rsid w:val="0096690E"/>
    <w:rsid w:val="00966B0D"/>
    <w:rsid w:val="00966B22"/>
    <w:rsid w:val="00966D62"/>
    <w:rsid w:val="00966E55"/>
    <w:rsid w:val="00966E5A"/>
    <w:rsid w:val="00967037"/>
    <w:rsid w:val="00967055"/>
    <w:rsid w:val="009670D8"/>
    <w:rsid w:val="009670DB"/>
    <w:rsid w:val="009671B7"/>
    <w:rsid w:val="009671CD"/>
    <w:rsid w:val="0096749C"/>
    <w:rsid w:val="00967535"/>
    <w:rsid w:val="00967918"/>
    <w:rsid w:val="00967B37"/>
    <w:rsid w:val="00967F93"/>
    <w:rsid w:val="009701B0"/>
    <w:rsid w:val="00970737"/>
    <w:rsid w:val="009709D1"/>
    <w:rsid w:val="00970A7D"/>
    <w:rsid w:val="00970B5E"/>
    <w:rsid w:val="00970F76"/>
    <w:rsid w:val="00971030"/>
    <w:rsid w:val="009711BF"/>
    <w:rsid w:val="00971246"/>
    <w:rsid w:val="009712F9"/>
    <w:rsid w:val="009713F4"/>
    <w:rsid w:val="009713FB"/>
    <w:rsid w:val="009714EB"/>
    <w:rsid w:val="00971593"/>
    <w:rsid w:val="009717D9"/>
    <w:rsid w:val="00971817"/>
    <w:rsid w:val="0097191F"/>
    <w:rsid w:val="009719DC"/>
    <w:rsid w:val="00971A4D"/>
    <w:rsid w:val="00971AEC"/>
    <w:rsid w:val="00971B9B"/>
    <w:rsid w:val="00971E16"/>
    <w:rsid w:val="009720E1"/>
    <w:rsid w:val="0097241A"/>
    <w:rsid w:val="00972506"/>
    <w:rsid w:val="00972640"/>
    <w:rsid w:val="0097285E"/>
    <w:rsid w:val="00972928"/>
    <w:rsid w:val="009729D2"/>
    <w:rsid w:val="00972BAE"/>
    <w:rsid w:val="00972C82"/>
    <w:rsid w:val="00973471"/>
    <w:rsid w:val="00973533"/>
    <w:rsid w:val="009736F4"/>
    <w:rsid w:val="0097383D"/>
    <w:rsid w:val="009738F3"/>
    <w:rsid w:val="0097394B"/>
    <w:rsid w:val="00973BF2"/>
    <w:rsid w:val="009743C2"/>
    <w:rsid w:val="00974C80"/>
    <w:rsid w:val="009753D8"/>
    <w:rsid w:val="00975419"/>
    <w:rsid w:val="009754AF"/>
    <w:rsid w:val="009758B9"/>
    <w:rsid w:val="00975925"/>
    <w:rsid w:val="00975B29"/>
    <w:rsid w:val="00975B2B"/>
    <w:rsid w:val="00975C03"/>
    <w:rsid w:val="00975D78"/>
    <w:rsid w:val="009764A7"/>
    <w:rsid w:val="0097666D"/>
    <w:rsid w:val="009766CF"/>
    <w:rsid w:val="009768DC"/>
    <w:rsid w:val="0097694E"/>
    <w:rsid w:val="009769DB"/>
    <w:rsid w:val="00976A37"/>
    <w:rsid w:val="00976A63"/>
    <w:rsid w:val="00976D70"/>
    <w:rsid w:val="00976E90"/>
    <w:rsid w:val="00976F07"/>
    <w:rsid w:val="00977009"/>
    <w:rsid w:val="0097742F"/>
    <w:rsid w:val="00977DE2"/>
    <w:rsid w:val="00977F08"/>
    <w:rsid w:val="00977F87"/>
    <w:rsid w:val="009800EC"/>
    <w:rsid w:val="0098015F"/>
    <w:rsid w:val="0098053A"/>
    <w:rsid w:val="009805D5"/>
    <w:rsid w:val="00980628"/>
    <w:rsid w:val="00980A67"/>
    <w:rsid w:val="00980A8A"/>
    <w:rsid w:val="00980BCD"/>
    <w:rsid w:val="00980EFC"/>
    <w:rsid w:val="00981417"/>
    <w:rsid w:val="0098145A"/>
    <w:rsid w:val="0098170B"/>
    <w:rsid w:val="00981859"/>
    <w:rsid w:val="0098194E"/>
    <w:rsid w:val="00981E1C"/>
    <w:rsid w:val="00981E7D"/>
    <w:rsid w:val="00981F27"/>
    <w:rsid w:val="00982144"/>
    <w:rsid w:val="009828EA"/>
    <w:rsid w:val="00982BC3"/>
    <w:rsid w:val="00982C22"/>
    <w:rsid w:val="00982E4A"/>
    <w:rsid w:val="00983086"/>
    <w:rsid w:val="00983477"/>
    <w:rsid w:val="009836EF"/>
    <w:rsid w:val="00983778"/>
    <w:rsid w:val="00983C0D"/>
    <w:rsid w:val="00983EF0"/>
    <w:rsid w:val="0098439E"/>
    <w:rsid w:val="0098455D"/>
    <w:rsid w:val="00984947"/>
    <w:rsid w:val="00984A1A"/>
    <w:rsid w:val="00984ADB"/>
    <w:rsid w:val="00984F51"/>
    <w:rsid w:val="00985204"/>
    <w:rsid w:val="0098535D"/>
    <w:rsid w:val="009853C3"/>
    <w:rsid w:val="00985799"/>
    <w:rsid w:val="00985A0E"/>
    <w:rsid w:val="00985C57"/>
    <w:rsid w:val="00985CEA"/>
    <w:rsid w:val="00985F4D"/>
    <w:rsid w:val="00985FD4"/>
    <w:rsid w:val="00985FDB"/>
    <w:rsid w:val="009862D1"/>
    <w:rsid w:val="00986421"/>
    <w:rsid w:val="00986472"/>
    <w:rsid w:val="009864A6"/>
    <w:rsid w:val="009864F8"/>
    <w:rsid w:val="00986654"/>
    <w:rsid w:val="00986781"/>
    <w:rsid w:val="009869D1"/>
    <w:rsid w:val="00986CA3"/>
    <w:rsid w:val="00986DBF"/>
    <w:rsid w:val="00987067"/>
    <w:rsid w:val="00987213"/>
    <w:rsid w:val="00987BBC"/>
    <w:rsid w:val="00987CB6"/>
    <w:rsid w:val="00987DE5"/>
    <w:rsid w:val="00987F5B"/>
    <w:rsid w:val="00990465"/>
    <w:rsid w:val="00990FC0"/>
    <w:rsid w:val="0099127C"/>
    <w:rsid w:val="00991489"/>
    <w:rsid w:val="00991676"/>
    <w:rsid w:val="009916A0"/>
    <w:rsid w:val="009916FB"/>
    <w:rsid w:val="00991931"/>
    <w:rsid w:val="00991D64"/>
    <w:rsid w:val="00991DE1"/>
    <w:rsid w:val="00991FAB"/>
    <w:rsid w:val="00991FB5"/>
    <w:rsid w:val="00991FFA"/>
    <w:rsid w:val="009920C0"/>
    <w:rsid w:val="00992208"/>
    <w:rsid w:val="009929A8"/>
    <w:rsid w:val="00992A1E"/>
    <w:rsid w:val="00992B77"/>
    <w:rsid w:val="00992BF2"/>
    <w:rsid w:val="00992F68"/>
    <w:rsid w:val="00993036"/>
    <w:rsid w:val="009930DC"/>
    <w:rsid w:val="009931C1"/>
    <w:rsid w:val="00993294"/>
    <w:rsid w:val="009932A9"/>
    <w:rsid w:val="00993397"/>
    <w:rsid w:val="00993B22"/>
    <w:rsid w:val="00993C87"/>
    <w:rsid w:val="00993CD0"/>
    <w:rsid w:val="00994174"/>
    <w:rsid w:val="009941F6"/>
    <w:rsid w:val="00994254"/>
    <w:rsid w:val="00994483"/>
    <w:rsid w:val="009944BB"/>
    <w:rsid w:val="009945A7"/>
    <w:rsid w:val="009949A7"/>
    <w:rsid w:val="00994B47"/>
    <w:rsid w:val="00994BF5"/>
    <w:rsid w:val="00994C5B"/>
    <w:rsid w:val="00994CAF"/>
    <w:rsid w:val="00994F2E"/>
    <w:rsid w:val="00994FAA"/>
    <w:rsid w:val="00995029"/>
    <w:rsid w:val="0099523A"/>
    <w:rsid w:val="009953E6"/>
    <w:rsid w:val="00995430"/>
    <w:rsid w:val="009954CA"/>
    <w:rsid w:val="009956C6"/>
    <w:rsid w:val="0099570F"/>
    <w:rsid w:val="009957EC"/>
    <w:rsid w:val="009958A3"/>
    <w:rsid w:val="00995920"/>
    <w:rsid w:val="00995A07"/>
    <w:rsid w:val="00995AC0"/>
    <w:rsid w:val="00995ACC"/>
    <w:rsid w:val="00995F0B"/>
    <w:rsid w:val="009960AA"/>
    <w:rsid w:val="0099610E"/>
    <w:rsid w:val="00996150"/>
    <w:rsid w:val="00996477"/>
    <w:rsid w:val="009967D5"/>
    <w:rsid w:val="009968ED"/>
    <w:rsid w:val="009968FB"/>
    <w:rsid w:val="00996DF5"/>
    <w:rsid w:val="009970D5"/>
    <w:rsid w:val="009970E3"/>
    <w:rsid w:val="0099732B"/>
    <w:rsid w:val="00997373"/>
    <w:rsid w:val="00997569"/>
    <w:rsid w:val="0099778D"/>
    <w:rsid w:val="00997AD0"/>
    <w:rsid w:val="00997F6D"/>
    <w:rsid w:val="009A0066"/>
    <w:rsid w:val="009A0126"/>
    <w:rsid w:val="009A0229"/>
    <w:rsid w:val="009A0296"/>
    <w:rsid w:val="009A07E2"/>
    <w:rsid w:val="009A0A0E"/>
    <w:rsid w:val="009A0A34"/>
    <w:rsid w:val="009A0B8D"/>
    <w:rsid w:val="009A0BC4"/>
    <w:rsid w:val="009A0D32"/>
    <w:rsid w:val="009A0E66"/>
    <w:rsid w:val="009A14DE"/>
    <w:rsid w:val="009A17A6"/>
    <w:rsid w:val="009A189E"/>
    <w:rsid w:val="009A1A5E"/>
    <w:rsid w:val="009A1C2B"/>
    <w:rsid w:val="009A1C3C"/>
    <w:rsid w:val="009A2310"/>
    <w:rsid w:val="009A238B"/>
    <w:rsid w:val="009A2394"/>
    <w:rsid w:val="009A2C93"/>
    <w:rsid w:val="009A2DA7"/>
    <w:rsid w:val="009A2E52"/>
    <w:rsid w:val="009A2ED6"/>
    <w:rsid w:val="009A3106"/>
    <w:rsid w:val="009A314B"/>
    <w:rsid w:val="009A31DC"/>
    <w:rsid w:val="009A385B"/>
    <w:rsid w:val="009A3984"/>
    <w:rsid w:val="009A3DAB"/>
    <w:rsid w:val="009A3F09"/>
    <w:rsid w:val="009A3F59"/>
    <w:rsid w:val="009A4049"/>
    <w:rsid w:val="009A447E"/>
    <w:rsid w:val="009A456E"/>
    <w:rsid w:val="009A4653"/>
    <w:rsid w:val="009A4DDA"/>
    <w:rsid w:val="009A4E6C"/>
    <w:rsid w:val="009A5095"/>
    <w:rsid w:val="009A5272"/>
    <w:rsid w:val="009A559C"/>
    <w:rsid w:val="009A55A7"/>
    <w:rsid w:val="009A5A57"/>
    <w:rsid w:val="009A5AE2"/>
    <w:rsid w:val="009A5BB2"/>
    <w:rsid w:val="009A5E24"/>
    <w:rsid w:val="009A61C2"/>
    <w:rsid w:val="009A644A"/>
    <w:rsid w:val="009A6509"/>
    <w:rsid w:val="009A650D"/>
    <w:rsid w:val="009A686B"/>
    <w:rsid w:val="009A6ABF"/>
    <w:rsid w:val="009A6BA8"/>
    <w:rsid w:val="009A727A"/>
    <w:rsid w:val="009A7802"/>
    <w:rsid w:val="009B0685"/>
    <w:rsid w:val="009B07CF"/>
    <w:rsid w:val="009B0A6E"/>
    <w:rsid w:val="009B0B77"/>
    <w:rsid w:val="009B0BEE"/>
    <w:rsid w:val="009B0CF7"/>
    <w:rsid w:val="009B0E0F"/>
    <w:rsid w:val="009B108A"/>
    <w:rsid w:val="009B1113"/>
    <w:rsid w:val="009B1144"/>
    <w:rsid w:val="009B11E3"/>
    <w:rsid w:val="009B13A7"/>
    <w:rsid w:val="009B164E"/>
    <w:rsid w:val="009B1C18"/>
    <w:rsid w:val="009B1D01"/>
    <w:rsid w:val="009B1D80"/>
    <w:rsid w:val="009B20F3"/>
    <w:rsid w:val="009B20FC"/>
    <w:rsid w:val="009B22A3"/>
    <w:rsid w:val="009B22E6"/>
    <w:rsid w:val="009B249D"/>
    <w:rsid w:val="009B2615"/>
    <w:rsid w:val="009B266C"/>
    <w:rsid w:val="009B28A5"/>
    <w:rsid w:val="009B28AD"/>
    <w:rsid w:val="009B2D76"/>
    <w:rsid w:val="009B2E5A"/>
    <w:rsid w:val="009B2F8A"/>
    <w:rsid w:val="009B2FEE"/>
    <w:rsid w:val="009B30D6"/>
    <w:rsid w:val="009B31D6"/>
    <w:rsid w:val="009B3244"/>
    <w:rsid w:val="009B3385"/>
    <w:rsid w:val="009B342E"/>
    <w:rsid w:val="009B350F"/>
    <w:rsid w:val="009B3885"/>
    <w:rsid w:val="009B38B5"/>
    <w:rsid w:val="009B3A8A"/>
    <w:rsid w:val="009B3AD9"/>
    <w:rsid w:val="009B3BDD"/>
    <w:rsid w:val="009B3DB3"/>
    <w:rsid w:val="009B3F5B"/>
    <w:rsid w:val="009B42AD"/>
    <w:rsid w:val="009B431F"/>
    <w:rsid w:val="009B4444"/>
    <w:rsid w:val="009B45BD"/>
    <w:rsid w:val="009B46C3"/>
    <w:rsid w:val="009B4791"/>
    <w:rsid w:val="009B47EF"/>
    <w:rsid w:val="009B4A0A"/>
    <w:rsid w:val="009B4AA8"/>
    <w:rsid w:val="009B4AF6"/>
    <w:rsid w:val="009B50B6"/>
    <w:rsid w:val="009B52F3"/>
    <w:rsid w:val="009B5667"/>
    <w:rsid w:val="009B5676"/>
    <w:rsid w:val="009B58C3"/>
    <w:rsid w:val="009B5A6B"/>
    <w:rsid w:val="009B5CA7"/>
    <w:rsid w:val="009B5D39"/>
    <w:rsid w:val="009B5E71"/>
    <w:rsid w:val="009B5ED2"/>
    <w:rsid w:val="009B5FEE"/>
    <w:rsid w:val="009B638A"/>
    <w:rsid w:val="009B668E"/>
    <w:rsid w:val="009B67E3"/>
    <w:rsid w:val="009B6992"/>
    <w:rsid w:val="009B6CA7"/>
    <w:rsid w:val="009B6D36"/>
    <w:rsid w:val="009B6E2E"/>
    <w:rsid w:val="009B71AD"/>
    <w:rsid w:val="009B7538"/>
    <w:rsid w:val="009B753F"/>
    <w:rsid w:val="009B76CD"/>
    <w:rsid w:val="009B77BD"/>
    <w:rsid w:val="009B7ADE"/>
    <w:rsid w:val="009B7C2C"/>
    <w:rsid w:val="009B7CDE"/>
    <w:rsid w:val="009B7D4E"/>
    <w:rsid w:val="009C000D"/>
    <w:rsid w:val="009C03DB"/>
    <w:rsid w:val="009C03FC"/>
    <w:rsid w:val="009C072E"/>
    <w:rsid w:val="009C07BC"/>
    <w:rsid w:val="009C090E"/>
    <w:rsid w:val="009C0F6D"/>
    <w:rsid w:val="009C12A3"/>
    <w:rsid w:val="009C12B3"/>
    <w:rsid w:val="009C1647"/>
    <w:rsid w:val="009C18B3"/>
    <w:rsid w:val="009C18B9"/>
    <w:rsid w:val="009C1BFC"/>
    <w:rsid w:val="009C1CAF"/>
    <w:rsid w:val="009C1E99"/>
    <w:rsid w:val="009C1F19"/>
    <w:rsid w:val="009C1FBC"/>
    <w:rsid w:val="009C207F"/>
    <w:rsid w:val="009C2089"/>
    <w:rsid w:val="009C214C"/>
    <w:rsid w:val="009C22B2"/>
    <w:rsid w:val="009C2930"/>
    <w:rsid w:val="009C2D6D"/>
    <w:rsid w:val="009C2D8B"/>
    <w:rsid w:val="009C2E1D"/>
    <w:rsid w:val="009C2EE2"/>
    <w:rsid w:val="009C353D"/>
    <w:rsid w:val="009C3648"/>
    <w:rsid w:val="009C38AF"/>
    <w:rsid w:val="009C3EC0"/>
    <w:rsid w:val="009C40B5"/>
    <w:rsid w:val="009C4100"/>
    <w:rsid w:val="009C4304"/>
    <w:rsid w:val="009C449E"/>
    <w:rsid w:val="009C46A7"/>
    <w:rsid w:val="009C4819"/>
    <w:rsid w:val="009C4C71"/>
    <w:rsid w:val="009C4F00"/>
    <w:rsid w:val="009C4FFA"/>
    <w:rsid w:val="009C540A"/>
    <w:rsid w:val="009C5622"/>
    <w:rsid w:val="009C56D1"/>
    <w:rsid w:val="009C58A1"/>
    <w:rsid w:val="009C63BF"/>
    <w:rsid w:val="009C6565"/>
    <w:rsid w:val="009C6582"/>
    <w:rsid w:val="009C67A6"/>
    <w:rsid w:val="009C68C2"/>
    <w:rsid w:val="009C693C"/>
    <w:rsid w:val="009C6960"/>
    <w:rsid w:val="009C6972"/>
    <w:rsid w:val="009C69FF"/>
    <w:rsid w:val="009C6DEF"/>
    <w:rsid w:val="009C6E00"/>
    <w:rsid w:val="009C70E9"/>
    <w:rsid w:val="009C71D4"/>
    <w:rsid w:val="009C720F"/>
    <w:rsid w:val="009C7310"/>
    <w:rsid w:val="009C7920"/>
    <w:rsid w:val="009C79C5"/>
    <w:rsid w:val="009C7B4E"/>
    <w:rsid w:val="009C7B74"/>
    <w:rsid w:val="009C7BC2"/>
    <w:rsid w:val="009C7BF7"/>
    <w:rsid w:val="009D0352"/>
    <w:rsid w:val="009D049A"/>
    <w:rsid w:val="009D0544"/>
    <w:rsid w:val="009D07F3"/>
    <w:rsid w:val="009D0C53"/>
    <w:rsid w:val="009D0E3D"/>
    <w:rsid w:val="009D0E3E"/>
    <w:rsid w:val="009D1003"/>
    <w:rsid w:val="009D121B"/>
    <w:rsid w:val="009D1347"/>
    <w:rsid w:val="009D1357"/>
    <w:rsid w:val="009D1496"/>
    <w:rsid w:val="009D163C"/>
    <w:rsid w:val="009D171C"/>
    <w:rsid w:val="009D174C"/>
    <w:rsid w:val="009D1803"/>
    <w:rsid w:val="009D18AB"/>
    <w:rsid w:val="009D19DA"/>
    <w:rsid w:val="009D1F03"/>
    <w:rsid w:val="009D212D"/>
    <w:rsid w:val="009D27CD"/>
    <w:rsid w:val="009D2848"/>
    <w:rsid w:val="009D2A50"/>
    <w:rsid w:val="009D2AA7"/>
    <w:rsid w:val="009D2C09"/>
    <w:rsid w:val="009D2E5C"/>
    <w:rsid w:val="009D2FCD"/>
    <w:rsid w:val="009D3435"/>
    <w:rsid w:val="009D34C3"/>
    <w:rsid w:val="009D3828"/>
    <w:rsid w:val="009D3A67"/>
    <w:rsid w:val="009D3F72"/>
    <w:rsid w:val="009D4003"/>
    <w:rsid w:val="009D4025"/>
    <w:rsid w:val="009D41FF"/>
    <w:rsid w:val="009D4421"/>
    <w:rsid w:val="009D4480"/>
    <w:rsid w:val="009D4878"/>
    <w:rsid w:val="009D4A45"/>
    <w:rsid w:val="009D4C21"/>
    <w:rsid w:val="009D4DA6"/>
    <w:rsid w:val="009D4E07"/>
    <w:rsid w:val="009D4E1F"/>
    <w:rsid w:val="009D4E80"/>
    <w:rsid w:val="009D4F56"/>
    <w:rsid w:val="009D4FE1"/>
    <w:rsid w:val="009D550C"/>
    <w:rsid w:val="009D5614"/>
    <w:rsid w:val="009D5893"/>
    <w:rsid w:val="009D58C8"/>
    <w:rsid w:val="009D58F6"/>
    <w:rsid w:val="009D5A4C"/>
    <w:rsid w:val="009D5A4D"/>
    <w:rsid w:val="009D5A4E"/>
    <w:rsid w:val="009D5C61"/>
    <w:rsid w:val="009D5D90"/>
    <w:rsid w:val="009D5F01"/>
    <w:rsid w:val="009D643B"/>
    <w:rsid w:val="009D6736"/>
    <w:rsid w:val="009D69E4"/>
    <w:rsid w:val="009D6B2C"/>
    <w:rsid w:val="009D6BC7"/>
    <w:rsid w:val="009D6E6A"/>
    <w:rsid w:val="009D70A2"/>
    <w:rsid w:val="009D718A"/>
    <w:rsid w:val="009D71A4"/>
    <w:rsid w:val="009D7295"/>
    <w:rsid w:val="009D74C3"/>
    <w:rsid w:val="009D7541"/>
    <w:rsid w:val="009D780E"/>
    <w:rsid w:val="009D7B0C"/>
    <w:rsid w:val="009D7CCA"/>
    <w:rsid w:val="009D7CEF"/>
    <w:rsid w:val="009E0026"/>
    <w:rsid w:val="009E0142"/>
    <w:rsid w:val="009E01A8"/>
    <w:rsid w:val="009E02BB"/>
    <w:rsid w:val="009E0349"/>
    <w:rsid w:val="009E03CB"/>
    <w:rsid w:val="009E0522"/>
    <w:rsid w:val="009E05C9"/>
    <w:rsid w:val="009E06BB"/>
    <w:rsid w:val="009E0747"/>
    <w:rsid w:val="009E11A8"/>
    <w:rsid w:val="009E1343"/>
    <w:rsid w:val="009E13B9"/>
    <w:rsid w:val="009E13D8"/>
    <w:rsid w:val="009E172F"/>
    <w:rsid w:val="009E17CF"/>
    <w:rsid w:val="009E187D"/>
    <w:rsid w:val="009E1880"/>
    <w:rsid w:val="009E18CC"/>
    <w:rsid w:val="009E1A74"/>
    <w:rsid w:val="009E1BF3"/>
    <w:rsid w:val="009E1C86"/>
    <w:rsid w:val="009E1F1A"/>
    <w:rsid w:val="009E20F0"/>
    <w:rsid w:val="009E27C5"/>
    <w:rsid w:val="009E2F83"/>
    <w:rsid w:val="009E30E4"/>
    <w:rsid w:val="009E3150"/>
    <w:rsid w:val="009E3383"/>
    <w:rsid w:val="009E3395"/>
    <w:rsid w:val="009E3416"/>
    <w:rsid w:val="009E36B6"/>
    <w:rsid w:val="009E371B"/>
    <w:rsid w:val="009E37B0"/>
    <w:rsid w:val="009E384A"/>
    <w:rsid w:val="009E38BC"/>
    <w:rsid w:val="009E39D0"/>
    <w:rsid w:val="009E3A1C"/>
    <w:rsid w:val="009E3B00"/>
    <w:rsid w:val="009E3DC0"/>
    <w:rsid w:val="009E3F7E"/>
    <w:rsid w:val="009E3F87"/>
    <w:rsid w:val="009E4056"/>
    <w:rsid w:val="009E4215"/>
    <w:rsid w:val="009E4528"/>
    <w:rsid w:val="009E45D9"/>
    <w:rsid w:val="009E47CB"/>
    <w:rsid w:val="009E47CD"/>
    <w:rsid w:val="009E4C26"/>
    <w:rsid w:val="009E4DB8"/>
    <w:rsid w:val="009E4E16"/>
    <w:rsid w:val="009E53A8"/>
    <w:rsid w:val="009E5705"/>
    <w:rsid w:val="009E5781"/>
    <w:rsid w:val="009E5C6E"/>
    <w:rsid w:val="009E60CC"/>
    <w:rsid w:val="009E60CE"/>
    <w:rsid w:val="009E6139"/>
    <w:rsid w:val="009E61B7"/>
    <w:rsid w:val="009E6425"/>
    <w:rsid w:val="009E66C1"/>
    <w:rsid w:val="009E6832"/>
    <w:rsid w:val="009E6FA1"/>
    <w:rsid w:val="009E70BA"/>
    <w:rsid w:val="009E71C5"/>
    <w:rsid w:val="009E71CD"/>
    <w:rsid w:val="009E745A"/>
    <w:rsid w:val="009E77AF"/>
    <w:rsid w:val="009E7819"/>
    <w:rsid w:val="009E7F0E"/>
    <w:rsid w:val="009F08BE"/>
    <w:rsid w:val="009F0A44"/>
    <w:rsid w:val="009F0DE3"/>
    <w:rsid w:val="009F0F61"/>
    <w:rsid w:val="009F111E"/>
    <w:rsid w:val="009F11EA"/>
    <w:rsid w:val="009F11F2"/>
    <w:rsid w:val="009F124B"/>
    <w:rsid w:val="009F13BA"/>
    <w:rsid w:val="009F15BD"/>
    <w:rsid w:val="009F1707"/>
    <w:rsid w:val="009F192E"/>
    <w:rsid w:val="009F1A55"/>
    <w:rsid w:val="009F1C94"/>
    <w:rsid w:val="009F1D65"/>
    <w:rsid w:val="009F1E08"/>
    <w:rsid w:val="009F1E37"/>
    <w:rsid w:val="009F1E7C"/>
    <w:rsid w:val="009F1FF0"/>
    <w:rsid w:val="009F1FFF"/>
    <w:rsid w:val="009F226A"/>
    <w:rsid w:val="009F246A"/>
    <w:rsid w:val="009F2504"/>
    <w:rsid w:val="009F27CF"/>
    <w:rsid w:val="009F2B1A"/>
    <w:rsid w:val="009F2B33"/>
    <w:rsid w:val="009F2C07"/>
    <w:rsid w:val="009F2C80"/>
    <w:rsid w:val="009F2FAC"/>
    <w:rsid w:val="009F3070"/>
    <w:rsid w:val="009F3564"/>
    <w:rsid w:val="009F36E7"/>
    <w:rsid w:val="009F37B1"/>
    <w:rsid w:val="009F39E5"/>
    <w:rsid w:val="009F3A4A"/>
    <w:rsid w:val="009F3CA2"/>
    <w:rsid w:val="009F3CF8"/>
    <w:rsid w:val="009F3FC5"/>
    <w:rsid w:val="009F4116"/>
    <w:rsid w:val="009F46B6"/>
    <w:rsid w:val="009F46F4"/>
    <w:rsid w:val="009F47F5"/>
    <w:rsid w:val="009F4822"/>
    <w:rsid w:val="009F4A62"/>
    <w:rsid w:val="009F4B9D"/>
    <w:rsid w:val="009F4D39"/>
    <w:rsid w:val="009F50DF"/>
    <w:rsid w:val="009F5195"/>
    <w:rsid w:val="009F51FF"/>
    <w:rsid w:val="009F5218"/>
    <w:rsid w:val="009F534F"/>
    <w:rsid w:val="009F550F"/>
    <w:rsid w:val="009F56D6"/>
    <w:rsid w:val="009F573A"/>
    <w:rsid w:val="009F5742"/>
    <w:rsid w:val="009F5ABD"/>
    <w:rsid w:val="009F5B3A"/>
    <w:rsid w:val="009F5C6E"/>
    <w:rsid w:val="009F5E23"/>
    <w:rsid w:val="009F6433"/>
    <w:rsid w:val="009F6464"/>
    <w:rsid w:val="009F664D"/>
    <w:rsid w:val="009F6735"/>
    <w:rsid w:val="009F6AC7"/>
    <w:rsid w:val="009F6AE9"/>
    <w:rsid w:val="009F7332"/>
    <w:rsid w:val="009F76D3"/>
    <w:rsid w:val="009F7838"/>
    <w:rsid w:val="009F7ADE"/>
    <w:rsid w:val="00A000E3"/>
    <w:rsid w:val="00A00247"/>
    <w:rsid w:val="00A0062C"/>
    <w:rsid w:val="00A00BA0"/>
    <w:rsid w:val="00A00C6C"/>
    <w:rsid w:val="00A00D00"/>
    <w:rsid w:val="00A00D4D"/>
    <w:rsid w:val="00A00E1F"/>
    <w:rsid w:val="00A010D1"/>
    <w:rsid w:val="00A01353"/>
    <w:rsid w:val="00A014A0"/>
    <w:rsid w:val="00A0157A"/>
    <w:rsid w:val="00A019F6"/>
    <w:rsid w:val="00A01B3B"/>
    <w:rsid w:val="00A01C51"/>
    <w:rsid w:val="00A01C7A"/>
    <w:rsid w:val="00A01CA2"/>
    <w:rsid w:val="00A01CF3"/>
    <w:rsid w:val="00A01D04"/>
    <w:rsid w:val="00A01EEE"/>
    <w:rsid w:val="00A02208"/>
    <w:rsid w:val="00A02651"/>
    <w:rsid w:val="00A02BBC"/>
    <w:rsid w:val="00A02C4E"/>
    <w:rsid w:val="00A02DBA"/>
    <w:rsid w:val="00A02E3B"/>
    <w:rsid w:val="00A02ECB"/>
    <w:rsid w:val="00A03024"/>
    <w:rsid w:val="00A030B6"/>
    <w:rsid w:val="00A030DF"/>
    <w:rsid w:val="00A0329B"/>
    <w:rsid w:val="00A03559"/>
    <w:rsid w:val="00A036F3"/>
    <w:rsid w:val="00A037E7"/>
    <w:rsid w:val="00A0385A"/>
    <w:rsid w:val="00A03A83"/>
    <w:rsid w:val="00A03AAA"/>
    <w:rsid w:val="00A03D16"/>
    <w:rsid w:val="00A0420C"/>
    <w:rsid w:val="00A04270"/>
    <w:rsid w:val="00A04791"/>
    <w:rsid w:val="00A049BA"/>
    <w:rsid w:val="00A04BFD"/>
    <w:rsid w:val="00A04CDD"/>
    <w:rsid w:val="00A04CDF"/>
    <w:rsid w:val="00A04E28"/>
    <w:rsid w:val="00A04F2A"/>
    <w:rsid w:val="00A04FB4"/>
    <w:rsid w:val="00A0504C"/>
    <w:rsid w:val="00A0509E"/>
    <w:rsid w:val="00A051A6"/>
    <w:rsid w:val="00A05226"/>
    <w:rsid w:val="00A055A3"/>
    <w:rsid w:val="00A05746"/>
    <w:rsid w:val="00A0574B"/>
    <w:rsid w:val="00A0581E"/>
    <w:rsid w:val="00A0597B"/>
    <w:rsid w:val="00A05DCD"/>
    <w:rsid w:val="00A05F12"/>
    <w:rsid w:val="00A063CA"/>
    <w:rsid w:val="00A0675B"/>
    <w:rsid w:val="00A06765"/>
    <w:rsid w:val="00A068FD"/>
    <w:rsid w:val="00A06B82"/>
    <w:rsid w:val="00A06D72"/>
    <w:rsid w:val="00A071B3"/>
    <w:rsid w:val="00A07C39"/>
    <w:rsid w:val="00A1022A"/>
    <w:rsid w:val="00A10315"/>
    <w:rsid w:val="00A10364"/>
    <w:rsid w:val="00A103E3"/>
    <w:rsid w:val="00A10427"/>
    <w:rsid w:val="00A10519"/>
    <w:rsid w:val="00A10648"/>
    <w:rsid w:val="00A10ACF"/>
    <w:rsid w:val="00A10F37"/>
    <w:rsid w:val="00A10FE3"/>
    <w:rsid w:val="00A1109E"/>
    <w:rsid w:val="00A1126B"/>
    <w:rsid w:val="00A113DE"/>
    <w:rsid w:val="00A11654"/>
    <w:rsid w:val="00A11795"/>
    <w:rsid w:val="00A11AF0"/>
    <w:rsid w:val="00A11B31"/>
    <w:rsid w:val="00A11C80"/>
    <w:rsid w:val="00A11DFF"/>
    <w:rsid w:val="00A123C1"/>
    <w:rsid w:val="00A124D2"/>
    <w:rsid w:val="00A12637"/>
    <w:rsid w:val="00A12835"/>
    <w:rsid w:val="00A129BF"/>
    <w:rsid w:val="00A12BE2"/>
    <w:rsid w:val="00A13110"/>
    <w:rsid w:val="00A13321"/>
    <w:rsid w:val="00A137C7"/>
    <w:rsid w:val="00A139E0"/>
    <w:rsid w:val="00A13A22"/>
    <w:rsid w:val="00A13A8E"/>
    <w:rsid w:val="00A13BE0"/>
    <w:rsid w:val="00A13DB3"/>
    <w:rsid w:val="00A13EC1"/>
    <w:rsid w:val="00A13EEA"/>
    <w:rsid w:val="00A1435D"/>
    <w:rsid w:val="00A14A03"/>
    <w:rsid w:val="00A14A3E"/>
    <w:rsid w:val="00A14B03"/>
    <w:rsid w:val="00A14C1D"/>
    <w:rsid w:val="00A14C6A"/>
    <w:rsid w:val="00A14CA6"/>
    <w:rsid w:val="00A14DFE"/>
    <w:rsid w:val="00A15128"/>
    <w:rsid w:val="00A15142"/>
    <w:rsid w:val="00A1517B"/>
    <w:rsid w:val="00A156B9"/>
    <w:rsid w:val="00A1577C"/>
    <w:rsid w:val="00A158A9"/>
    <w:rsid w:val="00A1590D"/>
    <w:rsid w:val="00A15C67"/>
    <w:rsid w:val="00A15F86"/>
    <w:rsid w:val="00A16741"/>
    <w:rsid w:val="00A16A0D"/>
    <w:rsid w:val="00A16C5A"/>
    <w:rsid w:val="00A16D05"/>
    <w:rsid w:val="00A1733B"/>
    <w:rsid w:val="00A173E2"/>
    <w:rsid w:val="00A174B2"/>
    <w:rsid w:val="00A176E5"/>
    <w:rsid w:val="00A177E3"/>
    <w:rsid w:val="00A179C9"/>
    <w:rsid w:val="00A17ABB"/>
    <w:rsid w:val="00A17B4B"/>
    <w:rsid w:val="00A17DEC"/>
    <w:rsid w:val="00A201AC"/>
    <w:rsid w:val="00A201C1"/>
    <w:rsid w:val="00A2026E"/>
    <w:rsid w:val="00A202EF"/>
    <w:rsid w:val="00A20820"/>
    <w:rsid w:val="00A2092F"/>
    <w:rsid w:val="00A20A0A"/>
    <w:rsid w:val="00A20AA3"/>
    <w:rsid w:val="00A20B0B"/>
    <w:rsid w:val="00A20BBD"/>
    <w:rsid w:val="00A21292"/>
    <w:rsid w:val="00A2197E"/>
    <w:rsid w:val="00A21981"/>
    <w:rsid w:val="00A21ADF"/>
    <w:rsid w:val="00A21B27"/>
    <w:rsid w:val="00A21B82"/>
    <w:rsid w:val="00A21CE9"/>
    <w:rsid w:val="00A21E7F"/>
    <w:rsid w:val="00A22B54"/>
    <w:rsid w:val="00A22BE2"/>
    <w:rsid w:val="00A22E74"/>
    <w:rsid w:val="00A231B1"/>
    <w:rsid w:val="00A2339D"/>
    <w:rsid w:val="00A234BE"/>
    <w:rsid w:val="00A235A2"/>
    <w:rsid w:val="00A23625"/>
    <w:rsid w:val="00A237ED"/>
    <w:rsid w:val="00A23A2F"/>
    <w:rsid w:val="00A23B56"/>
    <w:rsid w:val="00A23C9D"/>
    <w:rsid w:val="00A23CC3"/>
    <w:rsid w:val="00A23EC0"/>
    <w:rsid w:val="00A23EEB"/>
    <w:rsid w:val="00A240A4"/>
    <w:rsid w:val="00A2416B"/>
    <w:rsid w:val="00A241B3"/>
    <w:rsid w:val="00A241FA"/>
    <w:rsid w:val="00A24B58"/>
    <w:rsid w:val="00A2519D"/>
    <w:rsid w:val="00A2522A"/>
    <w:rsid w:val="00A25375"/>
    <w:rsid w:val="00A255B1"/>
    <w:rsid w:val="00A2564F"/>
    <w:rsid w:val="00A256A0"/>
    <w:rsid w:val="00A257AB"/>
    <w:rsid w:val="00A2595B"/>
    <w:rsid w:val="00A25A3B"/>
    <w:rsid w:val="00A25B65"/>
    <w:rsid w:val="00A25CD1"/>
    <w:rsid w:val="00A25E61"/>
    <w:rsid w:val="00A25F75"/>
    <w:rsid w:val="00A26387"/>
    <w:rsid w:val="00A26793"/>
    <w:rsid w:val="00A267F6"/>
    <w:rsid w:val="00A2721A"/>
    <w:rsid w:val="00A272D8"/>
    <w:rsid w:val="00A27524"/>
    <w:rsid w:val="00A2777C"/>
    <w:rsid w:val="00A279E7"/>
    <w:rsid w:val="00A27A88"/>
    <w:rsid w:val="00A27F38"/>
    <w:rsid w:val="00A3027E"/>
    <w:rsid w:val="00A30B42"/>
    <w:rsid w:val="00A30EA1"/>
    <w:rsid w:val="00A3145B"/>
    <w:rsid w:val="00A31523"/>
    <w:rsid w:val="00A315B2"/>
    <w:rsid w:val="00A319CE"/>
    <w:rsid w:val="00A31ADC"/>
    <w:rsid w:val="00A31B92"/>
    <w:rsid w:val="00A31BB5"/>
    <w:rsid w:val="00A31E42"/>
    <w:rsid w:val="00A31EDF"/>
    <w:rsid w:val="00A31F49"/>
    <w:rsid w:val="00A31F77"/>
    <w:rsid w:val="00A3216A"/>
    <w:rsid w:val="00A32635"/>
    <w:rsid w:val="00A32E93"/>
    <w:rsid w:val="00A32F5F"/>
    <w:rsid w:val="00A32FD6"/>
    <w:rsid w:val="00A32FF4"/>
    <w:rsid w:val="00A33239"/>
    <w:rsid w:val="00A3324B"/>
    <w:rsid w:val="00A332D8"/>
    <w:rsid w:val="00A3348B"/>
    <w:rsid w:val="00A335F8"/>
    <w:rsid w:val="00A33705"/>
    <w:rsid w:val="00A33714"/>
    <w:rsid w:val="00A33817"/>
    <w:rsid w:val="00A33900"/>
    <w:rsid w:val="00A3399C"/>
    <w:rsid w:val="00A33D8B"/>
    <w:rsid w:val="00A33DE7"/>
    <w:rsid w:val="00A3405F"/>
    <w:rsid w:val="00A34063"/>
    <w:rsid w:val="00A340E9"/>
    <w:rsid w:val="00A347F1"/>
    <w:rsid w:val="00A34CBD"/>
    <w:rsid w:val="00A34F57"/>
    <w:rsid w:val="00A35595"/>
    <w:rsid w:val="00A35708"/>
    <w:rsid w:val="00A3583B"/>
    <w:rsid w:val="00A35882"/>
    <w:rsid w:val="00A358C4"/>
    <w:rsid w:val="00A35AA9"/>
    <w:rsid w:val="00A35B66"/>
    <w:rsid w:val="00A35BAC"/>
    <w:rsid w:val="00A35C1C"/>
    <w:rsid w:val="00A35C23"/>
    <w:rsid w:val="00A35C30"/>
    <w:rsid w:val="00A35F51"/>
    <w:rsid w:val="00A36015"/>
    <w:rsid w:val="00A36032"/>
    <w:rsid w:val="00A360C0"/>
    <w:rsid w:val="00A360E5"/>
    <w:rsid w:val="00A362AB"/>
    <w:rsid w:val="00A362BC"/>
    <w:rsid w:val="00A36560"/>
    <w:rsid w:val="00A365BA"/>
    <w:rsid w:val="00A3680B"/>
    <w:rsid w:val="00A36A24"/>
    <w:rsid w:val="00A36ACB"/>
    <w:rsid w:val="00A36E85"/>
    <w:rsid w:val="00A36E90"/>
    <w:rsid w:val="00A37019"/>
    <w:rsid w:val="00A37102"/>
    <w:rsid w:val="00A3717D"/>
    <w:rsid w:val="00A37318"/>
    <w:rsid w:val="00A3756A"/>
    <w:rsid w:val="00A37591"/>
    <w:rsid w:val="00A375D9"/>
    <w:rsid w:val="00A37671"/>
    <w:rsid w:val="00A37736"/>
    <w:rsid w:val="00A3792D"/>
    <w:rsid w:val="00A37ABC"/>
    <w:rsid w:val="00A37BC7"/>
    <w:rsid w:val="00A37CF1"/>
    <w:rsid w:val="00A37DDF"/>
    <w:rsid w:val="00A37EC7"/>
    <w:rsid w:val="00A37F6F"/>
    <w:rsid w:val="00A37FA1"/>
    <w:rsid w:val="00A403C6"/>
    <w:rsid w:val="00A403DB"/>
    <w:rsid w:val="00A4066A"/>
    <w:rsid w:val="00A406C3"/>
    <w:rsid w:val="00A406D6"/>
    <w:rsid w:val="00A408A4"/>
    <w:rsid w:val="00A4177D"/>
    <w:rsid w:val="00A41AA3"/>
    <w:rsid w:val="00A41AED"/>
    <w:rsid w:val="00A41D31"/>
    <w:rsid w:val="00A41D99"/>
    <w:rsid w:val="00A4202F"/>
    <w:rsid w:val="00A42330"/>
    <w:rsid w:val="00A42340"/>
    <w:rsid w:val="00A4237A"/>
    <w:rsid w:val="00A4240B"/>
    <w:rsid w:val="00A4260E"/>
    <w:rsid w:val="00A4269F"/>
    <w:rsid w:val="00A42742"/>
    <w:rsid w:val="00A42891"/>
    <w:rsid w:val="00A42AE5"/>
    <w:rsid w:val="00A42C12"/>
    <w:rsid w:val="00A42C27"/>
    <w:rsid w:val="00A42C63"/>
    <w:rsid w:val="00A42F4F"/>
    <w:rsid w:val="00A435CA"/>
    <w:rsid w:val="00A43647"/>
    <w:rsid w:val="00A43883"/>
    <w:rsid w:val="00A43889"/>
    <w:rsid w:val="00A4388B"/>
    <w:rsid w:val="00A43AF5"/>
    <w:rsid w:val="00A43EE7"/>
    <w:rsid w:val="00A444F0"/>
    <w:rsid w:val="00A446FD"/>
    <w:rsid w:val="00A4470A"/>
    <w:rsid w:val="00A447E0"/>
    <w:rsid w:val="00A44A8B"/>
    <w:rsid w:val="00A44C59"/>
    <w:rsid w:val="00A4504D"/>
    <w:rsid w:val="00A451EE"/>
    <w:rsid w:val="00A4524D"/>
    <w:rsid w:val="00A454EE"/>
    <w:rsid w:val="00A45780"/>
    <w:rsid w:val="00A45B67"/>
    <w:rsid w:val="00A45C96"/>
    <w:rsid w:val="00A460A6"/>
    <w:rsid w:val="00A46169"/>
    <w:rsid w:val="00A461A2"/>
    <w:rsid w:val="00A46237"/>
    <w:rsid w:val="00A4644B"/>
    <w:rsid w:val="00A46523"/>
    <w:rsid w:val="00A4677B"/>
    <w:rsid w:val="00A46817"/>
    <w:rsid w:val="00A46C38"/>
    <w:rsid w:val="00A46DC8"/>
    <w:rsid w:val="00A47058"/>
    <w:rsid w:val="00A47136"/>
    <w:rsid w:val="00A471EC"/>
    <w:rsid w:val="00A47446"/>
    <w:rsid w:val="00A4754D"/>
    <w:rsid w:val="00A5004B"/>
    <w:rsid w:val="00A5010A"/>
    <w:rsid w:val="00A5012C"/>
    <w:rsid w:val="00A501EA"/>
    <w:rsid w:val="00A5035E"/>
    <w:rsid w:val="00A5039D"/>
    <w:rsid w:val="00A50406"/>
    <w:rsid w:val="00A507C8"/>
    <w:rsid w:val="00A508A4"/>
    <w:rsid w:val="00A508B8"/>
    <w:rsid w:val="00A5092E"/>
    <w:rsid w:val="00A50987"/>
    <w:rsid w:val="00A509B9"/>
    <w:rsid w:val="00A50AFC"/>
    <w:rsid w:val="00A5118B"/>
    <w:rsid w:val="00A511B4"/>
    <w:rsid w:val="00A51405"/>
    <w:rsid w:val="00A51494"/>
    <w:rsid w:val="00A514E6"/>
    <w:rsid w:val="00A51545"/>
    <w:rsid w:val="00A5172B"/>
    <w:rsid w:val="00A5173E"/>
    <w:rsid w:val="00A51A81"/>
    <w:rsid w:val="00A52627"/>
    <w:rsid w:val="00A52929"/>
    <w:rsid w:val="00A52A61"/>
    <w:rsid w:val="00A52B35"/>
    <w:rsid w:val="00A52B78"/>
    <w:rsid w:val="00A52DF2"/>
    <w:rsid w:val="00A52FC9"/>
    <w:rsid w:val="00A53663"/>
    <w:rsid w:val="00A5369F"/>
    <w:rsid w:val="00A536B3"/>
    <w:rsid w:val="00A536F1"/>
    <w:rsid w:val="00A538B4"/>
    <w:rsid w:val="00A53A00"/>
    <w:rsid w:val="00A53B08"/>
    <w:rsid w:val="00A53D6F"/>
    <w:rsid w:val="00A53E22"/>
    <w:rsid w:val="00A53F65"/>
    <w:rsid w:val="00A54295"/>
    <w:rsid w:val="00A54302"/>
    <w:rsid w:val="00A543F4"/>
    <w:rsid w:val="00A546D8"/>
    <w:rsid w:val="00A54BBB"/>
    <w:rsid w:val="00A54E3A"/>
    <w:rsid w:val="00A54E47"/>
    <w:rsid w:val="00A554FD"/>
    <w:rsid w:val="00A55692"/>
    <w:rsid w:val="00A55764"/>
    <w:rsid w:val="00A55877"/>
    <w:rsid w:val="00A558BE"/>
    <w:rsid w:val="00A5601D"/>
    <w:rsid w:val="00A56488"/>
    <w:rsid w:val="00A56821"/>
    <w:rsid w:val="00A5687F"/>
    <w:rsid w:val="00A568C1"/>
    <w:rsid w:val="00A56A63"/>
    <w:rsid w:val="00A56BFB"/>
    <w:rsid w:val="00A57022"/>
    <w:rsid w:val="00A570E8"/>
    <w:rsid w:val="00A57527"/>
    <w:rsid w:val="00A575BF"/>
    <w:rsid w:val="00A5765F"/>
    <w:rsid w:val="00A579B7"/>
    <w:rsid w:val="00A57B1D"/>
    <w:rsid w:val="00A57B3B"/>
    <w:rsid w:val="00A57C0E"/>
    <w:rsid w:val="00A57E67"/>
    <w:rsid w:val="00A57E91"/>
    <w:rsid w:val="00A600A5"/>
    <w:rsid w:val="00A60247"/>
    <w:rsid w:val="00A6032A"/>
    <w:rsid w:val="00A60381"/>
    <w:rsid w:val="00A6046D"/>
    <w:rsid w:val="00A608CA"/>
    <w:rsid w:val="00A60B62"/>
    <w:rsid w:val="00A60CDC"/>
    <w:rsid w:val="00A60F75"/>
    <w:rsid w:val="00A612FE"/>
    <w:rsid w:val="00A61CA7"/>
    <w:rsid w:val="00A61CF6"/>
    <w:rsid w:val="00A61D62"/>
    <w:rsid w:val="00A61EF1"/>
    <w:rsid w:val="00A61F2F"/>
    <w:rsid w:val="00A61FE7"/>
    <w:rsid w:val="00A622FA"/>
    <w:rsid w:val="00A62380"/>
    <w:rsid w:val="00A62513"/>
    <w:rsid w:val="00A625DB"/>
    <w:rsid w:val="00A62619"/>
    <w:rsid w:val="00A62628"/>
    <w:rsid w:val="00A62919"/>
    <w:rsid w:val="00A62C37"/>
    <w:rsid w:val="00A62CE5"/>
    <w:rsid w:val="00A62DEA"/>
    <w:rsid w:val="00A62E8B"/>
    <w:rsid w:val="00A62FA8"/>
    <w:rsid w:val="00A6301A"/>
    <w:rsid w:val="00A631BF"/>
    <w:rsid w:val="00A634D6"/>
    <w:rsid w:val="00A63963"/>
    <w:rsid w:val="00A63996"/>
    <w:rsid w:val="00A63CA5"/>
    <w:rsid w:val="00A63D63"/>
    <w:rsid w:val="00A63DEE"/>
    <w:rsid w:val="00A64754"/>
    <w:rsid w:val="00A64A10"/>
    <w:rsid w:val="00A64A4B"/>
    <w:rsid w:val="00A64B51"/>
    <w:rsid w:val="00A64F65"/>
    <w:rsid w:val="00A65081"/>
    <w:rsid w:val="00A656CF"/>
    <w:rsid w:val="00A65A90"/>
    <w:rsid w:val="00A65AAB"/>
    <w:rsid w:val="00A65DD4"/>
    <w:rsid w:val="00A6620C"/>
    <w:rsid w:val="00A66446"/>
    <w:rsid w:val="00A66687"/>
    <w:rsid w:val="00A66964"/>
    <w:rsid w:val="00A66AD5"/>
    <w:rsid w:val="00A66C37"/>
    <w:rsid w:val="00A66D39"/>
    <w:rsid w:val="00A66D65"/>
    <w:rsid w:val="00A66E07"/>
    <w:rsid w:val="00A66E75"/>
    <w:rsid w:val="00A671E2"/>
    <w:rsid w:val="00A67303"/>
    <w:rsid w:val="00A67574"/>
    <w:rsid w:val="00A67685"/>
    <w:rsid w:val="00A6775F"/>
    <w:rsid w:val="00A677EE"/>
    <w:rsid w:val="00A6792A"/>
    <w:rsid w:val="00A67AEF"/>
    <w:rsid w:val="00A67B50"/>
    <w:rsid w:val="00A67BA8"/>
    <w:rsid w:val="00A67C4F"/>
    <w:rsid w:val="00A67CE4"/>
    <w:rsid w:val="00A67DBA"/>
    <w:rsid w:val="00A67E61"/>
    <w:rsid w:val="00A67E75"/>
    <w:rsid w:val="00A70661"/>
    <w:rsid w:val="00A707FC"/>
    <w:rsid w:val="00A70889"/>
    <w:rsid w:val="00A70F61"/>
    <w:rsid w:val="00A71017"/>
    <w:rsid w:val="00A71075"/>
    <w:rsid w:val="00A712FA"/>
    <w:rsid w:val="00A713B0"/>
    <w:rsid w:val="00A7172C"/>
    <w:rsid w:val="00A717E0"/>
    <w:rsid w:val="00A7180D"/>
    <w:rsid w:val="00A71916"/>
    <w:rsid w:val="00A71E19"/>
    <w:rsid w:val="00A72088"/>
    <w:rsid w:val="00A721A8"/>
    <w:rsid w:val="00A72218"/>
    <w:rsid w:val="00A72576"/>
    <w:rsid w:val="00A72749"/>
    <w:rsid w:val="00A729F6"/>
    <w:rsid w:val="00A73054"/>
    <w:rsid w:val="00A73154"/>
    <w:rsid w:val="00A73177"/>
    <w:rsid w:val="00A733A6"/>
    <w:rsid w:val="00A73419"/>
    <w:rsid w:val="00A73506"/>
    <w:rsid w:val="00A73751"/>
    <w:rsid w:val="00A73760"/>
    <w:rsid w:val="00A737F9"/>
    <w:rsid w:val="00A7397C"/>
    <w:rsid w:val="00A739FD"/>
    <w:rsid w:val="00A73A58"/>
    <w:rsid w:val="00A73A9F"/>
    <w:rsid w:val="00A73C53"/>
    <w:rsid w:val="00A73C90"/>
    <w:rsid w:val="00A74140"/>
    <w:rsid w:val="00A74451"/>
    <w:rsid w:val="00A74593"/>
    <w:rsid w:val="00A749D2"/>
    <w:rsid w:val="00A74BBB"/>
    <w:rsid w:val="00A74CF2"/>
    <w:rsid w:val="00A74DC5"/>
    <w:rsid w:val="00A74E0B"/>
    <w:rsid w:val="00A74FBE"/>
    <w:rsid w:val="00A75040"/>
    <w:rsid w:val="00A7511A"/>
    <w:rsid w:val="00A7544E"/>
    <w:rsid w:val="00A7556E"/>
    <w:rsid w:val="00A7557E"/>
    <w:rsid w:val="00A75858"/>
    <w:rsid w:val="00A75CEF"/>
    <w:rsid w:val="00A75D11"/>
    <w:rsid w:val="00A76052"/>
    <w:rsid w:val="00A76092"/>
    <w:rsid w:val="00A760BB"/>
    <w:rsid w:val="00A76168"/>
    <w:rsid w:val="00A76185"/>
    <w:rsid w:val="00A761BA"/>
    <w:rsid w:val="00A7625F"/>
    <w:rsid w:val="00A764ED"/>
    <w:rsid w:val="00A76A5B"/>
    <w:rsid w:val="00A76D44"/>
    <w:rsid w:val="00A772D4"/>
    <w:rsid w:val="00A7751A"/>
    <w:rsid w:val="00A776D9"/>
    <w:rsid w:val="00A77785"/>
    <w:rsid w:val="00A777B0"/>
    <w:rsid w:val="00A77916"/>
    <w:rsid w:val="00A77AA9"/>
    <w:rsid w:val="00A80027"/>
    <w:rsid w:val="00A80181"/>
    <w:rsid w:val="00A8047A"/>
    <w:rsid w:val="00A80647"/>
    <w:rsid w:val="00A8084F"/>
    <w:rsid w:val="00A808FA"/>
    <w:rsid w:val="00A80A10"/>
    <w:rsid w:val="00A80A72"/>
    <w:rsid w:val="00A80AF7"/>
    <w:rsid w:val="00A80D32"/>
    <w:rsid w:val="00A810A2"/>
    <w:rsid w:val="00A811DD"/>
    <w:rsid w:val="00A815B7"/>
    <w:rsid w:val="00A81961"/>
    <w:rsid w:val="00A81E25"/>
    <w:rsid w:val="00A82061"/>
    <w:rsid w:val="00A821C1"/>
    <w:rsid w:val="00A825C1"/>
    <w:rsid w:val="00A8269C"/>
    <w:rsid w:val="00A8278B"/>
    <w:rsid w:val="00A828F0"/>
    <w:rsid w:val="00A829E5"/>
    <w:rsid w:val="00A82B09"/>
    <w:rsid w:val="00A82B8E"/>
    <w:rsid w:val="00A82C93"/>
    <w:rsid w:val="00A82D54"/>
    <w:rsid w:val="00A82DA1"/>
    <w:rsid w:val="00A82F86"/>
    <w:rsid w:val="00A82F99"/>
    <w:rsid w:val="00A83074"/>
    <w:rsid w:val="00A8324D"/>
    <w:rsid w:val="00A8388F"/>
    <w:rsid w:val="00A838DC"/>
    <w:rsid w:val="00A83979"/>
    <w:rsid w:val="00A83A9E"/>
    <w:rsid w:val="00A83B77"/>
    <w:rsid w:val="00A83FFB"/>
    <w:rsid w:val="00A840CF"/>
    <w:rsid w:val="00A843D9"/>
    <w:rsid w:val="00A843ED"/>
    <w:rsid w:val="00A84707"/>
    <w:rsid w:val="00A848CB"/>
    <w:rsid w:val="00A84A8B"/>
    <w:rsid w:val="00A84BA2"/>
    <w:rsid w:val="00A852AE"/>
    <w:rsid w:val="00A8544D"/>
    <w:rsid w:val="00A85495"/>
    <w:rsid w:val="00A854BA"/>
    <w:rsid w:val="00A856AB"/>
    <w:rsid w:val="00A858C7"/>
    <w:rsid w:val="00A8594E"/>
    <w:rsid w:val="00A859B2"/>
    <w:rsid w:val="00A859B5"/>
    <w:rsid w:val="00A85A63"/>
    <w:rsid w:val="00A85BB7"/>
    <w:rsid w:val="00A85BE6"/>
    <w:rsid w:val="00A85D86"/>
    <w:rsid w:val="00A85F63"/>
    <w:rsid w:val="00A8622F"/>
    <w:rsid w:val="00A8636A"/>
    <w:rsid w:val="00A86810"/>
    <w:rsid w:val="00A86955"/>
    <w:rsid w:val="00A86B4C"/>
    <w:rsid w:val="00A86C31"/>
    <w:rsid w:val="00A86C94"/>
    <w:rsid w:val="00A86C9B"/>
    <w:rsid w:val="00A8728F"/>
    <w:rsid w:val="00A872C5"/>
    <w:rsid w:val="00A87B51"/>
    <w:rsid w:val="00A87D8F"/>
    <w:rsid w:val="00A87E4C"/>
    <w:rsid w:val="00A90259"/>
    <w:rsid w:val="00A90449"/>
    <w:rsid w:val="00A90948"/>
    <w:rsid w:val="00A90A45"/>
    <w:rsid w:val="00A90C8F"/>
    <w:rsid w:val="00A90DB0"/>
    <w:rsid w:val="00A90FA9"/>
    <w:rsid w:val="00A915F7"/>
    <w:rsid w:val="00A91AB3"/>
    <w:rsid w:val="00A91B75"/>
    <w:rsid w:val="00A91BC4"/>
    <w:rsid w:val="00A91C33"/>
    <w:rsid w:val="00A91D4F"/>
    <w:rsid w:val="00A921FE"/>
    <w:rsid w:val="00A924A5"/>
    <w:rsid w:val="00A92817"/>
    <w:rsid w:val="00A929C3"/>
    <w:rsid w:val="00A92AC0"/>
    <w:rsid w:val="00A92B94"/>
    <w:rsid w:val="00A92C88"/>
    <w:rsid w:val="00A92CF4"/>
    <w:rsid w:val="00A92D03"/>
    <w:rsid w:val="00A92F10"/>
    <w:rsid w:val="00A9370C"/>
    <w:rsid w:val="00A9379D"/>
    <w:rsid w:val="00A937A6"/>
    <w:rsid w:val="00A93AAC"/>
    <w:rsid w:val="00A93BBA"/>
    <w:rsid w:val="00A93EE7"/>
    <w:rsid w:val="00A93F33"/>
    <w:rsid w:val="00A94760"/>
    <w:rsid w:val="00A947EB"/>
    <w:rsid w:val="00A94A2D"/>
    <w:rsid w:val="00A94A83"/>
    <w:rsid w:val="00A94F2E"/>
    <w:rsid w:val="00A951B4"/>
    <w:rsid w:val="00A952FF"/>
    <w:rsid w:val="00A9536F"/>
    <w:rsid w:val="00A95432"/>
    <w:rsid w:val="00A954AC"/>
    <w:rsid w:val="00A95756"/>
    <w:rsid w:val="00A9582B"/>
    <w:rsid w:val="00A95B26"/>
    <w:rsid w:val="00A95DAB"/>
    <w:rsid w:val="00A95DD7"/>
    <w:rsid w:val="00A95FAB"/>
    <w:rsid w:val="00A961C6"/>
    <w:rsid w:val="00A962ED"/>
    <w:rsid w:val="00A965F4"/>
    <w:rsid w:val="00A9679B"/>
    <w:rsid w:val="00A9694E"/>
    <w:rsid w:val="00A96D3F"/>
    <w:rsid w:val="00A96E65"/>
    <w:rsid w:val="00A96FD2"/>
    <w:rsid w:val="00A9720B"/>
    <w:rsid w:val="00A9731E"/>
    <w:rsid w:val="00A974C3"/>
    <w:rsid w:val="00A97505"/>
    <w:rsid w:val="00A9751A"/>
    <w:rsid w:val="00A976CF"/>
    <w:rsid w:val="00A9775C"/>
    <w:rsid w:val="00A97864"/>
    <w:rsid w:val="00A978DE"/>
    <w:rsid w:val="00A97C9C"/>
    <w:rsid w:val="00A97CFA"/>
    <w:rsid w:val="00AA006B"/>
    <w:rsid w:val="00AA01AE"/>
    <w:rsid w:val="00AA0475"/>
    <w:rsid w:val="00AA05C7"/>
    <w:rsid w:val="00AA07A9"/>
    <w:rsid w:val="00AA0AC8"/>
    <w:rsid w:val="00AA0AF7"/>
    <w:rsid w:val="00AA0C47"/>
    <w:rsid w:val="00AA0DD6"/>
    <w:rsid w:val="00AA0DE8"/>
    <w:rsid w:val="00AA0EAF"/>
    <w:rsid w:val="00AA0EC3"/>
    <w:rsid w:val="00AA0F75"/>
    <w:rsid w:val="00AA0FD0"/>
    <w:rsid w:val="00AA143C"/>
    <w:rsid w:val="00AA1504"/>
    <w:rsid w:val="00AA166F"/>
    <w:rsid w:val="00AA192B"/>
    <w:rsid w:val="00AA19B0"/>
    <w:rsid w:val="00AA1B0C"/>
    <w:rsid w:val="00AA1BAE"/>
    <w:rsid w:val="00AA1BCF"/>
    <w:rsid w:val="00AA1DEF"/>
    <w:rsid w:val="00AA20CA"/>
    <w:rsid w:val="00AA22FE"/>
    <w:rsid w:val="00AA2506"/>
    <w:rsid w:val="00AA25AE"/>
    <w:rsid w:val="00AA2639"/>
    <w:rsid w:val="00AA29C0"/>
    <w:rsid w:val="00AA2AB5"/>
    <w:rsid w:val="00AA2B46"/>
    <w:rsid w:val="00AA2BA2"/>
    <w:rsid w:val="00AA2C3B"/>
    <w:rsid w:val="00AA2E6B"/>
    <w:rsid w:val="00AA3267"/>
    <w:rsid w:val="00AA327F"/>
    <w:rsid w:val="00AA33E7"/>
    <w:rsid w:val="00AA394D"/>
    <w:rsid w:val="00AA3B52"/>
    <w:rsid w:val="00AA3BBF"/>
    <w:rsid w:val="00AA3C3C"/>
    <w:rsid w:val="00AA3D96"/>
    <w:rsid w:val="00AA3DBB"/>
    <w:rsid w:val="00AA448B"/>
    <w:rsid w:val="00AA4525"/>
    <w:rsid w:val="00AA4B51"/>
    <w:rsid w:val="00AA4D10"/>
    <w:rsid w:val="00AA4D22"/>
    <w:rsid w:val="00AA4DDF"/>
    <w:rsid w:val="00AA5414"/>
    <w:rsid w:val="00AA55FC"/>
    <w:rsid w:val="00AA5602"/>
    <w:rsid w:val="00AA572E"/>
    <w:rsid w:val="00AA57F7"/>
    <w:rsid w:val="00AA5848"/>
    <w:rsid w:val="00AA58E5"/>
    <w:rsid w:val="00AA5C95"/>
    <w:rsid w:val="00AA6375"/>
    <w:rsid w:val="00AA6565"/>
    <w:rsid w:val="00AA6D5E"/>
    <w:rsid w:val="00AA6E08"/>
    <w:rsid w:val="00AA6FCD"/>
    <w:rsid w:val="00AA70CC"/>
    <w:rsid w:val="00AA7106"/>
    <w:rsid w:val="00AA716A"/>
    <w:rsid w:val="00AA7312"/>
    <w:rsid w:val="00AA735F"/>
    <w:rsid w:val="00AA737F"/>
    <w:rsid w:val="00AA738D"/>
    <w:rsid w:val="00AA73C0"/>
    <w:rsid w:val="00AA7694"/>
    <w:rsid w:val="00AA7858"/>
    <w:rsid w:val="00AA7935"/>
    <w:rsid w:val="00AA7C00"/>
    <w:rsid w:val="00AA7C2F"/>
    <w:rsid w:val="00AA7D0D"/>
    <w:rsid w:val="00AB0380"/>
    <w:rsid w:val="00AB0421"/>
    <w:rsid w:val="00AB04C5"/>
    <w:rsid w:val="00AB0552"/>
    <w:rsid w:val="00AB060F"/>
    <w:rsid w:val="00AB06B9"/>
    <w:rsid w:val="00AB09CF"/>
    <w:rsid w:val="00AB1009"/>
    <w:rsid w:val="00AB1095"/>
    <w:rsid w:val="00AB11DB"/>
    <w:rsid w:val="00AB1203"/>
    <w:rsid w:val="00AB158A"/>
    <w:rsid w:val="00AB1A3D"/>
    <w:rsid w:val="00AB1A92"/>
    <w:rsid w:val="00AB1B96"/>
    <w:rsid w:val="00AB1BA4"/>
    <w:rsid w:val="00AB1BCD"/>
    <w:rsid w:val="00AB1D33"/>
    <w:rsid w:val="00AB1D3A"/>
    <w:rsid w:val="00AB1F7D"/>
    <w:rsid w:val="00AB1FD8"/>
    <w:rsid w:val="00AB2006"/>
    <w:rsid w:val="00AB22EE"/>
    <w:rsid w:val="00AB239F"/>
    <w:rsid w:val="00AB2B72"/>
    <w:rsid w:val="00AB2D84"/>
    <w:rsid w:val="00AB30E3"/>
    <w:rsid w:val="00AB35C9"/>
    <w:rsid w:val="00AB3AA8"/>
    <w:rsid w:val="00AB3AC2"/>
    <w:rsid w:val="00AB3BFA"/>
    <w:rsid w:val="00AB3EBA"/>
    <w:rsid w:val="00AB3EC3"/>
    <w:rsid w:val="00AB4378"/>
    <w:rsid w:val="00AB43E8"/>
    <w:rsid w:val="00AB47D2"/>
    <w:rsid w:val="00AB4A61"/>
    <w:rsid w:val="00AB4CCA"/>
    <w:rsid w:val="00AB4F6E"/>
    <w:rsid w:val="00AB53C5"/>
    <w:rsid w:val="00AB566E"/>
    <w:rsid w:val="00AB572F"/>
    <w:rsid w:val="00AB5786"/>
    <w:rsid w:val="00AB5A45"/>
    <w:rsid w:val="00AB5A68"/>
    <w:rsid w:val="00AB60DE"/>
    <w:rsid w:val="00AB6243"/>
    <w:rsid w:val="00AB625E"/>
    <w:rsid w:val="00AB6374"/>
    <w:rsid w:val="00AB684A"/>
    <w:rsid w:val="00AB6BE3"/>
    <w:rsid w:val="00AB6C4C"/>
    <w:rsid w:val="00AB6CA5"/>
    <w:rsid w:val="00AB6EFC"/>
    <w:rsid w:val="00AB6F39"/>
    <w:rsid w:val="00AB72AE"/>
    <w:rsid w:val="00AB72CA"/>
    <w:rsid w:val="00AB7307"/>
    <w:rsid w:val="00AB743B"/>
    <w:rsid w:val="00AB7A25"/>
    <w:rsid w:val="00AB7B5A"/>
    <w:rsid w:val="00AB7DF7"/>
    <w:rsid w:val="00AB7F76"/>
    <w:rsid w:val="00AC0024"/>
    <w:rsid w:val="00AC006A"/>
    <w:rsid w:val="00AC0089"/>
    <w:rsid w:val="00AC022B"/>
    <w:rsid w:val="00AC0266"/>
    <w:rsid w:val="00AC053E"/>
    <w:rsid w:val="00AC09AF"/>
    <w:rsid w:val="00AC0A53"/>
    <w:rsid w:val="00AC0D11"/>
    <w:rsid w:val="00AC0E7C"/>
    <w:rsid w:val="00AC0ED6"/>
    <w:rsid w:val="00AC0F40"/>
    <w:rsid w:val="00AC0FB1"/>
    <w:rsid w:val="00AC13C2"/>
    <w:rsid w:val="00AC1487"/>
    <w:rsid w:val="00AC15BA"/>
    <w:rsid w:val="00AC19AC"/>
    <w:rsid w:val="00AC1C55"/>
    <w:rsid w:val="00AC1DA3"/>
    <w:rsid w:val="00AC2132"/>
    <w:rsid w:val="00AC22C4"/>
    <w:rsid w:val="00AC23BC"/>
    <w:rsid w:val="00AC2664"/>
    <w:rsid w:val="00AC272B"/>
    <w:rsid w:val="00AC27D6"/>
    <w:rsid w:val="00AC2A50"/>
    <w:rsid w:val="00AC2AF3"/>
    <w:rsid w:val="00AC2CC4"/>
    <w:rsid w:val="00AC36AA"/>
    <w:rsid w:val="00AC381E"/>
    <w:rsid w:val="00AC3A96"/>
    <w:rsid w:val="00AC3CB5"/>
    <w:rsid w:val="00AC3EFB"/>
    <w:rsid w:val="00AC3F9E"/>
    <w:rsid w:val="00AC4064"/>
    <w:rsid w:val="00AC4576"/>
    <w:rsid w:val="00AC4879"/>
    <w:rsid w:val="00AC49B6"/>
    <w:rsid w:val="00AC49E3"/>
    <w:rsid w:val="00AC4A45"/>
    <w:rsid w:val="00AC4D2A"/>
    <w:rsid w:val="00AC4DAC"/>
    <w:rsid w:val="00AC4E57"/>
    <w:rsid w:val="00AC4F20"/>
    <w:rsid w:val="00AC5045"/>
    <w:rsid w:val="00AC5065"/>
    <w:rsid w:val="00AC5789"/>
    <w:rsid w:val="00AC578D"/>
    <w:rsid w:val="00AC5A51"/>
    <w:rsid w:val="00AC5C14"/>
    <w:rsid w:val="00AC5C4C"/>
    <w:rsid w:val="00AC604E"/>
    <w:rsid w:val="00AC6250"/>
    <w:rsid w:val="00AC6340"/>
    <w:rsid w:val="00AC66DD"/>
    <w:rsid w:val="00AC670D"/>
    <w:rsid w:val="00AC6737"/>
    <w:rsid w:val="00AC6B9F"/>
    <w:rsid w:val="00AC6BE3"/>
    <w:rsid w:val="00AC6D41"/>
    <w:rsid w:val="00AC7689"/>
    <w:rsid w:val="00AC7762"/>
    <w:rsid w:val="00AC7A7C"/>
    <w:rsid w:val="00AC7AC8"/>
    <w:rsid w:val="00AC7C24"/>
    <w:rsid w:val="00AC7C96"/>
    <w:rsid w:val="00AC7ECD"/>
    <w:rsid w:val="00AC7F4D"/>
    <w:rsid w:val="00AD0029"/>
    <w:rsid w:val="00AD021D"/>
    <w:rsid w:val="00AD0244"/>
    <w:rsid w:val="00AD035C"/>
    <w:rsid w:val="00AD0409"/>
    <w:rsid w:val="00AD07AD"/>
    <w:rsid w:val="00AD087E"/>
    <w:rsid w:val="00AD0E06"/>
    <w:rsid w:val="00AD0F1A"/>
    <w:rsid w:val="00AD1111"/>
    <w:rsid w:val="00AD119D"/>
    <w:rsid w:val="00AD17B5"/>
    <w:rsid w:val="00AD18D8"/>
    <w:rsid w:val="00AD18E7"/>
    <w:rsid w:val="00AD1A45"/>
    <w:rsid w:val="00AD1D76"/>
    <w:rsid w:val="00AD27CF"/>
    <w:rsid w:val="00AD27F9"/>
    <w:rsid w:val="00AD28D4"/>
    <w:rsid w:val="00AD295A"/>
    <w:rsid w:val="00AD2B0B"/>
    <w:rsid w:val="00AD2CC6"/>
    <w:rsid w:val="00AD2D06"/>
    <w:rsid w:val="00AD2E2C"/>
    <w:rsid w:val="00AD2EDA"/>
    <w:rsid w:val="00AD300D"/>
    <w:rsid w:val="00AD3029"/>
    <w:rsid w:val="00AD31AF"/>
    <w:rsid w:val="00AD332D"/>
    <w:rsid w:val="00AD33A1"/>
    <w:rsid w:val="00AD33B0"/>
    <w:rsid w:val="00AD34DC"/>
    <w:rsid w:val="00AD38BF"/>
    <w:rsid w:val="00AD3966"/>
    <w:rsid w:val="00AD3A30"/>
    <w:rsid w:val="00AD3ACE"/>
    <w:rsid w:val="00AD3B5C"/>
    <w:rsid w:val="00AD3BE6"/>
    <w:rsid w:val="00AD3CA4"/>
    <w:rsid w:val="00AD4164"/>
    <w:rsid w:val="00AD424E"/>
    <w:rsid w:val="00AD4855"/>
    <w:rsid w:val="00AD499E"/>
    <w:rsid w:val="00AD49E3"/>
    <w:rsid w:val="00AD4A36"/>
    <w:rsid w:val="00AD4C09"/>
    <w:rsid w:val="00AD4EBE"/>
    <w:rsid w:val="00AD5000"/>
    <w:rsid w:val="00AD52B0"/>
    <w:rsid w:val="00AD59BB"/>
    <w:rsid w:val="00AD5B12"/>
    <w:rsid w:val="00AD5B58"/>
    <w:rsid w:val="00AD5BFE"/>
    <w:rsid w:val="00AD5CAB"/>
    <w:rsid w:val="00AD5DD7"/>
    <w:rsid w:val="00AD600B"/>
    <w:rsid w:val="00AD6081"/>
    <w:rsid w:val="00AD62DB"/>
    <w:rsid w:val="00AD639E"/>
    <w:rsid w:val="00AD6662"/>
    <w:rsid w:val="00AD67E3"/>
    <w:rsid w:val="00AD688B"/>
    <w:rsid w:val="00AD6C3B"/>
    <w:rsid w:val="00AD7061"/>
    <w:rsid w:val="00AD7317"/>
    <w:rsid w:val="00AD75FF"/>
    <w:rsid w:val="00AD765C"/>
    <w:rsid w:val="00AD7668"/>
    <w:rsid w:val="00AD7CF6"/>
    <w:rsid w:val="00AD7E6F"/>
    <w:rsid w:val="00AE004F"/>
    <w:rsid w:val="00AE00EB"/>
    <w:rsid w:val="00AE00F2"/>
    <w:rsid w:val="00AE0187"/>
    <w:rsid w:val="00AE06E4"/>
    <w:rsid w:val="00AE0705"/>
    <w:rsid w:val="00AE07A9"/>
    <w:rsid w:val="00AE084F"/>
    <w:rsid w:val="00AE0C76"/>
    <w:rsid w:val="00AE0FB5"/>
    <w:rsid w:val="00AE156B"/>
    <w:rsid w:val="00AE16B9"/>
    <w:rsid w:val="00AE17E1"/>
    <w:rsid w:val="00AE1B59"/>
    <w:rsid w:val="00AE2042"/>
    <w:rsid w:val="00AE214E"/>
    <w:rsid w:val="00AE2275"/>
    <w:rsid w:val="00AE250B"/>
    <w:rsid w:val="00AE25AB"/>
    <w:rsid w:val="00AE25F2"/>
    <w:rsid w:val="00AE25F5"/>
    <w:rsid w:val="00AE274E"/>
    <w:rsid w:val="00AE27B7"/>
    <w:rsid w:val="00AE2F4B"/>
    <w:rsid w:val="00AE30CD"/>
    <w:rsid w:val="00AE3133"/>
    <w:rsid w:val="00AE34ED"/>
    <w:rsid w:val="00AE35B3"/>
    <w:rsid w:val="00AE3FAD"/>
    <w:rsid w:val="00AE4017"/>
    <w:rsid w:val="00AE40C3"/>
    <w:rsid w:val="00AE428F"/>
    <w:rsid w:val="00AE461C"/>
    <w:rsid w:val="00AE4925"/>
    <w:rsid w:val="00AE4A7B"/>
    <w:rsid w:val="00AE4B63"/>
    <w:rsid w:val="00AE4E69"/>
    <w:rsid w:val="00AE4E85"/>
    <w:rsid w:val="00AE4F8A"/>
    <w:rsid w:val="00AE5079"/>
    <w:rsid w:val="00AE5128"/>
    <w:rsid w:val="00AE54C3"/>
    <w:rsid w:val="00AE59D6"/>
    <w:rsid w:val="00AE5AF2"/>
    <w:rsid w:val="00AE5E18"/>
    <w:rsid w:val="00AE5E22"/>
    <w:rsid w:val="00AE5EFD"/>
    <w:rsid w:val="00AE60D1"/>
    <w:rsid w:val="00AE626B"/>
    <w:rsid w:val="00AE63CD"/>
    <w:rsid w:val="00AE6702"/>
    <w:rsid w:val="00AE67BD"/>
    <w:rsid w:val="00AE688F"/>
    <w:rsid w:val="00AE692B"/>
    <w:rsid w:val="00AE6ABD"/>
    <w:rsid w:val="00AE6F31"/>
    <w:rsid w:val="00AE7072"/>
    <w:rsid w:val="00AE70D8"/>
    <w:rsid w:val="00AE727B"/>
    <w:rsid w:val="00AE731A"/>
    <w:rsid w:val="00AE73DA"/>
    <w:rsid w:val="00AE75C9"/>
    <w:rsid w:val="00AE7724"/>
    <w:rsid w:val="00AE7760"/>
    <w:rsid w:val="00AE793C"/>
    <w:rsid w:val="00AE79E8"/>
    <w:rsid w:val="00AE7AB1"/>
    <w:rsid w:val="00AF0132"/>
    <w:rsid w:val="00AF01EC"/>
    <w:rsid w:val="00AF0242"/>
    <w:rsid w:val="00AF05F0"/>
    <w:rsid w:val="00AF079A"/>
    <w:rsid w:val="00AF099D"/>
    <w:rsid w:val="00AF0F78"/>
    <w:rsid w:val="00AF1091"/>
    <w:rsid w:val="00AF10A8"/>
    <w:rsid w:val="00AF120E"/>
    <w:rsid w:val="00AF1374"/>
    <w:rsid w:val="00AF13AC"/>
    <w:rsid w:val="00AF13F0"/>
    <w:rsid w:val="00AF1469"/>
    <w:rsid w:val="00AF1607"/>
    <w:rsid w:val="00AF16FF"/>
    <w:rsid w:val="00AF178A"/>
    <w:rsid w:val="00AF18DB"/>
    <w:rsid w:val="00AF18E5"/>
    <w:rsid w:val="00AF1950"/>
    <w:rsid w:val="00AF1970"/>
    <w:rsid w:val="00AF1E20"/>
    <w:rsid w:val="00AF22EE"/>
    <w:rsid w:val="00AF2505"/>
    <w:rsid w:val="00AF25C6"/>
    <w:rsid w:val="00AF267A"/>
    <w:rsid w:val="00AF2E0B"/>
    <w:rsid w:val="00AF2E8C"/>
    <w:rsid w:val="00AF3008"/>
    <w:rsid w:val="00AF30C0"/>
    <w:rsid w:val="00AF3132"/>
    <w:rsid w:val="00AF3328"/>
    <w:rsid w:val="00AF3350"/>
    <w:rsid w:val="00AF377D"/>
    <w:rsid w:val="00AF3817"/>
    <w:rsid w:val="00AF3A8F"/>
    <w:rsid w:val="00AF3CF6"/>
    <w:rsid w:val="00AF4093"/>
    <w:rsid w:val="00AF40CE"/>
    <w:rsid w:val="00AF4316"/>
    <w:rsid w:val="00AF43A7"/>
    <w:rsid w:val="00AF4531"/>
    <w:rsid w:val="00AF4601"/>
    <w:rsid w:val="00AF46DC"/>
    <w:rsid w:val="00AF48F2"/>
    <w:rsid w:val="00AF4A13"/>
    <w:rsid w:val="00AF4AA2"/>
    <w:rsid w:val="00AF4DCE"/>
    <w:rsid w:val="00AF5026"/>
    <w:rsid w:val="00AF5065"/>
    <w:rsid w:val="00AF50C2"/>
    <w:rsid w:val="00AF50F5"/>
    <w:rsid w:val="00AF5181"/>
    <w:rsid w:val="00AF5456"/>
    <w:rsid w:val="00AF5519"/>
    <w:rsid w:val="00AF562A"/>
    <w:rsid w:val="00AF56E1"/>
    <w:rsid w:val="00AF599F"/>
    <w:rsid w:val="00AF5B70"/>
    <w:rsid w:val="00AF61A6"/>
    <w:rsid w:val="00AF61CC"/>
    <w:rsid w:val="00AF625D"/>
    <w:rsid w:val="00AF62A7"/>
    <w:rsid w:val="00AF62E7"/>
    <w:rsid w:val="00AF645E"/>
    <w:rsid w:val="00AF6517"/>
    <w:rsid w:val="00AF6809"/>
    <w:rsid w:val="00AF6884"/>
    <w:rsid w:val="00AF6A77"/>
    <w:rsid w:val="00AF6F90"/>
    <w:rsid w:val="00AF6FB2"/>
    <w:rsid w:val="00AF71D7"/>
    <w:rsid w:val="00AF7687"/>
    <w:rsid w:val="00AF7940"/>
    <w:rsid w:val="00AF7AF1"/>
    <w:rsid w:val="00AF7CFB"/>
    <w:rsid w:val="00B000CF"/>
    <w:rsid w:val="00B00184"/>
    <w:rsid w:val="00B00310"/>
    <w:rsid w:val="00B0039F"/>
    <w:rsid w:val="00B003F4"/>
    <w:rsid w:val="00B0045F"/>
    <w:rsid w:val="00B006C4"/>
    <w:rsid w:val="00B009F8"/>
    <w:rsid w:val="00B00A5C"/>
    <w:rsid w:val="00B00AD3"/>
    <w:rsid w:val="00B00C22"/>
    <w:rsid w:val="00B011DC"/>
    <w:rsid w:val="00B01226"/>
    <w:rsid w:val="00B01517"/>
    <w:rsid w:val="00B01641"/>
    <w:rsid w:val="00B01B47"/>
    <w:rsid w:val="00B01FB7"/>
    <w:rsid w:val="00B02042"/>
    <w:rsid w:val="00B020B6"/>
    <w:rsid w:val="00B0214A"/>
    <w:rsid w:val="00B023FD"/>
    <w:rsid w:val="00B0243F"/>
    <w:rsid w:val="00B02601"/>
    <w:rsid w:val="00B02890"/>
    <w:rsid w:val="00B02A38"/>
    <w:rsid w:val="00B02B2E"/>
    <w:rsid w:val="00B02D00"/>
    <w:rsid w:val="00B02E04"/>
    <w:rsid w:val="00B02EFA"/>
    <w:rsid w:val="00B02F09"/>
    <w:rsid w:val="00B02F89"/>
    <w:rsid w:val="00B030E2"/>
    <w:rsid w:val="00B032F9"/>
    <w:rsid w:val="00B03356"/>
    <w:rsid w:val="00B03386"/>
    <w:rsid w:val="00B03825"/>
    <w:rsid w:val="00B03855"/>
    <w:rsid w:val="00B03915"/>
    <w:rsid w:val="00B03D72"/>
    <w:rsid w:val="00B04121"/>
    <w:rsid w:val="00B04393"/>
    <w:rsid w:val="00B04553"/>
    <w:rsid w:val="00B04747"/>
    <w:rsid w:val="00B04785"/>
    <w:rsid w:val="00B04947"/>
    <w:rsid w:val="00B04969"/>
    <w:rsid w:val="00B04995"/>
    <w:rsid w:val="00B049BA"/>
    <w:rsid w:val="00B049DF"/>
    <w:rsid w:val="00B04C83"/>
    <w:rsid w:val="00B04E0F"/>
    <w:rsid w:val="00B04F25"/>
    <w:rsid w:val="00B04F36"/>
    <w:rsid w:val="00B05014"/>
    <w:rsid w:val="00B05103"/>
    <w:rsid w:val="00B05123"/>
    <w:rsid w:val="00B05135"/>
    <w:rsid w:val="00B0547E"/>
    <w:rsid w:val="00B05694"/>
    <w:rsid w:val="00B0588B"/>
    <w:rsid w:val="00B0599B"/>
    <w:rsid w:val="00B05CC9"/>
    <w:rsid w:val="00B05F9E"/>
    <w:rsid w:val="00B06015"/>
    <w:rsid w:val="00B062FA"/>
    <w:rsid w:val="00B0639F"/>
    <w:rsid w:val="00B06630"/>
    <w:rsid w:val="00B06884"/>
    <w:rsid w:val="00B06AA4"/>
    <w:rsid w:val="00B06B5F"/>
    <w:rsid w:val="00B06E4D"/>
    <w:rsid w:val="00B06E9A"/>
    <w:rsid w:val="00B06EF5"/>
    <w:rsid w:val="00B06F63"/>
    <w:rsid w:val="00B073F4"/>
    <w:rsid w:val="00B0740B"/>
    <w:rsid w:val="00B074E0"/>
    <w:rsid w:val="00B075BC"/>
    <w:rsid w:val="00B07640"/>
    <w:rsid w:val="00B076E5"/>
    <w:rsid w:val="00B07A40"/>
    <w:rsid w:val="00B07A6E"/>
    <w:rsid w:val="00B07B8D"/>
    <w:rsid w:val="00B07C39"/>
    <w:rsid w:val="00B1000E"/>
    <w:rsid w:val="00B1026C"/>
    <w:rsid w:val="00B102F4"/>
    <w:rsid w:val="00B10912"/>
    <w:rsid w:val="00B10C8E"/>
    <w:rsid w:val="00B10DD8"/>
    <w:rsid w:val="00B11059"/>
    <w:rsid w:val="00B1118F"/>
    <w:rsid w:val="00B11298"/>
    <w:rsid w:val="00B1186B"/>
    <w:rsid w:val="00B11F5E"/>
    <w:rsid w:val="00B12177"/>
    <w:rsid w:val="00B1218A"/>
    <w:rsid w:val="00B12190"/>
    <w:rsid w:val="00B127F4"/>
    <w:rsid w:val="00B129FC"/>
    <w:rsid w:val="00B12A3D"/>
    <w:rsid w:val="00B12B0F"/>
    <w:rsid w:val="00B12DE5"/>
    <w:rsid w:val="00B12E40"/>
    <w:rsid w:val="00B131A9"/>
    <w:rsid w:val="00B13381"/>
    <w:rsid w:val="00B1343C"/>
    <w:rsid w:val="00B1344C"/>
    <w:rsid w:val="00B134AC"/>
    <w:rsid w:val="00B134AD"/>
    <w:rsid w:val="00B13627"/>
    <w:rsid w:val="00B13703"/>
    <w:rsid w:val="00B13778"/>
    <w:rsid w:val="00B13A54"/>
    <w:rsid w:val="00B13B05"/>
    <w:rsid w:val="00B13C54"/>
    <w:rsid w:val="00B13DF5"/>
    <w:rsid w:val="00B13F8A"/>
    <w:rsid w:val="00B14049"/>
    <w:rsid w:val="00B14287"/>
    <w:rsid w:val="00B14305"/>
    <w:rsid w:val="00B14453"/>
    <w:rsid w:val="00B148AB"/>
    <w:rsid w:val="00B14C0A"/>
    <w:rsid w:val="00B14D3E"/>
    <w:rsid w:val="00B14D85"/>
    <w:rsid w:val="00B14DFA"/>
    <w:rsid w:val="00B14F6F"/>
    <w:rsid w:val="00B153DD"/>
    <w:rsid w:val="00B155AE"/>
    <w:rsid w:val="00B156A9"/>
    <w:rsid w:val="00B15724"/>
    <w:rsid w:val="00B157D6"/>
    <w:rsid w:val="00B15C07"/>
    <w:rsid w:val="00B16068"/>
    <w:rsid w:val="00B160A4"/>
    <w:rsid w:val="00B160E4"/>
    <w:rsid w:val="00B16268"/>
    <w:rsid w:val="00B1632F"/>
    <w:rsid w:val="00B1633F"/>
    <w:rsid w:val="00B16467"/>
    <w:rsid w:val="00B16538"/>
    <w:rsid w:val="00B1674D"/>
    <w:rsid w:val="00B169D5"/>
    <w:rsid w:val="00B16A99"/>
    <w:rsid w:val="00B16ACA"/>
    <w:rsid w:val="00B16AF0"/>
    <w:rsid w:val="00B16B18"/>
    <w:rsid w:val="00B174AF"/>
    <w:rsid w:val="00B175A2"/>
    <w:rsid w:val="00B175DE"/>
    <w:rsid w:val="00B17F27"/>
    <w:rsid w:val="00B20082"/>
    <w:rsid w:val="00B20557"/>
    <w:rsid w:val="00B20616"/>
    <w:rsid w:val="00B20A16"/>
    <w:rsid w:val="00B20D3E"/>
    <w:rsid w:val="00B21124"/>
    <w:rsid w:val="00B211D3"/>
    <w:rsid w:val="00B2122F"/>
    <w:rsid w:val="00B21450"/>
    <w:rsid w:val="00B2170F"/>
    <w:rsid w:val="00B2177B"/>
    <w:rsid w:val="00B21ADB"/>
    <w:rsid w:val="00B21AE7"/>
    <w:rsid w:val="00B21B88"/>
    <w:rsid w:val="00B22323"/>
    <w:rsid w:val="00B2267D"/>
    <w:rsid w:val="00B22711"/>
    <w:rsid w:val="00B229FA"/>
    <w:rsid w:val="00B22A85"/>
    <w:rsid w:val="00B22B12"/>
    <w:rsid w:val="00B22C41"/>
    <w:rsid w:val="00B23152"/>
    <w:rsid w:val="00B23220"/>
    <w:rsid w:val="00B233EC"/>
    <w:rsid w:val="00B2341C"/>
    <w:rsid w:val="00B235D5"/>
    <w:rsid w:val="00B235E2"/>
    <w:rsid w:val="00B2363B"/>
    <w:rsid w:val="00B23733"/>
    <w:rsid w:val="00B2381E"/>
    <w:rsid w:val="00B239B3"/>
    <w:rsid w:val="00B23C66"/>
    <w:rsid w:val="00B23EAB"/>
    <w:rsid w:val="00B23F20"/>
    <w:rsid w:val="00B24007"/>
    <w:rsid w:val="00B24174"/>
    <w:rsid w:val="00B24256"/>
    <w:rsid w:val="00B243C5"/>
    <w:rsid w:val="00B2473D"/>
    <w:rsid w:val="00B24841"/>
    <w:rsid w:val="00B2484B"/>
    <w:rsid w:val="00B24C21"/>
    <w:rsid w:val="00B24D7F"/>
    <w:rsid w:val="00B25296"/>
    <w:rsid w:val="00B25347"/>
    <w:rsid w:val="00B2539D"/>
    <w:rsid w:val="00B25468"/>
    <w:rsid w:val="00B25673"/>
    <w:rsid w:val="00B25808"/>
    <w:rsid w:val="00B25CDA"/>
    <w:rsid w:val="00B26012"/>
    <w:rsid w:val="00B26202"/>
    <w:rsid w:val="00B26468"/>
    <w:rsid w:val="00B26496"/>
    <w:rsid w:val="00B2659A"/>
    <w:rsid w:val="00B2665A"/>
    <w:rsid w:val="00B2681F"/>
    <w:rsid w:val="00B268A4"/>
    <w:rsid w:val="00B269FB"/>
    <w:rsid w:val="00B26A59"/>
    <w:rsid w:val="00B26B23"/>
    <w:rsid w:val="00B26BBC"/>
    <w:rsid w:val="00B26CB2"/>
    <w:rsid w:val="00B26D40"/>
    <w:rsid w:val="00B2702F"/>
    <w:rsid w:val="00B2705D"/>
    <w:rsid w:val="00B27073"/>
    <w:rsid w:val="00B2713A"/>
    <w:rsid w:val="00B271FE"/>
    <w:rsid w:val="00B2742C"/>
    <w:rsid w:val="00B27499"/>
    <w:rsid w:val="00B2761E"/>
    <w:rsid w:val="00B27D49"/>
    <w:rsid w:val="00B27D56"/>
    <w:rsid w:val="00B27DE2"/>
    <w:rsid w:val="00B27E9C"/>
    <w:rsid w:val="00B30029"/>
    <w:rsid w:val="00B30381"/>
    <w:rsid w:val="00B30B2E"/>
    <w:rsid w:val="00B30D08"/>
    <w:rsid w:val="00B30E4A"/>
    <w:rsid w:val="00B30E99"/>
    <w:rsid w:val="00B30F7D"/>
    <w:rsid w:val="00B310AA"/>
    <w:rsid w:val="00B313B2"/>
    <w:rsid w:val="00B31431"/>
    <w:rsid w:val="00B315FE"/>
    <w:rsid w:val="00B31818"/>
    <w:rsid w:val="00B31972"/>
    <w:rsid w:val="00B31976"/>
    <w:rsid w:val="00B319A2"/>
    <w:rsid w:val="00B31B63"/>
    <w:rsid w:val="00B31F74"/>
    <w:rsid w:val="00B32030"/>
    <w:rsid w:val="00B321C8"/>
    <w:rsid w:val="00B3222E"/>
    <w:rsid w:val="00B324E9"/>
    <w:rsid w:val="00B32629"/>
    <w:rsid w:val="00B326B9"/>
    <w:rsid w:val="00B3271B"/>
    <w:rsid w:val="00B32783"/>
    <w:rsid w:val="00B328BD"/>
    <w:rsid w:val="00B329AB"/>
    <w:rsid w:val="00B33168"/>
    <w:rsid w:val="00B33383"/>
    <w:rsid w:val="00B3339C"/>
    <w:rsid w:val="00B33A91"/>
    <w:rsid w:val="00B33B5E"/>
    <w:rsid w:val="00B33DEF"/>
    <w:rsid w:val="00B33F39"/>
    <w:rsid w:val="00B33FA0"/>
    <w:rsid w:val="00B343D5"/>
    <w:rsid w:val="00B347EB"/>
    <w:rsid w:val="00B34959"/>
    <w:rsid w:val="00B34B02"/>
    <w:rsid w:val="00B35004"/>
    <w:rsid w:val="00B350D2"/>
    <w:rsid w:val="00B3529C"/>
    <w:rsid w:val="00B35581"/>
    <w:rsid w:val="00B356FA"/>
    <w:rsid w:val="00B359BD"/>
    <w:rsid w:val="00B359CF"/>
    <w:rsid w:val="00B35AC5"/>
    <w:rsid w:val="00B35AC9"/>
    <w:rsid w:val="00B35BEF"/>
    <w:rsid w:val="00B366BC"/>
    <w:rsid w:val="00B3679E"/>
    <w:rsid w:val="00B367F3"/>
    <w:rsid w:val="00B36956"/>
    <w:rsid w:val="00B36B55"/>
    <w:rsid w:val="00B36C48"/>
    <w:rsid w:val="00B36C8B"/>
    <w:rsid w:val="00B36C9D"/>
    <w:rsid w:val="00B36DAD"/>
    <w:rsid w:val="00B36E63"/>
    <w:rsid w:val="00B37164"/>
    <w:rsid w:val="00B37307"/>
    <w:rsid w:val="00B373F4"/>
    <w:rsid w:val="00B3741E"/>
    <w:rsid w:val="00B37475"/>
    <w:rsid w:val="00B3754C"/>
    <w:rsid w:val="00B37584"/>
    <w:rsid w:val="00B3789F"/>
    <w:rsid w:val="00B37919"/>
    <w:rsid w:val="00B37A03"/>
    <w:rsid w:val="00B37A50"/>
    <w:rsid w:val="00B37DAD"/>
    <w:rsid w:val="00B37E51"/>
    <w:rsid w:val="00B37EB7"/>
    <w:rsid w:val="00B37F6C"/>
    <w:rsid w:val="00B37FF2"/>
    <w:rsid w:val="00B4002F"/>
    <w:rsid w:val="00B4034C"/>
    <w:rsid w:val="00B40489"/>
    <w:rsid w:val="00B40795"/>
    <w:rsid w:val="00B40BFB"/>
    <w:rsid w:val="00B40E86"/>
    <w:rsid w:val="00B415C5"/>
    <w:rsid w:val="00B416AA"/>
    <w:rsid w:val="00B41742"/>
    <w:rsid w:val="00B419E6"/>
    <w:rsid w:val="00B4212B"/>
    <w:rsid w:val="00B4225E"/>
    <w:rsid w:val="00B422AF"/>
    <w:rsid w:val="00B42647"/>
    <w:rsid w:val="00B426A9"/>
    <w:rsid w:val="00B4291C"/>
    <w:rsid w:val="00B429F5"/>
    <w:rsid w:val="00B42C1C"/>
    <w:rsid w:val="00B42D98"/>
    <w:rsid w:val="00B42ED7"/>
    <w:rsid w:val="00B42F3E"/>
    <w:rsid w:val="00B43088"/>
    <w:rsid w:val="00B43112"/>
    <w:rsid w:val="00B4314F"/>
    <w:rsid w:val="00B4318D"/>
    <w:rsid w:val="00B43241"/>
    <w:rsid w:val="00B43372"/>
    <w:rsid w:val="00B4339B"/>
    <w:rsid w:val="00B433E7"/>
    <w:rsid w:val="00B43438"/>
    <w:rsid w:val="00B43575"/>
    <w:rsid w:val="00B435F8"/>
    <w:rsid w:val="00B43C28"/>
    <w:rsid w:val="00B43F39"/>
    <w:rsid w:val="00B43FCB"/>
    <w:rsid w:val="00B4439F"/>
    <w:rsid w:val="00B44523"/>
    <w:rsid w:val="00B44611"/>
    <w:rsid w:val="00B44632"/>
    <w:rsid w:val="00B4496A"/>
    <w:rsid w:val="00B4498A"/>
    <w:rsid w:val="00B44A40"/>
    <w:rsid w:val="00B44B5C"/>
    <w:rsid w:val="00B4540B"/>
    <w:rsid w:val="00B457F7"/>
    <w:rsid w:val="00B458AC"/>
    <w:rsid w:val="00B45BDA"/>
    <w:rsid w:val="00B45C72"/>
    <w:rsid w:val="00B45DC3"/>
    <w:rsid w:val="00B46195"/>
    <w:rsid w:val="00B464EE"/>
    <w:rsid w:val="00B465A9"/>
    <w:rsid w:val="00B46615"/>
    <w:rsid w:val="00B46785"/>
    <w:rsid w:val="00B468C8"/>
    <w:rsid w:val="00B46B6A"/>
    <w:rsid w:val="00B46B71"/>
    <w:rsid w:val="00B46E46"/>
    <w:rsid w:val="00B46EE6"/>
    <w:rsid w:val="00B470DD"/>
    <w:rsid w:val="00B471A3"/>
    <w:rsid w:val="00B4762C"/>
    <w:rsid w:val="00B47708"/>
    <w:rsid w:val="00B47775"/>
    <w:rsid w:val="00B477BA"/>
    <w:rsid w:val="00B478A3"/>
    <w:rsid w:val="00B47E49"/>
    <w:rsid w:val="00B47E7B"/>
    <w:rsid w:val="00B5010C"/>
    <w:rsid w:val="00B5013D"/>
    <w:rsid w:val="00B501F2"/>
    <w:rsid w:val="00B503CE"/>
    <w:rsid w:val="00B50678"/>
    <w:rsid w:val="00B50778"/>
    <w:rsid w:val="00B50BC3"/>
    <w:rsid w:val="00B50C27"/>
    <w:rsid w:val="00B50F2E"/>
    <w:rsid w:val="00B512BC"/>
    <w:rsid w:val="00B512E8"/>
    <w:rsid w:val="00B51447"/>
    <w:rsid w:val="00B519A0"/>
    <w:rsid w:val="00B51A44"/>
    <w:rsid w:val="00B51A61"/>
    <w:rsid w:val="00B51ABC"/>
    <w:rsid w:val="00B51D06"/>
    <w:rsid w:val="00B52043"/>
    <w:rsid w:val="00B521B3"/>
    <w:rsid w:val="00B52231"/>
    <w:rsid w:val="00B52301"/>
    <w:rsid w:val="00B52337"/>
    <w:rsid w:val="00B52399"/>
    <w:rsid w:val="00B523AC"/>
    <w:rsid w:val="00B5259B"/>
    <w:rsid w:val="00B52670"/>
    <w:rsid w:val="00B526B7"/>
    <w:rsid w:val="00B52926"/>
    <w:rsid w:val="00B52A66"/>
    <w:rsid w:val="00B52D4B"/>
    <w:rsid w:val="00B52E3B"/>
    <w:rsid w:val="00B52FE2"/>
    <w:rsid w:val="00B530C2"/>
    <w:rsid w:val="00B5318C"/>
    <w:rsid w:val="00B537E1"/>
    <w:rsid w:val="00B538BD"/>
    <w:rsid w:val="00B5392F"/>
    <w:rsid w:val="00B53C2B"/>
    <w:rsid w:val="00B53C56"/>
    <w:rsid w:val="00B53E6B"/>
    <w:rsid w:val="00B53EEF"/>
    <w:rsid w:val="00B53F76"/>
    <w:rsid w:val="00B5429E"/>
    <w:rsid w:val="00B5463F"/>
    <w:rsid w:val="00B54B3C"/>
    <w:rsid w:val="00B551C2"/>
    <w:rsid w:val="00B552C0"/>
    <w:rsid w:val="00B552DA"/>
    <w:rsid w:val="00B55740"/>
    <w:rsid w:val="00B558FC"/>
    <w:rsid w:val="00B55F00"/>
    <w:rsid w:val="00B55FE6"/>
    <w:rsid w:val="00B561CC"/>
    <w:rsid w:val="00B564FE"/>
    <w:rsid w:val="00B566A4"/>
    <w:rsid w:val="00B567CA"/>
    <w:rsid w:val="00B5687D"/>
    <w:rsid w:val="00B568C0"/>
    <w:rsid w:val="00B56A60"/>
    <w:rsid w:val="00B56CEC"/>
    <w:rsid w:val="00B56ECD"/>
    <w:rsid w:val="00B571E4"/>
    <w:rsid w:val="00B57356"/>
    <w:rsid w:val="00B573D7"/>
    <w:rsid w:val="00B57449"/>
    <w:rsid w:val="00B57587"/>
    <w:rsid w:val="00B57693"/>
    <w:rsid w:val="00B579A5"/>
    <w:rsid w:val="00B579B6"/>
    <w:rsid w:val="00B579D3"/>
    <w:rsid w:val="00B601BE"/>
    <w:rsid w:val="00B6021E"/>
    <w:rsid w:val="00B606D3"/>
    <w:rsid w:val="00B6084B"/>
    <w:rsid w:val="00B60B83"/>
    <w:rsid w:val="00B60BC8"/>
    <w:rsid w:val="00B60E03"/>
    <w:rsid w:val="00B60F61"/>
    <w:rsid w:val="00B60F9E"/>
    <w:rsid w:val="00B61243"/>
    <w:rsid w:val="00B612B1"/>
    <w:rsid w:val="00B613CA"/>
    <w:rsid w:val="00B617A2"/>
    <w:rsid w:val="00B618ED"/>
    <w:rsid w:val="00B61974"/>
    <w:rsid w:val="00B619AD"/>
    <w:rsid w:val="00B619F3"/>
    <w:rsid w:val="00B61F10"/>
    <w:rsid w:val="00B61F43"/>
    <w:rsid w:val="00B6208F"/>
    <w:rsid w:val="00B623F7"/>
    <w:rsid w:val="00B6267B"/>
    <w:rsid w:val="00B626C5"/>
    <w:rsid w:val="00B62A32"/>
    <w:rsid w:val="00B62A41"/>
    <w:rsid w:val="00B62B24"/>
    <w:rsid w:val="00B62B2D"/>
    <w:rsid w:val="00B62D24"/>
    <w:rsid w:val="00B62EE0"/>
    <w:rsid w:val="00B62EF9"/>
    <w:rsid w:val="00B630CF"/>
    <w:rsid w:val="00B63379"/>
    <w:rsid w:val="00B634E9"/>
    <w:rsid w:val="00B63657"/>
    <w:rsid w:val="00B63841"/>
    <w:rsid w:val="00B63E31"/>
    <w:rsid w:val="00B63E81"/>
    <w:rsid w:val="00B64008"/>
    <w:rsid w:val="00B643A4"/>
    <w:rsid w:val="00B64443"/>
    <w:rsid w:val="00B64567"/>
    <w:rsid w:val="00B646C0"/>
    <w:rsid w:val="00B64795"/>
    <w:rsid w:val="00B647A8"/>
    <w:rsid w:val="00B648E9"/>
    <w:rsid w:val="00B64928"/>
    <w:rsid w:val="00B64AA9"/>
    <w:rsid w:val="00B64DCD"/>
    <w:rsid w:val="00B64EF2"/>
    <w:rsid w:val="00B6505C"/>
    <w:rsid w:val="00B651E4"/>
    <w:rsid w:val="00B6527C"/>
    <w:rsid w:val="00B65420"/>
    <w:rsid w:val="00B6589F"/>
    <w:rsid w:val="00B65A37"/>
    <w:rsid w:val="00B65CE2"/>
    <w:rsid w:val="00B65F11"/>
    <w:rsid w:val="00B660B2"/>
    <w:rsid w:val="00B661FF"/>
    <w:rsid w:val="00B66499"/>
    <w:rsid w:val="00B664C2"/>
    <w:rsid w:val="00B665DA"/>
    <w:rsid w:val="00B6691E"/>
    <w:rsid w:val="00B66981"/>
    <w:rsid w:val="00B66BBD"/>
    <w:rsid w:val="00B670AD"/>
    <w:rsid w:val="00B67483"/>
    <w:rsid w:val="00B67789"/>
    <w:rsid w:val="00B67A20"/>
    <w:rsid w:val="00B67AE6"/>
    <w:rsid w:val="00B67CBA"/>
    <w:rsid w:val="00B67D9D"/>
    <w:rsid w:val="00B700B5"/>
    <w:rsid w:val="00B70210"/>
    <w:rsid w:val="00B70292"/>
    <w:rsid w:val="00B7038B"/>
    <w:rsid w:val="00B704FF"/>
    <w:rsid w:val="00B7050C"/>
    <w:rsid w:val="00B705AA"/>
    <w:rsid w:val="00B7073F"/>
    <w:rsid w:val="00B707AB"/>
    <w:rsid w:val="00B707C9"/>
    <w:rsid w:val="00B709D1"/>
    <w:rsid w:val="00B70ACC"/>
    <w:rsid w:val="00B70F36"/>
    <w:rsid w:val="00B71224"/>
    <w:rsid w:val="00B7143A"/>
    <w:rsid w:val="00B718D3"/>
    <w:rsid w:val="00B7197F"/>
    <w:rsid w:val="00B7199B"/>
    <w:rsid w:val="00B71A10"/>
    <w:rsid w:val="00B71C53"/>
    <w:rsid w:val="00B71D8B"/>
    <w:rsid w:val="00B72312"/>
    <w:rsid w:val="00B7231E"/>
    <w:rsid w:val="00B723DA"/>
    <w:rsid w:val="00B724FF"/>
    <w:rsid w:val="00B72590"/>
    <w:rsid w:val="00B7292D"/>
    <w:rsid w:val="00B72A5F"/>
    <w:rsid w:val="00B72D09"/>
    <w:rsid w:val="00B73086"/>
    <w:rsid w:val="00B73089"/>
    <w:rsid w:val="00B73091"/>
    <w:rsid w:val="00B73418"/>
    <w:rsid w:val="00B73422"/>
    <w:rsid w:val="00B735B0"/>
    <w:rsid w:val="00B736FD"/>
    <w:rsid w:val="00B73749"/>
    <w:rsid w:val="00B7374C"/>
    <w:rsid w:val="00B738DA"/>
    <w:rsid w:val="00B73A50"/>
    <w:rsid w:val="00B73B00"/>
    <w:rsid w:val="00B73BD4"/>
    <w:rsid w:val="00B73D28"/>
    <w:rsid w:val="00B73E1D"/>
    <w:rsid w:val="00B73ED5"/>
    <w:rsid w:val="00B74173"/>
    <w:rsid w:val="00B741BA"/>
    <w:rsid w:val="00B74430"/>
    <w:rsid w:val="00B744C3"/>
    <w:rsid w:val="00B7456B"/>
    <w:rsid w:val="00B74617"/>
    <w:rsid w:val="00B74B71"/>
    <w:rsid w:val="00B74ECB"/>
    <w:rsid w:val="00B74F54"/>
    <w:rsid w:val="00B7546D"/>
    <w:rsid w:val="00B7554E"/>
    <w:rsid w:val="00B75602"/>
    <w:rsid w:val="00B75608"/>
    <w:rsid w:val="00B759F3"/>
    <w:rsid w:val="00B75A3F"/>
    <w:rsid w:val="00B75B3C"/>
    <w:rsid w:val="00B75B8F"/>
    <w:rsid w:val="00B75C53"/>
    <w:rsid w:val="00B75DE0"/>
    <w:rsid w:val="00B76187"/>
    <w:rsid w:val="00B761B8"/>
    <w:rsid w:val="00B76238"/>
    <w:rsid w:val="00B764D2"/>
    <w:rsid w:val="00B764DA"/>
    <w:rsid w:val="00B76609"/>
    <w:rsid w:val="00B766CD"/>
    <w:rsid w:val="00B76745"/>
    <w:rsid w:val="00B76945"/>
    <w:rsid w:val="00B76994"/>
    <w:rsid w:val="00B76A6B"/>
    <w:rsid w:val="00B76ADF"/>
    <w:rsid w:val="00B76BA4"/>
    <w:rsid w:val="00B771D4"/>
    <w:rsid w:val="00B771E9"/>
    <w:rsid w:val="00B77507"/>
    <w:rsid w:val="00B775EB"/>
    <w:rsid w:val="00B77871"/>
    <w:rsid w:val="00B779CD"/>
    <w:rsid w:val="00B779D4"/>
    <w:rsid w:val="00B77C34"/>
    <w:rsid w:val="00B77DF1"/>
    <w:rsid w:val="00B805D1"/>
    <w:rsid w:val="00B80862"/>
    <w:rsid w:val="00B80A9B"/>
    <w:rsid w:val="00B812D2"/>
    <w:rsid w:val="00B8143D"/>
    <w:rsid w:val="00B81A95"/>
    <w:rsid w:val="00B81BAA"/>
    <w:rsid w:val="00B81C21"/>
    <w:rsid w:val="00B81DEC"/>
    <w:rsid w:val="00B81EDF"/>
    <w:rsid w:val="00B81F83"/>
    <w:rsid w:val="00B8243D"/>
    <w:rsid w:val="00B8250E"/>
    <w:rsid w:val="00B825F3"/>
    <w:rsid w:val="00B82634"/>
    <w:rsid w:val="00B82698"/>
    <w:rsid w:val="00B8294A"/>
    <w:rsid w:val="00B82A0C"/>
    <w:rsid w:val="00B82E64"/>
    <w:rsid w:val="00B82E72"/>
    <w:rsid w:val="00B82F52"/>
    <w:rsid w:val="00B82F5F"/>
    <w:rsid w:val="00B832D4"/>
    <w:rsid w:val="00B83710"/>
    <w:rsid w:val="00B83780"/>
    <w:rsid w:val="00B83B1D"/>
    <w:rsid w:val="00B83C40"/>
    <w:rsid w:val="00B83CC3"/>
    <w:rsid w:val="00B83D3F"/>
    <w:rsid w:val="00B83D98"/>
    <w:rsid w:val="00B83E8A"/>
    <w:rsid w:val="00B83F72"/>
    <w:rsid w:val="00B84350"/>
    <w:rsid w:val="00B84394"/>
    <w:rsid w:val="00B844A4"/>
    <w:rsid w:val="00B84640"/>
    <w:rsid w:val="00B846CB"/>
    <w:rsid w:val="00B84778"/>
    <w:rsid w:val="00B84BA7"/>
    <w:rsid w:val="00B84CC8"/>
    <w:rsid w:val="00B84D0E"/>
    <w:rsid w:val="00B84F31"/>
    <w:rsid w:val="00B8527C"/>
    <w:rsid w:val="00B854D6"/>
    <w:rsid w:val="00B8557B"/>
    <w:rsid w:val="00B85597"/>
    <w:rsid w:val="00B85610"/>
    <w:rsid w:val="00B85680"/>
    <w:rsid w:val="00B85D27"/>
    <w:rsid w:val="00B85DC2"/>
    <w:rsid w:val="00B85EE3"/>
    <w:rsid w:val="00B85FAF"/>
    <w:rsid w:val="00B85FB8"/>
    <w:rsid w:val="00B864BB"/>
    <w:rsid w:val="00B865D9"/>
    <w:rsid w:val="00B86692"/>
    <w:rsid w:val="00B866EB"/>
    <w:rsid w:val="00B86700"/>
    <w:rsid w:val="00B868BB"/>
    <w:rsid w:val="00B868E6"/>
    <w:rsid w:val="00B869DA"/>
    <w:rsid w:val="00B86A38"/>
    <w:rsid w:val="00B86A4D"/>
    <w:rsid w:val="00B86BBB"/>
    <w:rsid w:val="00B86D54"/>
    <w:rsid w:val="00B87032"/>
    <w:rsid w:val="00B87047"/>
    <w:rsid w:val="00B8710D"/>
    <w:rsid w:val="00B8730B"/>
    <w:rsid w:val="00B87581"/>
    <w:rsid w:val="00B87640"/>
    <w:rsid w:val="00B87998"/>
    <w:rsid w:val="00B87B04"/>
    <w:rsid w:val="00B87B23"/>
    <w:rsid w:val="00B87E29"/>
    <w:rsid w:val="00B87EA7"/>
    <w:rsid w:val="00B87ED6"/>
    <w:rsid w:val="00B87F20"/>
    <w:rsid w:val="00B9006C"/>
    <w:rsid w:val="00B903C1"/>
    <w:rsid w:val="00B904C7"/>
    <w:rsid w:val="00B9061D"/>
    <w:rsid w:val="00B90887"/>
    <w:rsid w:val="00B90ACA"/>
    <w:rsid w:val="00B90DA0"/>
    <w:rsid w:val="00B90DAD"/>
    <w:rsid w:val="00B91472"/>
    <w:rsid w:val="00B9152B"/>
    <w:rsid w:val="00B91AA8"/>
    <w:rsid w:val="00B92041"/>
    <w:rsid w:val="00B9222E"/>
    <w:rsid w:val="00B922AE"/>
    <w:rsid w:val="00B924A0"/>
    <w:rsid w:val="00B92944"/>
    <w:rsid w:val="00B92980"/>
    <w:rsid w:val="00B929C4"/>
    <w:rsid w:val="00B92BD7"/>
    <w:rsid w:val="00B92CB3"/>
    <w:rsid w:val="00B92CEA"/>
    <w:rsid w:val="00B92D0C"/>
    <w:rsid w:val="00B92F0E"/>
    <w:rsid w:val="00B930FA"/>
    <w:rsid w:val="00B932D5"/>
    <w:rsid w:val="00B93455"/>
    <w:rsid w:val="00B935DE"/>
    <w:rsid w:val="00B93A19"/>
    <w:rsid w:val="00B93E07"/>
    <w:rsid w:val="00B9406A"/>
    <w:rsid w:val="00B940CB"/>
    <w:rsid w:val="00B94347"/>
    <w:rsid w:val="00B94636"/>
    <w:rsid w:val="00B9469F"/>
    <w:rsid w:val="00B946B7"/>
    <w:rsid w:val="00B94785"/>
    <w:rsid w:val="00B94BD5"/>
    <w:rsid w:val="00B94C6B"/>
    <w:rsid w:val="00B94F10"/>
    <w:rsid w:val="00B94FFA"/>
    <w:rsid w:val="00B95072"/>
    <w:rsid w:val="00B95200"/>
    <w:rsid w:val="00B95658"/>
    <w:rsid w:val="00B95707"/>
    <w:rsid w:val="00B9589D"/>
    <w:rsid w:val="00B95A8C"/>
    <w:rsid w:val="00B95B1A"/>
    <w:rsid w:val="00B95D80"/>
    <w:rsid w:val="00B95E4F"/>
    <w:rsid w:val="00B95E87"/>
    <w:rsid w:val="00B9604D"/>
    <w:rsid w:val="00B962AF"/>
    <w:rsid w:val="00B96658"/>
    <w:rsid w:val="00B96A29"/>
    <w:rsid w:val="00B96B2C"/>
    <w:rsid w:val="00B96BD8"/>
    <w:rsid w:val="00B96DB7"/>
    <w:rsid w:val="00B975C0"/>
    <w:rsid w:val="00B9763A"/>
    <w:rsid w:val="00B977A6"/>
    <w:rsid w:val="00B97A2F"/>
    <w:rsid w:val="00B97C07"/>
    <w:rsid w:val="00B97D16"/>
    <w:rsid w:val="00B97E35"/>
    <w:rsid w:val="00B97EDC"/>
    <w:rsid w:val="00BA06D8"/>
    <w:rsid w:val="00BA0864"/>
    <w:rsid w:val="00BA08F6"/>
    <w:rsid w:val="00BA0C7B"/>
    <w:rsid w:val="00BA0CBF"/>
    <w:rsid w:val="00BA0CEE"/>
    <w:rsid w:val="00BA0DC3"/>
    <w:rsid w:val="00BA0F99"/>
    <w:rsid w:val="00BA10A2"/>
    <w:rsid w:val="00BA10F0"/>
    <w:rsid w:val="00BA1177"/>
    <w:rsid w:val="00BA1771"/>
    <w:rsid w:val="00BA18E2"/>
    <w:rsid w:val="00BA18F3"/>
    <w:rsid w:val="00BA1C28"/>
    <w:rsid w:val="00BA2133"/>
    <w:rsid w:val="00BA21B0"/>
    <w:rsid w:val="00BA225C"/>
    <w:rsid w:val="00BA22A1"/>
    <w:rsid w:val="00BA24D8"/>
    <w:rsid w:val="00BA2A88"/>
    <w:rsid w:val="00BA2C9E"/>
    <w:rsid w:val="00BA30B7"/>
    <w:rsid w:val="00BA31C4"/>
    <w:rsid w:val="00BA3233"/>
    <w:rsid w:val="00BA3775"/>
    <w:rsid w:val="00BA3FC9"/>
    <w:rsid w:val="00BA4073"/>
    <w:rsid w:val="00BA4115"/>
    <w:rsid w:val="00BA41B6"/>
    <w:rsid w:val="00BA4282"/>
    <w:rsid w:val="00BA4353"/>
    <w:rsid w:val="00BA442C"/>
    <w:rsid w:val="00BA44AC"/>
    <w:rsid w:val="00BA4B01"/>
    <w:rsid w:val="00BA4E5A"/>
    <w:rsid w:val="00BA4FBC"/>
    <w:rsid w:val="00BA5219"/>
    <w:rsid w:val="00BA5522"/>
    <w:rsid w:val="00BA56E0"/>
    <w:rsid w:val="00BA578E"/>
    <w:rsid w:val="00BA5CC6"/>
    <w:rsid w:val="00BA5CE5"/>
    <w:rsid w:val="00BA5EF1"/>
    <w:rsid w:val="00BA5F58"/>
    <w:rsid w:val="00BA6100"/>
    <w:rsid w:val="00BA6395"/>
    <w:rsid w:val="00BA6442"/>
    <w:rsid w:val="00BA6465"/>
    <w:rsid w:val="00BA676A"/>
    <w:rsid w:val="00BA67F5"/>
    <w:rsid w:val="00BA68BB"/>
    <w:rsid w:val="00BA692E"/>
    <w:rsid w:val="00BA6BAB"/>
    <w:rsid w:val="00BA6BE1"/>
    <w:rsid w:val="00BA6D41"/>
    <w:rsid w:val="00BA7234"/>
    <w:rsid w:val="00BA7433"/>
    <w:rsid w:val="00BA74B5"/>
    <w:rsid w:val="00BA7584"/>
    <w:rsid w:val="00BA7595"/>
    <w:rsid w:val="00BA75B4"/>
    <w:rsid w:val="00BA7616"/>
    <w:rsid w:val="00BA76E8"/>
    <w:rsid w:val="00BA79F9"/>
    <w:rsid w:val="00BA7C76"/>
    <w:rsid w:val="00BA7CE6"/>
    <w:rsid w:val="00BA7D6F"/>
    <w:rsid w:val="00BA7ECE"/>
    <w:rsid w:val="00BB019B"/>
    <w:rsid w:val="00BB01AB"/>
    <w:rsid w:val="00BB0210"/>
    <w:rsid w:val="00BB058D"/>
    <w:rsid w:val="00BB0922"/>
    <w:rsid w:val="00BB0B64"/>
    <w:rsid w:val="00BB0C31"/>
    <w:rsid w:val="00BB0DB2"/>
    <w:rsid w:val="00BB1142"/>
    <w:rsid w:val="00BB11CE"/>
    <w:rsid w:val="00BB1563"/>
    <w:rsid w:val="00BB1575"/>
    <w:rsid w:val="00BB1729"/>
    <w:rsid w:val="00BB186D"/>
    <w:rsid w:val="00BB18CD"/>
    <w:rsid w:val="00BB1A4F"/>
    <w:rsid w:val="00BB1BFA"/>
    <w:rsid w:val="00BB1ECA"/>
    <w:rsid w:val="00BB1F5B"/>
    <w:rsid w:val="00BB1FD4"/>
    <w:rsid w:val="00BB2006"/>
    <w:rsid w:val="00BB22A1"/>
    <w:rsid w:val="00BB22B3"/>
    <w:rsid w:val="00BB252E"/>
    <w:rsid w:val="00BB2669"/>
    <w:rsid w:val="00BB2807"/>
    <w:rsid w:val="00BB2A46"/>
    <w:rsid w:val="00BB2AE1"/>
    <w:rsid w:val="00BB2AFB"/>
    <w:rsid w:val="00BB2C91"/>
    <w:rsid w:val="00BB2D7A"/>
    <w:rsid w:val="00BB2E2A"/>
    <w:rsid w:val="00BB2E44"/>
    <w:rsid w:val="00BB2EBB"/>
    <w:rsid w:val="00BB3379"/>
    <w:rsid w:val="00BB346E"/>
    <w:rsid w:val="00BB37DF"/>
    <w:rsid w:val="00BB38D5"/>
    <w:rsid w:val="00BB38F1"/>
    <w:rsid w:val="00BB3A1F"/>
    <w:rsid w:val="00BB3BCB"/>
    <w:rsid w:val="00BB3E52"/>
    <w:rsid w:val="00BB3EDA"/>
    <w:rsid w:val="00BB3EF1"/>
    <w:rsid w:val="00BB401A"/>
    <w:rsid w:val="00BB5118"/>
    <w:rsid w:val="00BB51D2"/>
    <w:rsid w:val="00BB52FD"/>
    <w:rsid w:val="00BB54C3"/>
    <w:rsid w:val="00BB5516"/>
    <w:rsid w:val="00BB5792"/>
    <w:rsid w:val="00BB5A44"/>
    <w:rsid w:val="00BB5AC5"/>
    <w:rsid w:val="00BB5C05"/>
    <w:rsid w:val="00BB5CFA"/>
    <w:rsid w:val="00BB5DB6"/>
    <w:rsid w:val="00BB5F9B"/>
    <w:rsid w:val="00BB6595"/>
    <w:rsid w:val="00BB671B"/>
    <w:rsid w:val="00BB682D"/>
    <w:rsid w:val="00BB6C83"/>
    <w:rsid w:val="00BB6EB2"/>
    <w:rsid w:val="00BB7245"/>
    <w:rsid w:val="00BB7324"/>
    <w:rsid w:val="00BB7505"/>
    <w:rsid w:val="00BB7531"/>
    <w:rsid w:val="00BB7768"/>
    <w:rsid w:val="00BB77A1"/>
    <w:rsid w:val="00BB78A0"/>
    <w:rsid w:val="00BB7C10"/>
    <w:rsid w:val="00BB7CB5"/>
    <w:rsid w:val="00BC0041"/>
    <w:rsid w:val="00BC00A0"/>
    <w:rsid w:val="00BC06AD"/>
    <w:rsid w:val="00BC0F2C"/>
    <w:rsid w:val="00BC1066"/>
    <w:rsid w:val="00BC18C5"/>
    <w:rsid w:val="00BC18D0"/>
    <w:rsid w:val="00BC195F"/>
    <w:rsid w:val="00BC197F"/>
    <w:rsid w:val="00BC1AB4"/>
    <w:rsid w:val="00BC1C9E"/>
    <w:rsid w:val="00BC1F06"/>
    <w:rsid w:val="00BC1F34"/>
    <w:rsid w:val="00BC207D"/>
    <w:rsid w:val="00BC224F"/>
    <w:rsid w:val="00BC25D6"/>
    <w:rsid w:val="00BC2781"/>
    <w:rsid w:val="00BC2894"/>
    <w:rsid w:val="00BC2987"/>
    <w:rsid w:val="00BC2DA7"/>
    <w:rsid w:val="00BC3255"/>
    <w:rsid w:val="00BC3369"/>
    <w:rsid w:val="00BC3532"/>
    <w:rsid w:val="00BC3A21"/>
    <w:rsid w:val="00BC3A85"/>
    <w:rsid w:val="00BC3B5E"/>
    <w:rsid w:val="00BC3DEA"/>
    <w:rsid w:val="00BC463D"/>
    <w:rsid w:val="00BC480E"/>
    <w:rsid w:val="00BC4AF2"/>
    <w:rsid w:val="00BC4F14"/>
    <w:rsid w:val="00BC5002"/>
    <w:rsid w:val="00BC50AB"/>
    <w:rsid w:val="00BC516D"/>
    <w:rsid w:val="00BC52AF"/>
    <w:rsid w:val="00BC54DA"/>
    <w:rsid w:val="00BC55DE"/>
    <w:rsid w:val="00BC57FF"/>
    <w:rsid w:val="00BC586E"/>
    <w:rsid w:val="00BC5BC0"/>
    <w:rsid w:val="00BC6369"/>
    <w:rsid w:val="00BC6729"/>
    <w:rsid w:val="00BC6936"/>
    <w:rsid w:val="00BC6BBF"/>
    <w:rsid w:val="00BC6C3E"/>
    <w:rsid w:val="00BC6CB8"/>
    <w:rsid w:val="00BC6EE5"/>
    <w:rsid w:val="00BC704C"/>
    <w:rsid w:val="00BC723A"/>
    <w:rsid w:val="00BC73E7"/>
    <w:rsid w:val="00BC7978"/>
    <w:rsid w:val="00BC7C0D"/>
    <w:rsid w:val="00BC7C86"/>
    <w:rsid w:val="00BC7CD5"/>
    <w:rsid w:val="00BC7E2D"/>
    <w:rsid w:val="00BD0315"/>
    <w:rsid w:val="00BD0426"/>
    <w:rsid w:val="00BD0448"/>
    <w:rsid w:val="00BD0493"/>
    <w:rsid w:val="00BD093C"/>
    <w:rsid w:val="00BD0AAB"/>
    <w:rsid w:val="00BD0AB6"/>
    <w:rsid w:val="00BD0C6E"/>
    <w:rsid w:val="00BD0DC7"/>
    <w:rsid w:val="00BD0F1C"/>
    <w:rsid w:val="00BD10C1"/>
    <w:rsid w:val="00BD14FC"/>
    <w:rsid w:val="00BD169E"/>
    <w:rsid w:val="00BD178D"/>
    <w:rsid w:val="00BD1F3E"/>
    <w:rsid w:val="00BD21A4"/>
    <w:rsid w:val="00BD2788"/>
    <w:rsid w:val="00BD280F"/>
    <w:rsid w:val="00BD2CD4"/>
    <w:rsid w:val="00BD2D37"/>
    <w:rsid w:val="00BD3065"/>
    <w:rsid w:val="00BD315C"/>
    <w:rsid w:val="00BD319B"/>
    <w:rsid w:val="00BD3501"/>
    <w:rsid w:val="00BD3594"/>
    <w:rsid w:val="00BD366C"/>
    <w:rsid w:val="00BD3784"/>
    <w:rsid w:val="00BD397F"/>
    <w:rsid w:val="00BD3B35"/>
    <w:rsid w:val="00BD3C2C"/>
    <w:rsid w:val="00BD3D6F"/>
    <w:rsid w:val="00BD3DD6"/>
    <w:rsid w:val="00BD4146"/>
    <w:rsid w:val="00BD4332"/>
    <w:rsid w:val="00BD433F"/>
    <w:rsid w:val="00BD4464"/>
    <w:rsid w:val="00BD4589"/>
    <w:rsid w:val="00BD45F8"/>
    <w:rsid w:val="00BD4783"/>
    <w:rsid w:val="00BD49D4"/>
    <w:rsid w:val="00BD4CC6"/>
    <w:rsid w:val="00BD4DFE"/>
    <w:rsid w:val="00BD55BE"/>
    <w:rsid w:val="00BD5713"/>
    <w:rsid w:val="00BD5739"/>
    <w:rsid w:val="00BD5B59"/>
    <w:rsid w:val="00BD5C8E"/>
    <w:rsid w:val="00BD5D5A"/>
    <w:rsid w:val="00BD5EB6"/>
    <w:rsid w:val="00BD5F2B"/>
    <w:rsid w:val="00BD619D"/>
    <w:rsid w:val="00BD65E9"/>
    <w:rsid w:val="00BD67CA"/>
    <w:rsid w:val="00BD69C3"/>
    <w:rsid w:val="00BD6B19"/>
    <w:rsid w:val="00BD6D15"/>
    <w:rsid w:val="00BD6EE6"/>
    <w:rsid w:val="00BD6FF5"/>
    <w:rsid w:val="00BD72DF"/>
    <w:rsid w:val="00BD733D"/>
    <w:rsid w:val="00BD7387"/>
    <w:rsid w:val="00BD782D"/>
    <w:rsid w:val="00BD78F6"/>
    <w:rsid w:val="00BD7938"/>
    <w:rsid w:val="00BD79E8"/>
    <w:rsid w:val="00BD7A7D"/>
    <w:rsid w:val="00BD7CFC"/>
    <w:rsid w:val="00BD7D17"/>
    <w:rsid w:val="00BD7EB5"/>
    <w:rsid w:val="00BD7FD5"/>
    <w:rsid w:val="00BE0048"/>
    <w:rsid w:val="00BE03F0"/>
    <w:rsid w:val="00BE06E0"/>
    <w:rsid w:val="00BE0719"/>
    <w:rsid w:val="00BE0968"/>
    <w:rsid w:val="00BE09C8"/>
    <w:rsid w:val="00BE0D78"/>
    <w:rsid w:val="00BE0DF3"/>
    <w:rsid w:val="00BE0FC2"/>
    <w:rsid w:val="00BE115B"/>
    <w:rsid w:val="00BE1463"/>
    <w:rsid w:val="00BE159D"/>
    <w:rsid w:val="00BE1992"/>
    <w:rsid w:val="00BE19FB"/>
    <w:rsid w:val="00BE1CC7"/>
    <w:rsid w:val="00BE2259"/>
    <w:rsid w:val="00BE22B8"/>
    <w:rsid w:val="00BE247E"/>
    <w:rsid w:val="00BE24EA"/>
    <w:rsid w:val="00BE251E"/>
    <w:rsid w:val="00BE27DA"/>
    <w:rsid w:val="00BE2986"/>
    <w:rsid w:val="00BE2ACC"/>
    <w:rsid w:val="00BE2B49"/>
    <w:rsid w:val="00BE2CF2"/>
    <w:rsid w:val="00BE2F63"/>
    <w:rsid w:val="00BE314E"/>
    <w:rsid w:val="00BE329E"/>
    <w:rsid w:val="00BE3A45"/>
    <w:rsid w:val="00BE3BF1"/>
    <w:rsid w:val="00BE3E65"/>
    <w:rsid w:val="00BE3E8B"/>
    <w:rsid w:val="00BE413C"/>
    <w:rsid w:val="00BE42B9"/>
    <w:rsid w:val="00BE4312"/>
    <w:rsid w:val="00BE4347"/>
    <w:rsid w:val="00BE4390"/>
    <w:rsid w:val="00BE470D"/>
    <w:rsid w:val="00BE4990"/>
    <w:rsid w:val="00BE49D8"/>
    <w:rsid w:val="00BE4B33"/>
    <w:rsid w:val="00BE5067"/>
    <w:rsid w:val="00BE55AA"/>
    <w:rsid w:val="00BE57CC"/>
    <w:rsid w:val="00BE5898"/>
    <w:rsid w:val="00BE5986"/>
    <w:rsid w:val="00BE5CAE"/>
    <w:rsid w:val="00BE5ECC"/>
    <w:rsid w:val="00BE609F"/>
    <w:rsid w:val="00BE6140"/>
    <w:rsid w:val="00BE61A8"/>
    <w:rsid w:val="00BE63D5"/>
    <w:rsid w:val="00BE6488"/>
    <w:rsid w:val="00BE64C0"/>
    <w:rsid w:val="00BE64DD"/>
    <w:rsid w:val="00BE66DB"/>
    <w:rsid w:val="00BE67E8"/>
    <w:rsid w:val="00BE68E8"/>
    <w:rsid w:val="00BE6A87"/>
    <w:rsid w:val="00BE6A9F"/>
    <w:rsid w:val="00BE6BA4"/>
    <w:rsid w:val="00BE6BD7"/>
    <w:rsid w:val="00BE6E88"/>
    <w:rsid w:val="00BE71A3"/>
    <w:rsid w:val="00BE7314"/>
    <w:rsid w:val="00BE7408"/>
    <w:rsid w:val="00BE763C"/>
    <w:rsid w:val="00BE76A6"/>
    <w:rsid w:val="00BE776B"/>
    <w:rsid w:val="00BE7E58"/>
    <w:rsid w:val="00BE7FB9"/>
    <w:rsid w:val="00BF030F"/>
    <w:rsid w:val="00BF0A1A"/>
    <w:rsid w:val="00BF0AC5"/>
    <w:rsid w:val="00BF0D74"/>
    <w:rsid w:val="00BF0D9C"/>
    <w:rsid w:val="00BF0E3C"/>
    <w:rsid w:val="00BF1097"/>
    <w:rsid w:val="00BF1207"/>
    <w:rsid w:val="00BF12A8"/>
    <w:rsid w:val="00BF13AC"/>
    <w:rsid w:val="00BF16B3"/>
    <w:rsid w:val="00BF17E6"/>
    <w:rsid w:val="00BF1937"/>
    <w:rsid w:val="00BF193F"/>
    <w:rsid w:val="00BF196D"/>
    <w:rsid w:val="00BF1C9C"/>
    <w:rsid w:val="00BF297D"/>
    <w:rsid w:val="00BF2A98"/>
    <w:rsid w:val="00BF2D36"/>
    <w:rsid w:val="00BF3013"/>
    <w:rsid w:val="00BF3A3E"/>
    <w:rsid w:val="00BF412A"/>
    <w:rsid w:val="00BF45B7"/>
    <w:rsid w:val="00BF46BA"/>
    <w:rsid w:val="00BF47EC"/>
    <w:rsid w:val="00BF4AE4"/>
    <w:rsid w:val="00BF4B2B"/>
    <w:rsid w:val="00BF4BF9"/>
    <w:rsid w:val="00BF4D5E"/>
    <w:rsid w:val="00BF4DCA"/>
    <w:rsid w:val="00BF4E00"/>
    <w:rsid w:val="00BF4EAC"/>
    <w:rsid w:val="00BF519D"/>
    <w:rsid w:val="00BF527C"/>
    <w:rsid w:val="00BF52EE"/>
    <w:rsid w:val="00BF54D0"/>
    <w:rsid w:val="00BF567A"/>
    <w:rsid w:val="00BF5A4F"/>
    <w:rsid w:val="00BF5BB7"/>
    <w:rsid w:val="00BF5D3C"/>
    <w:rsid w:val="00BF5E1C"/>
    <w:rsid w:val="00BF61B8"/>
    <w:rsid w:val="00BF64D4"/>
    <w:rsid w:val="00BF67AD"/>
    <w:rsid w:val="00BF6ED2"/>
    <w:rsid w:val="00BF70EF"/>
    <w:rsid w:val="00BF71CC"/>
    <w:rsid w:val="00BF73C8"/>
    <w:rsid w:val="00BF78C9"/>
    <w:rsid w:val="00BF7FB4"/>
    <w:rsid w:val="00C0006C"/>
    <w:rsid w:val="00C006EE"/>
    <w:rsid w:val="00C00805"/>
    <w:rsid w:val="00C00897"/>
    <w:rsid w:val="00C00B1E"/>
    <w:rsid w:val="00C00D6E"/>
    <w:rsid w:val="00C00DA7"/>
    <w:rsid w:val="00C01129"/>
    <w:rsid w:val="00C011FC"/>
    <w:rsid w:val="00C0128D"/>
    <w:rsid w:val="00C013CB"/>
    <w:rsid w:val="00C013FB"/>
    <w:rsid w:val="00C015EA"/>
    <w:rsid w:val="00C01782"/>
    <w:rsid w:val="00C01786"/>
    <w:rsid w:val="00C01A3C"/>
    <w:rsid w:val="00C01A74"/>
    <w:rsid w:val="00C01B4F"/>
    <w:rsid w:val="00C01D05"/>
    <w:rsid w:val="00C01D2B"/>
    <w:rsid w:val="00C01EA0"/>
    <w:rsid w:val="00C01FE7"/>
    <w:rsid w:val="00C02265"/>
    <w:rsid w:val="00C022DF"/>
    <w:rsid w:val="00C02400"/>
    <w:rsid w:val="00C024DC"/>
    <w:rsid w:val="00C02817"/>
    <w:rsid w:val="00C02897"/>
    <w:rsid w:val="00C028FA"/>
    <w:rsid w:val="00C02A64"/>
    <w:rsid w:val="00C02BAB"/>
    <w:rsid w:val="00C02BF1"/>
    <w:rsid w:val="00C02C7E"/>
    <w:rsid w:val="00C02E90"/>
    <w:rsid w:val="00C03127"/>
    <w:rsid w:val="00C0317A"/>
    <w:rsid w:val="00C03865"/>
    <w:rsid w:val="00C03874"/>
    <w:rsid w:val="00C03BA0"/>
    <w:rsid w:val="00C03D15"/>
    <w:rsid w:val="00C0401D"/>
    <w:rsid w:val="00C041A7"/>
    <w:rsid w:val="00C04212"/>
    <w:rsid w:val="00C04239"/>
    <w:rsid w:val="00C04445"/>
    <w:rsid w:val="00C0451A"/>
    <w:rsid w:val="00C0466E"/>
    <w:rsid w:val="00C046DC"/>
    <w:rsid w:val="00C04CB5"/>
    <w:rsid w:val="00C04DF8"/>
    <w:rsid w:val="00C04DFF"/>
    <w:rsid w:val="00C04F36"/>
    <w:rsid w:val="00C051B3"/>
    <w:rsid w:val="00C052C9"/>
    <w:rsid w:val="00C05580"/>
    <w:rsid w:val="00C0568E"/>
    <w:rsid w:val="00C05961"/>
    <w:rsid w:val="00C05B24"/>
    <w:rsid w:val="00C05D83"/>
    <w:rsid w:val="00C05F62"/>
    <w:rsid w:val="00C0656C"/>
    <w:rsid w:val="00C06738"/>
    <w:rsid w:val="00C06739"/>
    <w:rsid w:val="00C0682B"/>
    <w:rsid w:val="00C06CBE"/>
    <w:rsid w:val="00C06D29"/>
    <w:rsid w:val="00C073FE"/>
    <w:rsid w:val="00C0744C"/>
    <w:rsid w:val="00C0754F"/>
    <w:rsid w:val="00C07603"/>
    <w:rsid w:val="00C0778C"/>
    <w:rsid w:val="00C07960"/>
    <w:rsid w:val="00C079AD"/>
    <w:rsid w:val="00C07A32"/>
    <w:rsid w:val="00C07A3B"/>
    <w:rsid w:val="00C07A7F"/>
    <w:rsid w:val="00C07EE5"/>
    <w:rsid w:val="00C07FDD"/>
    <w:rsid w:val="00C10120"/>
    <w:rsid w:val="00C1027A"/>
    <w:rsid w:val="00C108C6"/>
    <w:rsid w:val="00C10916"/>
    <w:rsid w:val="00C10922"/>
    <w:rsid w:val="00C109CA"/>
    <w:rsid w:val="00C109CD"/>
    <w:rsid w:val="00C10F65"/>
    <w:rsid w:val="00C110BE"/>
    <w:rsid w:val="00C1110A"/>
    <w:rsid w:val="00C114B1"/>
    <w:rsid w:val="00C114F0"/>
    <w:rsid w:val="00C11797"/>
    <w:rsid w:val="00C1197A"/>
    <w:rsid w:val="00C11AAC"/>
    <w:rsid w:val="00C11B56"/>
    <w:rsid w:val="00C11C8A"/>
    <w:rsid w:val="00C11EBF"/>
    <w:rsid w:val="00C120A3"/>
    <w:rsid w:val="00C120E2"/>
    <w:rsid w:val="00C12325"/>
    <w:rsid w:val="00C128BD"/>
    <w:rsid w:val="00C12959"/>
    <w:rsid w:val="00C12AEA"/>
    <w:rsid w:val="00C12FF4"/>
    <w:rsid w:val="00C1324A"/>
    <w:rsid w:val="00C13519"/>
    <w:rsid w:val="00C13551"/>
    <w:rsid w:val="00C1367D"/>
    <w:rsid w:val="00C136C9"/>
    <w:rsid w:val="00C1390E"/>
    <w:rsid w:val="00C13931"/>
    <w:rsid w:val="00C13980"/>
    <w:rsid w:val="00C13A4E"/>
    <w:rsid w:val="00C13B61"/>
    <w:rsid w:val="00C13BE2"/>
    <w:rsid w:val="00C13E3F"/>
    <w:rsid w:val="00C13F21"/>
    <w:rsid w:val="00C13F25"/>
    <w:rsid w:val="00C1444F"/>
    <w:rsid w:val="00C144D8"/>
    <w:rsid w:val="00C145FB"/>
    <w:rsid w:val="00C146D9"/>
    <w:rsid w:val="00C1472C"/>
    <w:rsid w:val="00C14744"/>
    <w:rsid w:val="00C153EF"/>
    <w:rsid w:val="00C155AE"/>
    <w:rsid w:val="00C15822"/>
    <w:rsid w:val="00C15B14"/>
    <w:rsid w:val="00C15CC7"/>
    <w:rsid w:val="00C15CF4"/>
    <w:rsid w:val="00C15F2E"/>
    <w:rsid w:val="00C16247"/>
    <w:rsid w:val="00C16255"/>
    <w:rsid w:val="00C1635B"/>
    <w:rsid w:val="00C167A0"/>
    <w:rsid w:val="00C167F4"/>
    <w:rsid w:val="00C16AEE"/>
    <w:rsid w:val="00C16C4B"/>
    <w:rsid w:val="00C16C62"/>
    <w:rsid w:val="00C16D59"/>
    <w:rsid w:val="00C171B7"/>
    <w:rsid w:val="00C1747E"/>
    <w:rsid w:val="00C17640"/>
    <w:rsid w:val="00C178F1"/>
    <w:rsid w:val="00C179EF"/>
    <w:rsid w:val="00C17B81"/>
    <w:rsid w:val="00C17F01"/>
    <w:rsid w:val="00C200DE"/>
    <w:rsid w:val="00C20107"/>
    <w:rsid w:val="00C20466"/>
    <w:rsid w:val="00C20BD9"/>
    <w:rsid w:val="00C20C28"/>
    <w:rsid w:val="00C20C3C"/>
    <w:rsid w:val="00C20ED9"/>
    <w:rsid w:val="00C20FD5"/>
    <w:rsid w:val="00C2101B"/>
    <w:rsid w:val="00C214B7"/>
    <w:rsid w:val="00C215DC"/>
    <w:rsid w:val="00C21786"/>
    <w:rsid w:val="00C21898"/>
    <w:rsid w:val="00C21A53"/>
    <w:rsid w:val="00C21C50"/>
    <w:rsid w:val="00C21C71"/>
    <w:rsid w:val="00C21E58"/>
    <w:rsid w:val="00C2200E"/>
    <w:rsid w:val="00C22156"/>
    <w:rsid w:val="00C222DB"/>
    <w:rsid w:val="00C2242A"/>
    <w:rsid w:val="00C22564"/>
    <w:rsid w:val="00C22642"/>
    <w:rsid w:val="00C228F8"/>
    <w:rsid w:val="00C22939"/>
    <w:rsid w:val="00C229EB"/>
    <w:rsid w:val="00C22C18"/>
    <w:rsid w:val="00C22C51"/>
    <w:rsid w:val="00C22E98"/>
    <w:rsid w:val="00C22EC9"/>
    <w:rsid w:val="00C22EF2"/>
    <w:rsid w:val="00C22F2C"/>
    <w:rsid w:val="00C22FE7"/>
    <w:rsid w:val="00C233A5"/>
    <w:rsid w:val="00C2340D"/>
    <w:rsid w:val="00C23723"/>
    <w:rsid w:val="00C23965"/>
    <w:rsid w:val="00C239C0"/>
    <w:rsid w:val="00C23A64"/>
    <w:rsid w:val="00C23C3B"/>
    <w:rsid w:val="00C23E11"/>
    <w:rsid w:val="00C23F6A"/>
    <w:rsid w:val="00C24134"/>
    <w:rsid w:val="00C242AD"/>
    <w:rsid w:val="00C24316"/>
    <w:rsid w:val="00C24542"/>
    <w:rsid w:val="00C246E5"/>
    <w:rsid w:val="00C2475D"/>
    <w:rsid w:val="00C248BA"/>
    <w:rsid w:val="00C24982"/>
    <w:rsid w:val="00C24E85"/>
    <w:rsid w:val="00C24EAA"/>
    <w:rsid w:val="00C25134"/>
    <w:rsid w:val="00C25183"/>
    <w:rsid w:val="00C25294"/>
    <w:rsid w:val="00C25535"/>
    <w:rsid w:val="00C25617"/>
    <w:rsid w:val="00C256B7"/>
    <w:rsid w:val="00C25C27"/>
    <w:rsid w:val="00C25CCE"/>
    <w:rsid w:val="00C25D04"/>
    <w:rsid w:val="00C25D1B"/>
    <w:rsid w:val="00C25E78"/>
    <w:rsid w:val="00C25F12"/>
    <w:rsid w:val="00C2625B"/>
    <w:rsid w:val="00C2627E"/>
    <w:rsid w:val="00C262FD"/>
    <w:rsid w:val="00C2637E"/>
    <w:rsid w:val="00C26936"/>
    <w:rsid w:val="00C26BF9"/>
    <w:rsid w:val="00C26D48"/>
    <w:rsid w:val="00C270FE"/>
    <w:rsid w:val="00C275AA"/>
    <w:rsid w:val="00C277C2"/>
    <w:rsid w:val="00C277C6"/>
    <w:rsid w:val="00C27838"/>
    <w:rsid w:val="00C2793F"/>
    <w:rsid w:val="00C27BD0"/>
    <w:rsid w:val="00C27D18"/>
    <w:rsid w:val="00C301ED"/>
    <w:rsid w:val="00C3020A"/>
    <w:rsid w:val="00C30221"/>
    <w:rsid w:val="00C308BA"/>
    <w:rsid w:val="00C30BA7"/>
    <w:rsid w:val="00C30BF4"/>
    <w:rsid w:val="00C3126A"/>
    <w:rsid w:val="00C3148B"/>
    <w:rsid w:val="00C3154E"/>
    <w:rsid w:val="00C31877"/>
    <w:rsid w:val="00C31974"/>
    <w:rsid w:val="00C31D7D"/>
    <w:rsid w:val="00C31D85"/>
    <w:rsid w:val="00C31F92"/>
    <w:rsid w:val="00C32127"/>
    <w:rsid w:val="00C32325"/>
    <w:rsid w:val="00C32376"/>
    <w:rsid w:val="00C32498"/>
    <w:rsid w:val="00C32543"/>
    <w:rsid w:val="00C32578"/>
    <w:rsid w:val="00C32596"/>
    <w:rsid w:val="00C325BD"/>
    <w:rsid w:val="00C32E45"/>
    <w:rsid w:val="00C32EE1"/>
    <w:rsid w:val="00C33012"/>
    <w:rsid w:val="00C33075"/>
    <w:rsid w:val="00C33296"/>
    <w:rsid w:val="00C33367"/>
    <w:rsid w:val="00C33541"/>
    <w:rsid w:val="00C33559"/>
    <w:rsid w:val="00C33992"/>
    <w:rsid w:val="00C33B44"/>
    <w:rsid w:val="00C3445E"/>
    <w:rsid w:val="00C344DF"/>
    <w:rsid w:val="00C34505"/>
    <w:rsid w:val="00C345FE"/>
    <w:rsid w:val="00C34807"/>
    <w:rsid w:val="00C34B6A"/>
    <w:rsid w:val="00C34B78"/>
    <w:rsid w:val="00C34D33"/>
    <w:rsid w:val="00C34E17"/>
    <w:rsid w:val="00C34F1F"/>
    <w:rsid w:val="00C34F38"/>
    <w:rsid w:val="00C35079"/>
    <w:rsid w:val="00C35329"/>
    <w:rsid w:val="00C35381"/>
    <w:rsid w:val="00C353DB"/>
    <w:rsid w:val="00C356B2"/>
    <w:rsid w:val="00C35810"/>
    <w:rsid w:val="00C3587A"/>
    <w:rsid w:val="00C358CB"/>
    <w:rsid w:val="00C35DB7"/>
    <w:rsid w:val="00C35E6E"/>
    <w:rsid w:val="00C36258"/>
    <w:rsid w:val="00C3631F"/>
    <w:rsid w:val="00C363F3"/>
    <w:rsid w:val="00C364F2"/>
    <w:rsid w:val="00C365E2"/>
    <w:rsid w:val="00C367D8"/>
    <w:rsid w:val="00C369BA"/>
    <w:rsid w:val="00C36A7D"/>
    <w:rsid w:val="00C36AF1"/>
    <w:rsid w:val="00C36C0F"/>
    <w:rsid w:val="00C36DEF"/>
    <w:rsid w:val="00C370FB"/>
    <w:rsid w:val="00C3760E"/>
    <w:rsid w:val="00C37632"/>
    <w:rsid w:val="00C3775A"/>
    <w:rsid w:val="00C37901"/>
    <w:rsid w:val="00C37A55"/>
    <w:rsid w:val="00C37DDE"/>
    <w:rsid w:val="00C37FFB"/>
    <w:rsid w:val="00C40256"/>
    <w:rsid w:val="00C40525"/>
    <w:rsid w:val="00C406C7"/>
    <w:rsid w:val="00C40B81"/>
    <w:rsid w:val="00C40D4E"/>
    <w:rsid w:val="00C41275"/>
    <w:rsid w:val="00C415DB"/>
    <w:rsid w:val="00C41628"/>
    <w:rsid w:val="00C416BF"/>
    <w:rsid w:val="00C417B6"/>
    <w:rsid w:val="00C417F4"/>
    <w:rsid w:val="00C41BF3"/>
    <w:rsid w:val="00C4202D"/>
    <w:rsid w:val="00C424DD"/>
    <w:rsid w:val="00C424E6"/>
    <w:rsid w:val="00C42805"/>
    <w:rsid w:val="00C42A5F"/>
    <w:rsid w:val="00C42BF1"/>
    <w:rsid w:val="00C42FB6"/>
    <w:rsid w:val="00C431A4"/>
    <w:rsid w:val="00C431EB"/>
    <w:rsid w:val="00C43366"/>
    <w:rsid w:val="00C4372F"/>
    <w:rsid w:val="00C43784"/>
    <w:rsid w:val="00C43B5A"/>
    <w:rsid w:val="00C43D3E"/>
    <w:rsid w:val="00C43ECC"/>
    <w:rsid w:val="00C44015"/>
    <w:rsid w:val="00C441F4"/>
    <w:rsid w:val="00C442A3"/>
    <w:rsid w:val="00C443D7"/>
    <w:rsid w:val="00C4453D"/>
    <w:rsid w:val="00C4457F"/>
    <w:rsid w:val="00C44608"/>
    <w:rsid w:val="00C4466D"/>
    <w:rsid w:val="00C44A27"/>
    <w:rsid w:val="00C44BAA"/>
    <w:rsid w:val="00C44FEE"/>
    <w:rsid w:val="00C45131"/>
    <w:rsid w:val="00C4536D"/>
    <w:rsid w:val="00C45773"/>
    <w:rsid w:val="00C4584B"/>
    <w:rsid w:val="00C45877"/>
    <w:rsid w:val="00C45A5C"/>
    <w:rsid w:val="00C45B94"/>
    <w:rsid w:val="00C45C3D"/>
    <w:rsid w:val="00C45D11"/>
    <w:rsid w:val="00C46427"/>
    <w:rsid w:val="00C46A11"/>
    <w:rsid w:val="00C46AF4"/>
    <w:rsid w:val="00C46AF6"/>
    <w:rsid w:val="00C46D12"/>
    <w:rsid w:val="00C470BA"/>
    <w:rsid w:val="00C473D2"/>
    <w:rsid w:val="00C4750F"/>
    <w:rsid w:val="00C47695"/>
    <w:rsid w:val="00C476DB"/>
    <w:rsid w:val="00C47763"/>
    <w:rsid w:val="00C47895"/>
    <w:rsid w:val="00C478C2"/>
    <w:rsid w:val="00C47933"/>
    <w:rsid w:val="00C47AA6"/>
    <w:rsid w:val="00C47F98"/>
    <w:rsid w:val="00C47FE4"/>
    <w:rsid w:val="00C50056"/>
    <w:rsid w:val="00C502DA"/>
    <w:rsid w:val="00C5043C"/>
    <w:rsid w:val="00C50629"/>
    <w:rsid w:val="00C5076C"/>
    <w:rsid w:val="00C50BED"/>
    <w:rsid w:val="00C511D1"/>
    <w:rsid w:val="00C51369"/>
    <w:rsid w:val="00C51CF1"/>
    <w:rsid w:val="00C5239A"/>
    <w:rsid w:val="00C523A8"/>
    <w:rsid w:val="00C524E7"/>
    <w:rsid w:val="00C52679"/>
    <w:rsid w:val="00C52685"/>
    <w:rsid w:val="00C526AE"/>
    <w:rsid w:val="00C52768"/>
    <w:rsid w:val="00C5280C"/>
    <w:rsid w:val="00C52946"/>
    <w:rsid w:val="00C52BD0"/>
    <w:rsid w:val="00C52DDC"/>
    <w:rsid w:val="00C52F0A"/>
    <w:rsid w:val="00C537B0"/>
    <w:rsid w:val="00C53A81"/>
    <w:rsid w:val="00C53CFD"/>
    <w:rsid w:val="00C53F2C"/>
    <w:rsid w:val="00C543AE"/>
    <w:rsid w:val="00C5446C"/>
    <w:rsid w:val="00C54669"/>
    <w:rsid w:val="00C54D4A"/>
    <w:rsid w:val="00C5511F"/>
    <w:rsid w:val="00C552B5"/>
    <w:rsid w:val="00C553DC"/>
    <w:rsid w:val="00C55A30"/>
    <w:rsid w:val="00C55D42"/>
    <w:rsid w:val="00C56134"/>
    <w:rsid w:val="00C56254"/>
    <w:rsid w:val="00C56263"/>
    <w:rsid w:val="00C5667B"/>
    <w:rsid w:val="00C566DD"/>
    <w:rsid w:val="00C568D9"/>
    <w:rsid w:val="00C56926"/>
    <w:rsid w:val="00C56FAA"/>
    <w:rsid w:val="00C572A4"/>
    <w:rsid w:val="00C576B7"/>
    <w:rsid w:val="00C57749"/>
    <w:rsid w:val="00C578E9"/>
    <w:rsid w:val="00C579FA"/>
    <w:rsid w:val="00C57B31"/>
    <w:rsid w:val="00C57CEA"/>
    <w:rsid w:val="00C57EDE"/>
    <w:rsid w:val="00C57F08"/>
    <w:rsid w:val="00C6003C"/>
    <w:rsid w:val="00C6006B"/>
    <w:rsid w:val="00C60199"/>
    <w:rsid w:val="00C601C3"/>
    <w:rsid w:val="00C60222"/>
    <w:rsid w:val="00C6045B"/>
    <w:rsid w:val="00C604D0"/>
    <w:rsid w:val="00C60544"/>
    <w:rsid w:val="00C60547"/>
    <w:rsid w:val="00C60747"/>
    <w:rsid w:val="00C608A2"/>
    <w:rsid w:val="00C6097E"/>
    <w:rsid w:val="00C60C6C"/>
    <w:rsid w:val="00C60E78"/>
    <w:rsid w:val="00C6142B"/>
    <w:rsid w:val="00C61528"/>
    <w:rsid w:val="00C6191B"/>
    <w:rsid w:val="00C6199F"/>
    <w:rsid w:val="00C61C2C"/>
    <w:rsid w:val="00C61C5F"/>
    <w:rsid w:val="00C61CFA"/>
    <w:rsid w:val="00C61D32"/>
    <w:rsid w:val="00C61E16"/>
    <w:rsid w:val="00C61FD8"/>
    <w:rsid w:val="00C6208D"/>
    <w:rsid w:val="00C62602"/>
    <w:rsid w:val="00C628B6"/>
    <w:rsid w:val="00C628EB"/>
    <w:rsid w:val="00C62981"/>
    <w:rsid w:val="00C629A0"/>
    <w:rsid w:val="00C629D5"/>
    <w:rsid w:val="00C62ADA"/>
    <w:rsid w:val="00C62B22"/>
    <w:rsid w:val="00C62D1B"/>
    <w:rsid w:val="00C62DC5"/>
    <w:rsid w:val="00C62E75"/>
    <w:rsid w:val="00C62FA4"/>
    <w:rsid w:val="00C63043"/>
    <w:rsid w:val="00C630E0"/>
    <w:rsid w:val="00C63247"/>
    <w:rsid w:val="00C63762"/>
    <w:rsid w:val="00C637DB"/>
    <w:rsid w:val="00C638B4"/>
    <w:rsid w:val="00C63979"/>
    <w:rsid w:val="00C639F4"/>
    <w:rsid w:val="00C63B49"/>
    <w:rsid w:val="00C63CCB"/>
    <w:rsid w:val="00C63EB9"/>
    <w:rsid w:val="00C6403D"/>
    <w:rsid w:val="00C64093"/>
    <w:rsid w:val="00C640B1"/>
    <w:rsid w:val="00C643E9"/>
    <w:rsid w:val="00C646CD"/>
    <w:rsid w:val="00C648D9"/>
    <w:rsid w:val="00C649AC"/>
    <w:rsid w:val="00C649CB"/>
    <w:rsid w:val="00C64A19"/>
    <w:rsid w:val="00C64A4B"/>
    <w:rsid w:val="00C64B25"/>
    <w:rsid w:val="00C64BC5"/>
    <w:rsid w:val="00C64CDB"/>
    <w:rsid w:val="00C64EC8"/>
    <w:rsid w:val="00C651F7"/>
    <w:rsid w:val="00C65420"/>
    <w:rsid w:val="00C65506"/>
    <w:rsid w:val="00C65537"/>
    <w:rsid w:val="00C65639"/>
    <w:rsid w:val="00C65651"/>
    <w:rsid w:val="00C6584A"/>
    <w:rsid w:val="00C658D8"/>
    <w:rsid w:val="00C65A4D"/>
    <w:rsid w:val="00C65B01"/>
    <w:rsid w:val="00C65BEF"/>
    <w:rsid w:val="00C65C69"/>
    <w:rsid w:val="00C65D65"/>
    <w:rsid w:val="00C661AC"/>
    <w:rsid w:val="00C662DB"/>
    <w:rsid w:val="00C66412"/>
    <w:rsid w:val="00C66654"/>
    <w:rsid w:val="00C66F00"/>
    <w:rsid w:val="00C66FAF"/>
    <w:rsid w:val="00C67376"/>
    <w:rsid w:val="00C67474"/>
    <w:rsid w:val="00C67764"/>
    <w:rsid w:val="00C6786F"/>
    <w:rsid w:val="00C67A41"/>
    <w:rsid w:val="00C67E0A"/>
    <w:rsid w:val="00C67EFA"/>
    <w:rsid w:val="00C70008"/>
    <w:rsid w:val="00C7009D"/>
    <w:rsid w:val="00C70561"/>
    <w:rsid w:val="00C705FF"/>
    <w:rsid w:val="00C7066E"/>
    <w:rsid w:val="00C70914"/>
    <w:rsid w:val="00C70A82"/>
    <w:rsid w:val="00C70B63"/>
    <w:rsid w:val="00C70BF2"/>
    <w:rsid w:val="00C70C3A"/>
    <w:rsid w:val="00C70C78"/>
    <w:rsid w:val="00C70CE2"/>
    <w:rsid w:val="00C70DAE"/>
    <w:rsid w:val="00C70EF7"/>
    <w:rsid w:val="00C70F91"/>
    <w:rsid w:val="00C70FBA"/>
    <w:rsid w:val="00C71245"/>
    <w:rsid w:val="00C71386"/>
    <w:rsid w:val="00C7151B"/>
    <w:rsid w:val="00C71A29"/>
    <w:rsid w:val="00C71C11"/>
    <w:rsid w:val="00C71D47"/>
    <w:rsid w:val="00C71DB9"/>
    <w:rsid w:val="00C71FCC"/>
    <w:rsid w:val="00C722A7"/>
    <w:rsid w:val="00C7231A"/>
    <w:rsid w:val="00C72383"/>
    <w:rsid w:val="00C72489"/>
    <w:rsid w:val="00C72FD1"/>
    <w:rsid w:val="00C73069"/>
    <w:rsid w:val="00C73521"/>
    <w:rsid w:val="00C737E3"/>
    <w:rsid w:val="00C73980"/>
    <w:rsid w:val="00C739B7"/>
    <w:rsid w:val="00C73CD9"/>
    <w:rsid w:val="00C73D63"/>
    <w:rsid w:val="00C73F90"/>
    <w:rsid w:val="00C740F1"/>
    <w:rsid w:val="00C7427D"/>
    <w:rsid w:val="00C74492"/>
    <w:rsid w:val="00C7451A"/>
    <w:rsid w:val="00C74702"/>
    <w:rsid w:val="00C74784"/>
    <w:rsid w:val="00C74894"/>
    <w:rsid w:val="00C749AD"/>
    <w:rsid w:val="00C74BC5"/>
    <w:rsid w:val="00C74D85"/>
    <w:rsid w:val="00C74E88"/>
    <w:rsid w:val="00C74F37"/>
    <w:rsid w:val="00C755B1"/>
    <w:rsid w:val="00C75640"/>
    <w:rsid w:val="00C7594C"/>
    <w:rsid w:val="00C75E39"/>
    <w:rsid w:val="00C75F11"/>
    <w:rsid w:val="00C7613B"/>
    <w:rsid w:val="00C762AA"/>
    <w:rsid w:val="00C764A4"/>
    <w:rsid w:val="00C76587"/>
    <w:rsid w:val="00C765B3"/>
    <w:rsid w:val="00C767B0"/>
    <w:rsid w:val="00C76B76"/>
    <w:rsid w:val="00C76B7B"/>
    <w:rsid w:val="00C76DF3"/>
    <w:rsid w:val="00C76F67"/>
    <w:rsid w:val="00C77047"/>
    <w:rsid w:val="00C770BA"/>
    <w:rsid w:val="00C77124"/>
    <w:rsid w:val="00C77201"/>
    <w:rsid w:val="00C773E9"/>
    <w:rsid w:val="00C7746D"/>
    <w:rsid w:val="00C77614"/>
    <w:rsid w:val="00C778C1"/>
    <w:rsid w:val="00C778CE"/>
    <w:rsid w:val="00C77A99"/>
    <w:rsid w:val="00C77BF3"/>
    <w:rsid w:val="00C77D74"/>
    <w:rsid w:val="00C77D8F"/>
    <w:rsid w:val="00C77DA9"/>
    <w:rsid w:val="00C80325"/>
    <w:rsid w:val="00C8045E"/>
    <w:rsid w:val="00C805FD"/>
    <w:rsid w:val="00C80711"/>
    <w:rsid w:val="00C8080C"/>
    <w:rsid w:val="00C808C8"/>
    <w:rsid w:val="00C809CA"/>
    <w:rsid w:val="00C80AD3"/>
    <w:rsid w:val="00C80B83"/>
    <w:rsid w:val="00C80D65"/>
    <w:rsid w:val="00C81297"/>
    <w:rsid w:val="00C8144D"/>
    <w:rsid w:val="00C815F0"/>
    <w:rsid w:val="00C819CB"/>
    <w:rsid w:val="00C81A9B"/>
    <w:rsid w:val="00C81CA8"/>
    <w:rsid w:val="00C81CC8"/>
    <w:rsid w:val="00C82115"/>
    <w:rsid w:val="00C824BA"/>
    <w:rsid w:val="00C8258B"/>
    <w:rsid w:val="00C826C1"/>
    <w:rsid w:val="00C8298B"/>
    <w:rsid w:val="00C82B03"/>
    <w:rsid w:val="00C82B4C"/>
    <w:rsid w:val="00C82C9F"/>
    <w:rsid w:val="00C8304C"/>
    <w:rsid w:val="00C8318D"/>
    <w:rsid w:val="00C834BC"/>
    <w:rsid w:val="00C834D6"/>
    <w:rsid w:val="00C83716"/>
    <w:rsid w:val="00C8371D"/>
    <w:rsid w:val="00C837BF"/>
    <w:rsid w:val="00C83B7C"/>
    <w:rsid w:val="00C83C4E"/>
    <w:rsid w:val="00C83C6B"/>
    <w:rsid w:val="00C83E0F"/>
    <w:rsid w:val="00C83E42"/>
    <w:rsid w:val="00C83FEB"/>
    <w:rsid w:val="00C840EC"/>
    <w:rsid w:val="00C841E7"/>
    <w:rsid w:val="00C84B0F"/>
    <w:rsid w:val="00C84B65"/>
    <w:rsid w:val="00C84D29"/>
    <w:rsid w:val="00C84D5A"/>
    <w:rsid w:val="00C850FF"/>
    <w:rsid w:val="00C85130"/>
    <w:rsid w:val="00C851C0"/>
    <w:rsid w:val="00C851CC"/>
    <w:rsid w:val="00C854C7"/>
    <w:rsid w:val="00C85617"/>
    <w:rsid w:val="00C85816"/>
    <w:rsid w:val="00C85A7A"/>
    <w:rsid w:val="00C85C12"/>
    <w:rsid w:val="00C85D3A"/>
    <w:rsid w:val="00C85E48"/>
    <w:rsid w:val="00C85F29"/>
    <w:rsid w:val="00C85F6F"/>
    <w:rsid w:val="00C85F81"/>
    <w:rsid w:val="00C86017"/>
    <w:rsid w:val="00C861A8"/>
    <w:rsid w:val="00C8641D"/>
    <w:rsid w:val="00C86525"/>
    <w:rsid w:val="00C8661C"/>
    <w:rsid w:val="00C8674F"/>
    <w:rsid w:val="00C8693D"/>
    <w:rsid w:val="00C86A39"/>
    <w:rsid w:val="00C871EE"/>
    <w:rsid w:val="00C87235"/>
    <w:rsid w:val="00C87282"/>
    <w:rsid w:val="00C8732C"/>
    <w:rsid w:val="00C87371"/>
    <w:rsid w:val="00C873C9"/>
    <w:rsid w:val="00C87508"/>
    <w:rsid w:val="00C87537"/>
    <w:rsid w:val="00C876F5"/>
    <w:rsid w:val="00C8781C"/>
    <w:rsid w:val="00C87DF4"/>
    <w:rsid w:val="00C87EC3"/>
    <w:rsid w:val="00C9027D"/>
    <w:rsid w:val="00C90417"/>
    <w:rsid w:val="00C90783"/>
    <w:rsid w:val="00C907DA"/>
    <w:rsid w:val="00C908A3"/>
    <w:rsid w:val="00C908F8"/>
    <w:rsid w:val="00C909D6"/>
    <w:rsid w:val="00C90BE1"/>
    <w:rsid w:val="00C90D92"/>
    <w:rsid w:val="00C91206"/>
    <w:rsid w:val="00C914F1"/>
    <w:rsid w:val="00C91787"/>
    <w:rsid w:val="00C91814"/>
    <w:rsid w:val="00C91A85"/>
    <w:rsid w:val="00C91B50"/>
    <w:rsid w:val="00C91EBA"/>
    <w:rsid w:val="00C9205B"/>
    <w:rsid w:val="00C92237"/>
    <w:rsid w:val="00C922AB"/>
    <w:rsid w:val="00C9263A"/>
    <w:rsid w:val="00C927A9"/>
    <w:rsid w:val="00C928BE"/>
    <w:rsid w:val="00C929E9"/>
    <w:rsid w:val="00C92BBC"/>
    <w:rsid w:val="00C92EFF"/>
    <w:rsid w:val="00C92F2D"/>
    <w:rsid w:val="00C93452"/>
    <w:rsid w:val="00C9345C"/>
    <w:rsid w:val="00C9357E"/>
    <w:rsid w:val="00C9395D"/>
    <w:rsid w:val="00C9430A"/>
    <w:rsid w:val="00C94444"/>
    <w:rsid w:val="00C944EF"/>
    <w:rsid w:val="00C94800"/>
    <w:rsid w:val="00C9488A"/>
    <w:rsid w:val="00C94D22"/>
    <w:rsid w:val="00C94F47"/>
    <w:rsid w:val="00C9528B"/>
    <w:rsid w:val="00C95483"/>
    <w:rsid w:val="00C95750"/>
    <w:rsid w:val="00C959B1"/>
    <w:rsid w:val="00C95A9C"/>
    <w:rsid w:val="00C95BE3"/>
    <w:rsid w:val="00C95C35"/>
    <w:rsid w:val="00C95E30"/>
    <w:rsid w:val="00C95F8E"/>
    <w:rsid w:val="00C960CA"/>
    <w:rsid w:val="00C960DA"/>
    <w:rsid w:val="00C961CA"/>
    <w:rsid w:val="00C96237"/>
    <w:rsid w:val="00C962AF"/>
    <w:rsid w:val="00C9639F"/>
    <w:rsid w:val="00C9645F"/>
    <w:rsid w:val="00C966C0"/>
    <w:rsid w:val="00C967F6"/>
    <w:rsid w:val="00C96B4F"/>
    <w:rsid w:val="00C96BA7"/>
    <w:rsid w:val="00C96CF5"/>
    <w:rsid w:val="00C96E81"/>
    <w:rsid w:val="00C96E95"/>
    <w:rsid w:val="00C96EC0"/>
    <w:rsid w:val="00C97729"/>
    <w:rsid w:val="00C97D3D"/>
    <w:rsid w:val="00CA036D"/>
    <w:rsid w:val="00CA04F7"/>
    <w:rsid w:val="00CA05D2"/>
    <w:rsid w:val="00CA0A65"/>
    <w:rsid w:val="00CA0B56"/>
    <w:rsid w:val="00CA0DB4"/>
    <w:rsid w:val="00CA0E10"/>
    <w:rsid w:val="00CA0FA6"/>
    <w:rsid w:val="00CA1426"/>
    <w:rsid w:val="00CA17D2"/>
    <w:rsid w:val="00CA1B02"/>
    <w:rsid w:val="00CA1D71"/>
    <w:rsid w:val="00CA1FFF"/>
    <w:rsid w:val="00CA2348"/>
    <w:rsid w:val="00CA2849"/>
    <w:rsid w:val="00CA2AE7"/>
    <w:rsid w:val="00CA2B52"/>
    <w:rsid w:val="00CA2D2B"/>
    <w:rsid w:val="00CA2ECB"/>
    <w:rsid w:val="00CA3222"/>
    <w:rsid w:val="00CA32DC"/>
    <w:rsid w:val="00CA3333"/>
    <w:rsid w:val="00CA3395"/>
    <w:rsid w:val="00CA3DAA"/>
    <w:rsid w:val="00CA3F23"/>
    <w:rsid w:val="00CA4268"/>
    <w:rsid w:val="00CA4415"/>
    <w:rsid w:val="00CA446E"/>
    <w:rsid w:val="00CA446F"/>
    <w:rsid w:val="00CA447F"/>
    <w:rsid w:val="00CA455A"/>
    <w:rsid w:val="00CA45E3"/>
    <w:rsid w:val="00CA4866"/>
    <w:rsid w:val="00CA49BE"/>
    <w:rsid w:val="00CA4AE5"/>
    <w:rsid w:val="00CA4D35"/>
    <w:rsid w:val="00CA5322"/>
    <w:rsid w:val="00CA53B7"/>
    <w:rsid w:val="00CA558D"/>
    <w:rsid w:val="00CA5954"/>
    <w:rsid w:val="00CA5A21"/>
    <w:rsid w:val="00CA5ADD"/>
    <w:rsid w:val="00CA5B6E"/>
    <w:rsid w:val="00CA5D03"/>
    <w:rsid w:val="00CA5DDA"/>
    <w:rsid w:val="00CA6850"/>
    <w:rsid w:val="00CA6976"/>
    <w:rsid w:val="00CA6B34"/>
    <w:rsid w:val="00CA6CD6"/>
    <w:rsid w:val="00CA6DCC"/>
    <w:rsid w:val="00CA6E41"/>
    <w:rsid w:val="00CA71ED"/>
    <w:rsid w:val="00CA7369"/>
    <w:rsid w:val="00CA7487"/>
    <w:rsid w:val="00CA7B15"/>
    <w:rsid w:val="00CA7BFC"/>
    <w:rsid w:val="00CB00B0"/>
    <w:rsid w:val="00CB0422"/>
    <w:rsid w:val="00CB04EF"/>
    <w:rsid w:val="00CB06D0"/>
    <w:rsid w:val="00CB0916"/>
    <w:rsid w:val="00CB0B8F"/>
    <w:rsid w:val="00CB0FCE"/>
    <w:rsid w:val="00CB102E"/>
    <w:rsid w:val="00CB1181"/>
    <w:rsid w:val="00CB1280"/>
    <w:rsid w:val="00CB12F5"/>
    <w:rsid w:val="00CB142C"/>
    <w:rsid w:val="00CB146E"/>
    <w:rsid w:val="00CB14B5"/>
    <w:rsid w:val="00CB157F"/>
    <w:rsid w:val="00CB1671"/>
    <w:rsid w:val="00CB193B"/>
    <w:rsid w:val="00CB1964"/>
    <w:rsid w:val="00CB1B8F"/>
    <w:rsid w:val="00CB1DEB"/>
    <w:rsid w:val="00CB2002"/>
    <w:rsid w:val="00CB2561"/>
    <w:rsid w:val="00CB2749"/>
    <w:rsid w:val="00CB27D0"/>
    <w:rsid w:val="00CB2975"/>
    <w:rsid w:val="00CB2A15"/>
    <w:rsid w:val="00CB2A55"/>
    <w:rsid w:val="00CB2A9C"/>
    <w:rsid w:val="00CB2BC9"/>
    <w:rsid w:val="00CB2C1C"/>
    <w:rsid w:val="00CB2C71"/>
    <w:rsid w:val="00CB2D37"/>
    <w:rsid w:val="00CB30AA"/>
    <w:rsid w:val="00CB319D"/>
    <w:rsid w:val="00CB32D1"/>
    <w:rsid w:val="00CB343A"/>
    <w:rsid w:val="00CB3446"/>
    <w:rsid w:val="00CB3720"/>
    <w:rsid w:val="00CB39AC"/>
    <w:rsid w:val="00CB3A33"/>
    <w:rsid w:val="00CB3BC2"/>
    <w:rsid w:val="00CB3CAB"/>
    <w:rsid w:val="00CB3D2E"/>
    <w:rsid w:val="00CB3D70"/>
    <w:rsid w:val="00CB4379"/>
    <w:rsid w:val="00CB4574"/>
    <w:rsid w:val="00CB50E6"/>
    <w:rsid w:val="00CB51A4"/>
    <w:rsid w:val="00CB55B0"/>
    <w:rsid w:val="00CB56FD"/>
    <w:rsid w:val="00CB5739"/>
    <w:rsid w:val="00CB57A4"/>
    <w:rsid w:val="00CB57D2"/>
    <w:rsid w:val="00CB5854"/>
    <w:rsid w:val="00CB61E6"/>
    <w:rsid w:val="00CB6248"/>
    <w:rsid w:val="00CB6282"/>
    <w:rsid w:val="00CB6297"/>
    <w:rsid w:val="00CB64F8"/>
    <w:rsid w:val="00CB6608"/>
    <w:rsid w:val="00CB69E8"/>
    <w:rsid w:val="00CB6DD6"/>
    <w:rsid w:val="00CB6E65"/>
    <w:rsid w:val="00CB73C0"/>
    <w:rsid w:val="00CB749A"/>
    <w:rsid w:val="00CB7A52"/>
    <w:rsid w:val="00CB7C9E"/>
    <w:rsid w:val="00CB7CA4"/>
    <w:rsid w:val="00CC036F"/>
    <w:rsid w:val="00CC07B7"/>
    <w:rsid w:val="00CC08BB"/>
    <w:rsid w:val="00CC0984"/>
    <w:rsid w:val="00CC0AA7"/>
    <w:rsid w:val="00CC0AFC"/>
    <w:rsid w:val="00CC0C44"/>
    <w:rsid w:val="00CC1089"/>
    <w:rsid w:val="00CC168A"/>
    <w:rsid w:val="00CC1898"/>
    <w:rsid w:val="00CC202A"/>
    <w:rsid w:val="00CC21DC"/>
    <w:rsid w:val="00CC255A"/>
    <w:rsid w:val="00CC256C"/>
    <w:rsid w:val="00CC29BA"/>
    <w:rsid w:val="00CC2FAB"/>
    <w:rsid w:val="00CC3295"/>
    <w:rsid w:val="00CC385A"/>
    <w:rsid w:val="00CC39A2"/>
    <w:rsid w:val="00CC3AED"/>
    <w:rsid w:val="00CC40BE"/>
    <w:rsid w:val="00CC458A"/>
    <w:rsid w:val="00CC45C1"/>
    <w:rsid w:val="00CC4728"/>
    <w:rsid w:val="00CC4841"/>
    <w:rsid w:val="00CC4996"/>
    <w:rsid w:val="00CC4ABE"/>
    <w:rsid w:val="00CC51E6"/>
    <w:rsid w:val="00CC551A"/>
    <w:rsid w:val="00CC5659"/>
    <w:rsid w:val="00CC56F4"/>
    <w:rsid w:val="00CC5730"/>
    <w:rsid w:val="00CC57F8"/>
    <w:rsid w:val="00CC585B"/>
    <w:rsid w:val="00CC5C3B"/>
    <w:rsid w:val="00CC5D1F"/>
    <w:rsid w:val="00CC5E77"/>
    <w:rsid w:val="00CC6058"/>
    <w:rsid w:val="00CC606C"/>
    <w:rsid w:val="00CC6159"/>
    <w:rsid w:val="00CC624C"/>
    <w:rsid w:val="00CC629F"/>
    <w:rsid w:val="00CC6460"/>
    <w:rsid w:val="00CC657A"/>
    <w:rsid w:val="00CC657E"/>
    <w:rsid w:val="00CC68EE"/>
    <w:rsid w:val="00CC6914"/>
    <w:rsid w:val="00CC6918"/>
    <w:rsid w:val="00CC6C58"/>
    <w:rsid w:val="00CC6F6B"/>
    <w:rsid w:val="00CC7020"/>
    <w:rsid w:val="00CC7081"/>
    <w:rsid w:val="00CC7241"/>
    <w:rsid w:val="00CC7604"/>
    <w:rsid w:val="00CC770B"/>
    <w:rsid w:val="00CC77CB"/>
    <w:rsid w:val="00CC77F5"/>
    <w:rsid w:val="00CC7890"/>
    <w:rsid w:val="00CC7D3A"/>
    <w:rsid w:val="00CC7FAD"/>
    <w:rsid w:val="00CD00C4"/>
    <w:rsid w:val="00CD024B"/>
    <w:rsid w:val="00CD050B"/>
    <w:rsid w:val="00CD0B7C"/>
    <w:rsid w:val="00CD0BD2"/>
    <w:rsid w:val="00CD101C"/>
    <w:rsid w:val="00CD1331"/>
    <w:rsid w:val="00CD1332"/>
    <w:rsid w:val="00CD1348"/>
    <w:rsid w:val="00CD136D"/>
    <w:rsid w:val="00CD18D4"/>
    <w:rsid w:val="00CD1CED"/>
    <w:rsid w:val="00CD1EE8"/>
    <w:rsid w:val="00CD22E1"/>
    <w:rsid w:val="00CD237E"/>
    <w:rsid w:val="00CD23AF"/>
    <w:rsid w:val="00CD23F3"/>
    <w:rsid w:val="00CD2491"/>
    <w:rsid w:val="00CD2492"/>
    <w:rsid w:val="00CD255F"/>
    <w:rsid w:val="00CD2659"/>
    <w:rsid w:val="00CD270A"/>
    <w:rsid w:val="00CD2854"/>
    <w:rsid w:val="00CD2864"/>
    <w:rsid w:val="00CD2B00"/>
    <w:rsid w:val="00CD2C28"/>
    <w:rsid w:val="00CD2CC6"/>
    <w:rsid w:val="00CD2EC7"/>
    <w:rsid w:val="00CD31E7"/>
    <w:rsid w:val="00CD32BE"/>
    <w:rsid w:val="00CD334E"/>
    <w:rsid w:val="00CD3551"/>
    <w:rsid w:val="00CD3A0A"/>
    <w:rsid w:val="00CD3DD5"/>
    <w:rsid w:val="00CD401A"/>
    <w:rsid w:val="00CD4029"/>
    <w:rsid w:val="00CD40A0"/>
    <w:rsid w:val="00CD4129"/>
    <w:rsid w:val="00CD42FB"/>
    <w:rsid w:val="00CD44F0"/>
    <w:rsid w:val="00CD49DF"/>
    <w:rsid w:val="00CD4B8A"/>
    <w:rsid w:val="00CD4EF4"/>
    <w:rsid w:val="00CD4FFD"/>
    <w:rsid w:val="00CD522E"/>
    <w:rsid w:val="00CD53D3"/>
    <w:rsid w:val="00CD55E5"/>
    <w:rsid w:val="00CD57DD"/>
    <w:rsid w:val="00CD5848"/>
    <w:rsid w:val="00CD5E41"/>
    <w:rsid w:val="00CD610A"/>
    <w:rsid w:val="00CD64D5"/>
    <w:rsid w:val="00CD65F8"/>
    <w:rsid w:val="00CD66BE"/>
    <w:rsid w:val="00CD6882"/>
    <w:rsid w:val="00CD6A78"/>
    <w:rsid w:val="00CD6A9A"/>
    <w:rsid w:val="00CD6AAE"/>
    <w:rsid w:val="00CD6F45"/>
    <w:rsid w:val="00CD6FB9"/>
    <w:rsid w:val="00CD72D0"/>
    <w:rsid w:val="00CD7712"/>
    <w:rsid w:val="00CD7903"/>
    <w:rsid w:val="00CD7B05"/>
    <w:rsid w:val="00CD7F02"/>
    <w:rsid w:val="00CE0014"/>
    <w:rsid w:val="00CE0133"/>
    <w:rsid w:val="00CE0229"/>
    <w:rsid w:val="00CE05AB"/>
    <w:rsid w:val="00CE0895"/>
    <w:rsid w:val="00CE09A7"/>
    <w:rsid w:val="00CE09D7"/>
    <w:rsid w:val="00CE0A7A"/>
    <w:rsid w:val="00CE0E7D"/>
    <w:rsid w:val="00CE10AB"/>
    <w:rsid w:val="00CE128B"/>
    <w:rsid w:val="00CE1468"/>
    <w:rsid w:val="00CE15AE"/>
    <w:rsid w:val="00CE165E"/>
    <w:rsid w:val="00CE1839"/>
    <w:rsid w:val="00CE1867"/>
    <w:rsid w:val="00CE18B1"/>
    <w:rsid w:val="00CE1A84"/>
    <w:rsid w:val="00CE1D3F"/>
    <w:rsid w:val="00CE1DA0"/>
    <w:rsid w:val="00CE1DE8"/>
    <w:rsid w:val="00CE1E7F"/>
    <w:rsid w:val="00CE22E4"/>
    <w:rsid w:val="00CE2517"/>
    <w:rsid w:val="00CE288F"/>
    <w:rsid w:val="00CE2CB1"/>
    <w:rsid w:val="00CE30DD"/>
    <w:rsid w:val="00CE3116"/>
    <w:rsid w:val="00CE347A"/>
    <w:rsid w:val="00CE35CA"/>
    <w:rsid w:val="00CE3D0E"/>
    <w:rsid w:val="00CE3E79"/>
    <w:rsid w:val="00CE4059"/>
    <w:rsid w:val="00CE4143"/>
    <w:rsid w:val="00CE4476"/>
    <w:rsid w:val="00CE46CB"/>
    <w:rsid w:val="00CE4B25"/>
    <w:rsid w:val="00CE4CF6"/>
    <w:rsid w:val="00CE509A"/>
    <w:rsid w:val="00CE5712"/>
    <w:rsid w:val="00CE5750"/>
    <w:rsid w:val="00CE581C"/>
    <w:rsid w:val="00CE5844"/>
    <w:rsid w:val="00CE5C51"/>
    <w:rsid w:val="00CE62A9"/>
    <w:rsid w:val="00CE6384"/>
    <w:rsid w:val="00CE655F"/>
    <w:rsid w:val="00CE677D"/>
    <w:rsid w:val="00CE68E2"/>
    <w:rsid w:val="00CE6A79"/>
    <w:rsid w:val="00CE6C5C"/>
    <w:rsid w:val="00CE6D04"/>
    <w:rsid w:val="00CE6D85"/>
    <w:rsid w:val="00CE6EFF"/>
    <w:rsid w:val="00CE7242"/>
    <w:rsid w:val="00CE734C"/>
    <w:rsid w:val="00CE736A"/>
    <w:rsid w:val="00CE7445"/>
    <w:rsid w:val="00CE74C1"/>
    <w:rsid w:val="00CE7B9E"/>
    <w:rsid w:val="00CE7CFD"/>
    <w:rsid w:val="00CE7D01"/>
    <w:rsid w:val="00CE7F83"/>
    <w:rsid w:val="00CF0010"/>
    <w:rsid w:val="00CF0018"/>
    <w:rsid w:val="00CF022B"/>
    <w:rsid w:val="00CF075E"/>
    <w:rsid w:val="00CF07EC"/>
    <w:rsid w:val="00CF0804"/>
    <w:rsid w:val="00CF0926"/>
    <w:rsid w:val="00CF0AFF"/>
    <w:rsid w:val="00CF0C44"/>
    <w:rsid w:val="00CF0E2F"/>
    <w:rsid w:val="00CF0E32"/>
    <w:rsid w:val="00CF0E90"/>
    <w:rsid w:val="00CF1217"/>
    <w:rsid w:val="00CF13EF"/>
    <w:rsid w:val="00CF15DA"/>
    <w:rsid w:val="00CF170E"/>
    <w:rsid w:val="00CF1890"/>
    <w:rsid w:val="00CF1BFD"/>
    <w:rsid w:val="00CF1C4A"/>
    <w:rsid w:val="00CF1C7A"/>
    <w:rsid w:val="00CF22D1"/>
    <w:rsid w:val="00CF241D"/>
    <w:rsid w:val="00CF284D"/>
    <w:rsid w:val="00CF2A17"/>
    <w:rsid w:val="00CF2D4C"/>
    <w:rsid w:val="00CF2D5A"/>
    <w:rsid w:val="00CF2D9C"/>
    <w:rsid w:val="00CF2DB9"/>
    <w:rsid w:val="00CF2F27"/>
    <w:rsid w:val="00CF3030"/>
    <w:rsid w:val="00CF339D"/>
    <w:rsid w:val="00CF3635"/>
    <w:rsid w:val="00CF3698"/>
    <w:rsid w:val="00CF3868"/>
    <w:rsid w:val="00CF39BE"/>
    <w:rsid w:val="00CF3ABB"/>
    <w:rsid w:val="00CF3CDD"/>
    <w:rsid w:val="00CF3D0C"/>
    <w:rsid w:val="00CF42CB"/>
    <w:rsid w:val="00CF4669"/>
    <w:rsid w:val="00CF4739"/>
    <w:rsid w:val="00CF4A47"/>
    <w:rsid w:val="00CF4D3B"/>
    <w:rsid w:val="00CF4E85"/>
    <w:rsid w:val="00CF4FC6"/>
    <w:rsid w:val="00CF5050"/>
    <w:rsid w:val="00CF5104"/>
    <w:rsid w:val="00CF539E"/>
    <w:rsid w:val="00CF5537"/>
    <w:rsid w:val="00CF5590"/>
    <w:rsid w:val="00CF5748"/>
    <w:rsid w:val="00CF5A27"/>
    <w:rsid w:val="00CF5C5E"/>
    <w:rsid w:val="00CF5D5C"/>
    <w:rsid w:val="00CF5D95"/>
    <w:rsid w:val="00CF5E3D"/>
    <w:rsid w:val="00CF602A"/>
    <w:rsid w:val="00CF6270"/>
    <w:rsid w:val="00CF65EE"/>
    <w:rsid w:val="00CF6D61"/>
    <w:rsid w:val="00CF7024"/>
    <w:rsid w:val="00CF7157"/>
    <w:rsid w:val="00CF76AD"/>
    <w:rsid w:val="00CF76B7"/>
    <w:rsid w:val="00CF7ADC"/>
    <w:rsid w:val="00CF7C02"/>
    <w:rsid w:val="00CF7D44"/>
    <w:rsid w:val="00D0035E"/>
    <w:rsid w:val="00D00485"/>
    <w:rsid w:val="00D00728"/>
    <w:rsid w:val="00D00AB4"/>
    <w:rsid w:val="00D00B2F"/>
    <w:rsid w:val="00D00CD5"/>
    <w:rsid w:val="00D00F14"/>
    <w:rsid w:val="00D00F3F"/>
    <w:rsid w:val="00D00F4F"/>
    <w:rsid w:val="00D01211"/>
    <w:rsid w:val="00D013E4"/>
    <w:rsid w:val="00D01591"/>
    <w:rsid w:val="00D015ED"/>
    <w:rsid w:val="00D017E0"/>
    <w:rsid w:val="00D01C27"/>
    <w:rsid w:val="00D01EA0"/>
    <w:rsid w:val="00D01EF3"/>
    <w:rsid w:val="00D02316"/>
    <w:rsid w:val="00D023B6"/>
    <w:rsid w:val="00D023C4"/>
    <w:rsid w:val="00D02569"/>
    <w:rsid w:val="00D02834"/>
    <w:rsid w:val="00D02F05"/>
    <w:rsid w:val="00D02FC7"/>
    <w:rsid w:val="00D0300F"/>
    <w:rsid w:val="00D03018"/>
    <w:rsid w:val="00D030B4"/>
    <w:rsid w:val="00D0316C"/>
    <w:rsid w:val="00D0319A"/>
    <w:rsid w:val="00D0327A"/>
    <w:rsid w:val="00D03661"/>
    <w:rsid w:val="00D0374D"/>
    <w:rsid w:val="00D0376B"/>
    <w:rsid w:val="00D03807"/>
    <w:rsid w:val="00D0387C"/>
    <w:rsid w:val="00D03A7E"/>
    <w:rsid w:val="00D03E00"/>
    <w:rsid w:val="00D03E8A"/>
    <w:rsid w:val="00D04144"/>
    <w:rsid w:val="00D0426D"/>
    <w:rsid w:val="00D042E0"/>
    <w:rsid w:val="00D04363"/>
    <w:rsid w:val="00D04395"/>
    <w:rsid w:val="00D043FD"/>
    <w:rsid w:val="00D04445"/>
    <w:rsid w:val="00D0450F"/>
    <w:rsid w:val="00D047DA"/>
    <w:rsid w:val="00D05178"/>
    <w:rsid w:val="00D052A2"/>
    <w:rsid w:val="00D05374"/>
    <w:rsid w:val="00D056F3"/>
    <w:rsid w:val="00D058C1"/>
    <w:rsid w:val="00D05B89"/>
    <w:rsid w:val="00D05DBD"/>
    <w:rsid w:val="00D06088"/>
    <w:rsid w:val="00D063CC"/>
    <w:rsid w:val="00D0645B"/>
    <w:rsid w:val="00D064CC"/>
    <w:rsid w:val="00D0653F"/>
    <w:rsid w:val="00D0659B"/>
    <w:rsid w:val="00D0692A"/>
    <w:rsid w:val="00D06B61"/>
    <w:rsid w:val="00D06D54"/>
    <w:rsid w:val="00D06EF6"/>
    <w:rsid w:val="00D06F1E"/>
    <w:rsid w:val="00D06F72"/>
    <w:rsid w:val="00D06F83"/>
    <w:rsid w:val="00D06F95"/>
    <w:rsid w:val="00D070A4"/>
    <w:rsid w:val="00D072BC"/>
    <w:rsid w:val="00D07805"/>
    <w:rsid w:val="00D079F0"/>
    <w:rsid w:val="00D07B3B"/>
    <w:rsid w:val="00D07C76"/>
    <w:rsid w:val="00D07C8D"/>
    <w:rsid w:val="00D07D83"/>
    <w:rsid w:val="00D1080F"/>
    <w:rsid w:val="00D1097A"/>
    <w:rsid w:val="00D10983"/>
    <w:rsid w:val="00D10A80"/>
    <w:rsid w:val="00D10C3D"/>
    <w:rsid w:val="00D10CA1"/>
    <w:rsid w:val="00D10DB1"/>
    <w:rsid w:val="00D110B1"/>
    <w:rsid w:val="00D11362"/>
    <w:rsid w:val="00D11389"/>
    <w:rsid w:val="00D11742"/>
    <w:rsid w:val="00D11768"/>
    <w:rsid w:val="00D11C07"/>
    <w:rsid w:val="00D121BE"/>
    <w:rsid w:val="00D12347"/>
    <w:rsid w:val="00D125E3"/>
    <w:rsid w:val="00D12686"/>
    <w:rsid w:val="00D127F0"/>
    <w:rsid w:val="00D12A35"/>
    <w:rsid w:val="00D12D76"/>
    <w:rsid w:val="00D12E3E"/>
    <w:rsid w:val="00D12EE0"/>
    <w:rsid w:val="00D12FB8"/>
    <w:rsid w:val="00D1340F"/>
    <w:rsid w:val="00D134FA"/>
    <w:rsid w:val="00D136AF"/>
    <w:rsid w:val="00D137C2"/>
    <w:rsid w:val="00D13887"/>
    <w:rsid w:val="00D139FC"/>
    <w:rsid w:val="00D140B4"/>
    <w:rsid w:val="00D14131"/>
    <w:rsid w:val="00D141DD"/>
    <w:rsid w:val="00D142AC"/>
    <w:rsid w:val="00D14444"/>
    <w:rsid w:val="00D145D3"/>
    <w:rsid w:val="00D149CA"/>
    <w:rsid w:val="00D14C8E"/>
    <w:rsid w:val="00D14FAE"/>
    <w:rsid w:val="00D15140"/>
    <w:rsid w:val="00D15532"/>
    <w:rsid w:val="00D156F5"/>
    <w:rsid w:val="00D15862"/>
    <w:rsid w:val="00D15888"/>
    <w:rsid w:val="00D15958"/>
    <w:rsid w:val="00D15959"/>
    <w:rsid w:val="00D15A04"/>
    <w:rsid w:val="00D162CC"/>
    <w:rsid w:val="00D163C4"/>
    <w:rsid w:val="00D1647D"/>
    <w:rsid w:val="00D16563"/>
    <w:rsid w:val="00D166B0"/>
    <w:rsid w:val="00D168CC"/>
    <w:rsid w:val="00D16A85"/>
    <w:rsid w:val="00D16DC1"/>
    <w:rsid w:val="00D16E76"/>
    <w:rsid w:val="00D16F06"/>
    <w:rsid w:val="00D17088"/>
    <w:rsid w:val="00D170E3"/>
    <w:rsid w:val="00D17305"/>
    <w:rsid w:val="00D17377"/>
    <w:rsid w:val="00D1739B"/>
    <w:rsid w:val="00D17654"/>
    <w:rsid w:val="00D17733"/>
    <w:rsid w:val="00D17922"/>
    <w:rsid w:val="00D17ABF"/>
    <w:rsid w:val="00D17B4B"/>
    <w:rsid w:val="00D17BB0"/>
    <w:rsid w:val="00D17BEF"/>
    <w:rsid w:val="00D17D47"/>
    <w:rsid w:val="00D17DA2"/>
    <w:rsid w:val="00D2058F"/>
    <w:rsid w:val="00D20633"/>
    <w:rsid w:val="00D20718"/>
    <w:rsid w:val="00D2074E"/>
    <w:rsid w:val="00D20A43"/>
    <w:rsid w:val="00D20A85"/>
    <w:rsid w:val="00D20E0D"/>
    <w:rsid w:val="00D20FF8"/>
    <w:rsid w:val="00D211A3"/>
    <w:rsid w:val="00D2124D"/>
    <w:rsid w:val="00D2164B"/>
    <w:rsid w:val="00D2182A"/>
    <w:rsid w:val="00D21836"/>
    <w:rsid w:val="00D21861"/>
    <w:rsid w:val="00D218DD"/>
    <w:rsid w:val="00D21F20"/>
    <w:rsid w:val="00D22056"/>
    <w:rsid w:val="00D220BE"/>
    <w:rsid w:val="00D222FA"/>
    <w:rsid w:val="00D23315"/>
    <w:rsid w:val="00D233B0"/>
    <w:rsid w:val="00D233E7"/>
    <w:rsid w:val="00D23690"/>
    <w:rsid w:val="00D23B90"/>
    <w:rsid w:val="00D23C32"/>
    <w:rsid w:val="00D23DC8"/>
    <w:rsid w:val="00D23FA9"/>
    <w:rsid w:val="00D2428D"/>
    <w:rsid w:val="00D242B2"/>
    <w:rsid w:val="00D244A2"/>
    <w:rsid w:val="00D244D9"/>
    <w:rsid w:val="00D24959"/>
    <w:rsid w:val="00D24BD3"/>
    <w:rsid w:val="00D24EF5"/>
    <w:rsid w:val="00D24FE7"/>
    <w:rsid w:val="00D2502A"/>
    <w:rsid w:val="00D25069"/>
    <w:rsid w:val="00D250B0"/>
    <w:rsid w:val="00D251B7"/>
    <w:rsid w:val="00D2525D"/>
    <w:rsid w:val="00D2534E"/>
    <w:rsid w:val="00D25457"/>
    <w:rsid w:val="00D255BF"/>
    <w:rsid w:val="00D2587D"/>
    <w:rsid w:val="00D25A6F"/>
    <w:rsid w:val="00D25C00"/>
    <w:rsid w:val="00D25D35"/>
    <w:rsid w:val="00D25E94"/>
    <w:rsid w:val="00D25EF9"/>
    <w:rsid w:val="00D2647D"/>
    <w:rsid w:val="00D26631"/>
    <w:rsid w:val="00D2664B"/>
    <w:rsid w:val="00D2680C"/>
    <w:rsid w:val="00D26982"/>
    <w:rsid w:val="00D26B45"/>
    <w:rsid w:val="00D26BBB"/>
    <w:rsid w:val="00D26C74"/>
    <w:rsid w:val="00D26D3A"/>
    <w:rsid w:val="00D26D64"/>
    <w:rsid w:val="00D27146"/>
    <w:rsid w:val="00D277B5"/>
    <w:rsid w:val="00D27B9C"/>
    <w:rsid w:val="00D27C0F"/>
    <w:rsid w:val="00D27DF1"/>
    <w:rsid w:val="00D3018E"/>
    <w:rsid w:val="00D307F7"/>
    <w:rsid w:val="00D3085D"/>
    <w:rsid w:val="00D309FA"/>
    <w:rsid w:val="00D30A26"/>
    <w:rsid w:val="00D30AED"/>
    <w:rsid w:val="00D30C12"/>
    <w:rsid w:val="00D311DF"/>
    <w:rsid w:val="00D31342"/>
    <w:rsid w:val="00D3151B"/>
    <w:rsid w:val="00D315B0"/>
    <w:rsid w:val="00D31920"/>
    <w:rsid w:val="00D3214C"/>
    <w:rsid w:val="00D32214"/>
    <w:rsid w:val="00D32552"/>
    <w:rsid w:val="00D327FD"/>
    <w:rsid w:val="00D32995"/>
    <w:rsid w:val="00D32A4F"/>
    <w:rsid w:val="00D32B18"/>
    <w:rsid w:val="00D32CD4"/>
    <w:rsid w:val="00D32D01"/>
    <w:rsid w:val="00D32D4C"/>
    <w:rsid w:val="00D32E07"/>
    <w:rsid w:val="00D32FA3"/>
    <w:rsid w:val="00D33666"/>
    <w:rsid w:val="00D33754"/>
    <w:rsid w:val="00D339BF"/>
    <w:rsid w:val="00D33A16"/>
    <w:rsid w:val="00D33C4D"/>
    <w:rsid w:val="00D33EF6"/>
    <w:rsid w:val="00D33F44"/>
    <w:rsid w:val="00D33FA4"/>
    <w:rsid w:val="00D34115"/>
    <w:rsid w:val="00D3433B"/>
    <w:rsid w:val="00D34461"/>
    <w:rsid w:val="00D345E2"/>
    <w:rsid w:val="00D34879"/>
    <w:rsid w:val="00D34902"/>
    <w:rsid w:val="00D34AA0"/>
    <w:rsid w:val="00D34B0B"/>
    <w:rsid w:val="00D34B82"/>
    <w:rsid w:val="00D34EDB"/>
    <w:rsid w:val="00D350EF"/>
    <w:rsid w:val="00D3536B"/>
    <w:rsid w:val="00D35450"/>
    <w:rsid w:val="00D355C4"/>
    <w:rsid w:val="00D355C8"/>
    <w:rsid w:val="00D357A1"/>
    <w:rsid w:val="00D357E7"/>
    <w:rsid w:val="00D35C59"/>
    <w:rsid w:val="00D35EEE"/>
    <w:rsid w:val="00D35F64"/>
    <w:rsid w:val="00D35FA1"/>
    <w:rsid w:val="00D36361"/>
    <w:rsid w:val="00D363E7"/>
    <w:rsid w:val="00D364A3"/>
    <w:rsid w:val="00D3659C"/>
    <w:rsid w:val="00D366FF"/>
    <w:rsid w:val="00D369CB"/>
    <w:rsid w:val="00D369EC"/>
    <w:rsid w:val="00D36A50"/>
    <w:rsid w:val="00D36A8F"/>
    <w:rsid w:val="00D36FA0"/>
    <w:rsid w:val="00D372C8"/>
    <w:rsid w:val="00D3739F"/>
    <w:rsid w:val="00D373C5"/>
    <w:rsid w:val="00D376BC"/>
    <w:rsid w:val="00D377A4"/>
    <w:rsid w:val="00D377F4"/>
    <w:rsid w:val="00D37A8D"/>
    <w:rsid w:val="00D37B06"/>
    <w:rsid w:val="00D37B57"/>
    <w:rsid w:val="00D37C8C"/>
    <w:rsid w:val="00D37E75"/>
    <w:rsid w:val="00D4005B"/>
    <w:rsid w:val="00D401A8"/>
    <w:rsid w:val="00D40450"/>
    <w:rsid w:val="00D4047A"/>
    <w:rsid w:val="00D405B8"/>
    <w:rsid w:val="00D40A9C"/>
    <w:rsid w:val="00D40AF0"/>
    <w:rsid w:val="00D40CB6"/>
    <w:rsid w:val="00D413D7"/>
    <w:rsid w:val="00D4144F"/>
    <w:rsid w:val="00D417A4"/>
    <w:rsid w:val="00D417B0"/>
    <w:rsid w:val="00D41B1E"/>
    <w:rsid w:val="00D41BD7"/>
    <w:rsid w:val="00D41BF4"/>
    <w:rsid w:val="00D41F9F"/>
    <w:rsid w:val="00D42139"/>
    <w:rsid w:val="00D4221F"/>
    <w:rsid w:val="00D42828"/>
    <w:rsid w:val="00D42BEA"/>
    <w:rsid w:val="00D430BF"/>
    <w:rsid w:val="00D43238"/>
    <w:rsid w:val="00D432EB"/>
    <w:rsid w:val="00D43883"/>
    <w:rsid w:val="00D43ADC"/>
    <w:rsid w:val="00D43AE0"/>
    <w:rsid w:val="00D43DEE"/>
    <w:rsid w:val="00D441B7"/>
    <w:rsid w:val="00D44482"/>
    <w:rsid w:val="00D44501"/>
    <w:rsid w:val="00D44677"/>
    <w:rsid w:val="00D44855"/>
    <w:rsid w:val="00D44AA4"/>
    <w:rsid w:val="00D44B95"/>
    <w:rsid w:val="00D44D5B"/>
    <w:rsid w:val="00D44DDF"/>
    <w:rsid w:val="00D44F67"/>
    <w:rsid w:val="00D4546F"/>
    <w:rsid w:val="00D45484"/>
    <w:rsid w:val="00D45666"/>
    <w:rsid w:val="00D45AA4"/>
    <w:rsid w:val="00D45B1D"/>
    <w:rsid w:val="00D45C52"/>
    <w:rsid w:val="00D462C6"/>
    <w:rsid w:val="00D46432"/>
    <w:rsid w:val="00D4646E"/>
    <w:rsid w:val="00D465E5"/>
    <w:rsid w:val="00D4661F"/>
    <w:rsid w:val="00D466DA"/>
    <w:rsid w:val="00D46717"/>
    <w:rsid w:val="00D4687A"/>
    <w:rsid w:val="00D468B4"/>
    <w:rsid w:val="00D46A26"/>
    <w:rsid w:val="00D46B49"/>
    <w:rsid w:val="00D46BBA"/>
    <w:rsid w:val="00D47187"/>
    <w:rsid w:val="00D47497"/>
    <w:rsid w:val="00D47523"/>
    <w:rsid w:val="00D47560"/>
    <w:rsid w:val="00D47844"/>
    <w:rsid w:val="00D47912"/>
    <w:rsid w:val="00D47CF3"/>
    <w:rsid w:val="00D47FCA"/>
    <w:rsid w:val="00D5038E"/>
    <w:rsid w:val="00D50421"/>
    <w:rsid w:val="00D5043B"/>
    <w:rsid w:val="00D5089F"/>
    <w:rsid w:val="00D5095A"/>
    <w:rsid w:val="00D50AC6"/>
    <w:rsid w:val="00D50ADF"/>
    <w:rsid w:val="00D5111C"/>
    <w:rsid w:val="00D513E4"/>
    <w:rsid w:val="00D51403"/>
    <w:rsid w:val="00D51449"/>
    <w:rsid w:val="00D51653"/>
    <w:rsid w:val="00D51913"/>
    <w:rsid w:val="00D51B71"/>
    <w:rsid w:val="00D51C37"/>
    <w:rsid w:val="00D51CD3"/>
    <w:rsid w:val="00D51CFA"/>
    <w:rsid w:val="00D523F4"/>
    <w:rsid w:val="00D52534"/>
    <w:rsid w:val="00D52679"/>
    <w:rsid w:val="00D52733"/>
    <w:rsid w:val="00D5291E"/>
    <w:rsid w:val="00D52921"/>
    <w:rsid w:val="00D52AD0"/>
    <w:rsid w:val="00D52B07"/>
    <w:rsid w:val="00D52C21"/>
    <w:rsid w:val="00D52E77"/>
    <w:rsid w:val="00D5335A"/>
    <w:rsid w:val="00D5337B"/>
    <w:rsid w:val="00D5349F"/>
    <w:rsid w:val="00D53765"/>
    <w:rsid w:val="00D538ED"/>
    <w:rsid w:val="00D53D8C"/>
    <w:rsid w:val="00D54098"/>
    <w:rsid w:val="00D5430E"/>
    <w:rsid w:val="00D5447A"/>
    <w:rsid w:val="00D54679"/>
    <w:rsid w:val="00D547CA"/>
    <w:rsid w:val="00D54906"/>
    <w:rsid w:val="00D54C6F"/>
    <w:rsid w:val="00D54C72"/>
    <w:rsid w:val="00D54DFF"/>
    <w:rsid w:val="00D54E69"/>
    <w:rsid w:val="00D54FF1"/>
    <w:rsid w:val="00D553F2"/>
    <w:rsid w:val="00D5569B"/>
    <w:rsid w:val="00D557CB"/>
    <w:rsid w:val="00D55808"/>
    <w:rsid w:val="00D55B80"/>
    <w:rsid w:val="00D56198"/>
    <w:rsid w:val="00D561BD"/>
    <w:rsid w:val="00D56584"/>
    <w:rsid w:val="00D565E4"/>
    <w:rsid w:val="00D56706"/>
    <w:rsid w:val="00D56BAE"/>
    <w:rsid w:val="00D56BAF"/>
    <w:rsid w:val="00D56E11"/>
    <w:rsid w:val="00D56E27"/>
    <w:rsid w:val="00D56EF0"/>
    <w:rsid w:val="00D56FD1"/>
    <w:rsid w:val="00D5701F"/>
    <w:rsid w:val="00D570B2"/>
    <w:rsid w:val="00D570C0"/>
    <w:rsid w:val="00D57106"/>
    <w:rsid w:val="00D573B5"/>
    <w:rsid w:val="00D5742A"/>
    <w:rsid w:val="00D5755D"/>
    <w:rsid w:val="00D577B8"/>
    <w:rsid w:val="00D57A52"/>
    <w:rsid w:val="00D57CA2"/>
    <w:rsid w:val="00D57D54"/>
    <w:rsid w:val="00D600B4"/>
    <w:rsid w:val="00D60235"/>
    <w:rsid w:val="00D60443"/>
    <w:rsid w:val="00D6086B"/>
    <w:rsid w:val="00D60D55"/>
    <w:rsid w:val="00D61145"/>
    <w:rsid w:val="00D611F2"/>
    <w:rsid w:val="00D6180D"/>
    <w:rsid w:val="00D6190F"/>
    <w:rsid w:val="00D61944"/>
    <w:rsid w:val="00D61C07"/>
    <w:rsid w:val="00D61CA4"/>
    <w:rsid w:val="00D61E89"/>
    <w:rsid w:val="00D62097"/>
    <w:rsid w:val="00D62238"/>
    <w:rsid w:val="00D6231F"/>
    <w:rsid w:val="00D626CD"/>
    <w:rsid w:val="00D62B0E"/>
    <w:rsid w:val="00D62B12"/>
    <w:rsid w:val="00D62C50"/>
    <w:rsid w:val="00D62CFC"/>
    <w:rsid w:val="00D62D05"/>
    <w:rsid w:val="00D62DE9"/>
    <w:rsid w:val="00D62ECA"/>
    <w:rsid w:val="00D63006"/>
    <w:rsid w:val="00D6307C"/>
    <w:rsid w:val="00D631D5"/>
    <w:rsid w:val="00D633DF"/>
    <w:rsid w:val="00D633FF"/>
    <w:rsid w:val="00D63460"/>
    <w:rsid w:val="00D63862"/>
    <w:rsid w:val="00D63A01"/>
    <w:rsid w:val="00D63A74"/>
    <w:rsid w:val="00D63ED5"/>
    <w:rsid w:val="00D63F8E"/>
    <w:rsid w:val="00D64217"/>
    <w:rsid w:val="00D6444A"/>
    <w:rsid w:val="00D6446A"/>
    <w:rsid w:val="00D64962"/>
    <w:rsid w:val="00D64EE8"/>
    <w:rsid w:val="00D64FAC"/>
    <w:rsid w:val="00D650E1"/>
    <w:rsid w:val="00D65364"/>
    <w:rsid w:val="00D653BA"/>
    <w:rsid w:val="00D65447"/>
    <w:rsid w:val="00D654D7"/>
    <w:rsid w:val="00D65506"/>
    <w:rsid w:val="00D656B2"/>
    <w:rsid w:val="00D65922"/>
    <w:rsid w:val="00D65BF7"/>
    <w:rsid w:val="00D65C50"/>
    <w:rsid w:val="00D65E06"/>
    <w:rsid w:val="00D65E9F"/>
    <w:rsid w:val="00D6609D"/>
    <w:rsid w:val="00D66186"/>
    <w:rsid w:val="00D66534"/>
    <w:rsid w:val="00D669B8"/>
    <w:rsid w:val="00D66AB3"/>
    <w:rsid w:val="00D66C02"/>
    <w:rsid w:val="00D66C5D"/>
    <w:rsid w:val="00D66D2B"/>
    <w:rsid w:val="00D66D63"/>
    <w:rsid w:val="00D670DE"/>
    <w:rsid w:val="00D6711B"/>
    <w:rsid w:val="00D6719B"/>
    <w:rsid w:val="00D671DA"/>
    <w:rsid w:val="00D67217"/>
    <w:rsid w:val="00D67571"/>
    <w:rsid w:val="00D67745"/>
    <w:rsid w:val="00D67808"/>
    <w:rsid w:val="00D67883"/>
    <w:rsid w:val="00D67B42"/>
    <w:rsid w:val="00D67D5C"/>
    <w:rsid w:val="00D67DA4"/>
    <w:rsid w:val="00D7045C"/>
    <w:rsid w:val="00D70565"/>
    <w:rsid w:val="00D70A51"/>
    <w:rsid w:val="00D71142"/>
    <w:rsid w:val="00D7127F"/>
    <w:rsid w:val="00D712A1"/>
    <w:rsid w:val="00D71D64"/>
    <w:rsid w:val="00D7214B"/>
    <w:rsid w:val="00D7242C"/>
    <w:rsid w:val="00D72675"/>
    <w:rsid w:val="00D72772"/>
    <w:rsid w:val="00D72838"/>
    <w:rsid w:val="00D72BD5"/>
    <w:rsid w:val="00D72D01"/>
    <w:rsid w:val="00D72D88"/>
    <w:rsid w:val="00D72E83"/>
    <w:rsid w:val="00D736B2"/>
    <w:rsid w:val="00D73825"/>
    <w:rsid w:val="00D73978"/>
    <w:rsid w:val="00D74059"/>
    <w:rsid w:val="00D74685"/>
    <w:rsid w:val="00D746CD"/>
    <w:rsid w:val="00D747E6"/>
    <w:rsid w:val="00D74C77"/>
    <w:rsid w:val="00D74E04"/>
    <w:rsid w:val="00D75528"/>
    <w:rsid w:val="00D75551"/>
    <w:rsid w:val="00D75576"/>
    <w:rsid w:val="00D75D63"/>
    <w:rsid w:val="00D75EF8"/>
    <w:rsid w:val="00D7605A"/>
    <w:rsid w:val="00D76228"/>
    <w:rsid w:val="00D764B9"/>
    <w:rsid w:val="00D76756"/>
    <w:rsid w:val="00D76982"/>
    <w:rsid w:val="00D76C81"/>
    <w:rsid w:val="00D7701C"/>
    <w:rsid w:val="00D770F0"/>
    <w:rsid w:val="00D773F7"/>
    <w:rsid w:val="00D77784"/>
    <w:rsid w:val="00D77A4D"/>
    <w:rsid w:val="00D77CE6"/>
    <w:rsid w:val="00D8001A"/>
    <w:rsid w:val="00D8032D"/>
    <w:rsid w:val="00D80498"/>
    <w:rsid w:val="00D80767"/>
    <w:rsid w:val="00D808F5"/>
    <w:rsid w:val="00D80AED"/>
    <w:rsid w:val="00D80AEE"/>
    <w:rsid w:val="00D80BD6"/>
    <w:rsid w:val="00D80C14"/>
    <w:rsid w:val="00D80C23"/>
    <w:rsid w:val="00D80C8D"/>
    <w:rsid w:val="00D80D9A"/>
    <w:rsid w:val="00D80E9D"/>
    <w:rsid w:val="00D80F87"/>
    <w:rsid w:val="00D810B5"/>
    <w:rsid w:val="00D810C7"/>
    <w:rsid w:val="00D81176"/>
    <w:rsid w:val="00D81354"/>
    <w:rsid w:val="00D813E8"/>
    <w:rsid w:val="00D8159B"/>
    <w:rsid w:val="00D81937"/>
    <w:rsid w:val="00D81AE3"/>
    <w:rsid w:val="00D81DFA"/>
    <w:rsid w:val="00D81F0A"/>
    <w:rsid w:val="00D81F40"/>
    <w:rsid w:val="00D8291D"/>
    <w:rsid w:val="00D82E6F"/>
    <w:rsid w:val="00D82FD9"/>
    <w:rsid w:val="00D83320"/>
    <w:rsid w:val="00D837C7"/>
    <w:rsid w:val="00D83BA4"/>
    <w:rsid w:val="00D83F49"/>
    <w:rsid w:val="00D840B2"/>
    <w:rsid w:val="00D849C5"/>
    <w:rsid w:val="00D84A2A"/>
    <w:rsid w:val="00D84A97"/>
    <w:rsid w:val="00D84B4E"/>
    <w:rsid w:val="00D8503E"/>
    <w:rsid w:val="00D85041"/>
    <w:rsid w:val="00D85071"/>
    <w:rsid w:val="00D85C7F"/>
    <w:rsid w:val="00D85CA2"/>
    <w:rsid w:val="00D85E95"/>
    <w:rsid w:val="00D85F63"/>
    <w:rsid w:val="00D85F88"/>
    <w:rsid w:val="00D8642C"/>
    <w:rsid w:val="00D865DB"/>
    <w:rsid w:val="00D86816"/>
    <w:rsid w:val="00D8686E"/>
    <w:rsid w:val="00D86A6A"/>
    <w:rsid w:val="00D86D3C"/>
    <w:rsid w:val="00D86D6C"/>
    <w:rsid w:val="00D87000"/>
    <w:rsid w:val="00D870B5"/>
    <w:rsid w:val="00D8720E"/>
    <w:rsid w:val="00D872DA"/>
    <w:rsid w:val="00D8736F"/>
    <w:rsid w:val="00D874B5"/>
    <w:rsid w:val="00D874F0"/>
    <w:rsid w:val="00D87525"/>
    <w:rsid w:val="00D87621"/>
    <w:rsid w:val="00D87704"/>
    <w:rsid w:val="00D879C1"/>
    <w:rsid w:val="00D87AB9"/>
    <w:rsid w:val="00D87B34"/>
    <w:rsid w:val="00D87C4C"/>
    <w:rsid w:val="00D87C4E"/>
    <w:rsid w:val="00D87D11"/>
    <w:rsid w:val="00D87EA1"/>
    <w:rsid w:val="00D90011"/>
    <w:rsid w:val="00D901A6"/>
    <w:rsid w:val="00D9071A"/>
    <w:rsid w:val="00D90753"/>
    <w:rsid w:val="00D90754"/>
    <w:rsid w:val="00D90781"/>
    <w:rsid w:val="00D90A67"/>
    <w:rsid w:val="00D90C4C"/>
    <w:rsid w:val="00D90EF9"/>
    <w:rsid w:val="00D9104B"/>
    <w:rsid w:val="00D91154"/>
    <w:rsid w:val="00D91288"/>
    <w:rsid w:val="00D9138F"/>
    <w:rsid w:val="00D913E3"/>
    <w:rsid w:val="00D91564"/>
    <w:rsid w:val="00D91637"/>
    <w:rsid w:val="00D9188B"/>
    <w:rsid w:val="00D918CE"/>
    <w:rsid w:val="00D9199C"/>
    <w:rsid w:val="00D91B1A"/>
    <w:rsid w:val="00D91DF8"/>
    <w:rsid w:val="00D91F14"/>
    <w:rsid w:val="00D92002"/>
    <w:rsid w:val="00D92353"/>
    <w:rsid w:val="00D9258C"/>
    <w:rsid w:val="00D927FE"/>
    <w:rsid w:val="00D92A63"/>
    <w:rsid w:val="00D92D51"/>
    <w:rsid w:val="00D92DE9"/>
    <w:rsid w:val="00D92EAE"/>
    <w:rsid w:val="00D92F52"/>
    <w:rsid w:val="00D93012"/>
    <w:rsid w:val="00D939D8"/>
    <w:rsid w:val="00D93A62"/>
    <w:rsid w:val="00D93A67"/>
    <w:rsid w:val="00D93CD7"/>
    <w:rsid w:val="00D93FC9"/>
    <w:rsid w:val="00D9417F"/>
    <w:rsid w:val="00D9426F"/>
    <w:rsid w:val="00D94662"/>
    <w:rsid w:val="00D9483D"/>
    <w:rsid w:val="00D94AB2"/>
    <w:rsid w:val="00D94EBD"/>
    <w:rsid w:val="00D94FCE"/>
    <w:rsid w:val="00D95072"/>
    <w:rsid w:val="00D954A9"/>
    <w:rsid w:val="00D954D0"/>
    <w:rsid w:val="00D95695"/>
    <w:rsid w:val="00D959AB"/>
    <w:rsid w:val="00D95DC9"/>
    <w:rsid w:val="00D95E21"/>
    <w:rsid w:val="00D95EE2"/>
    <w:rsid w:val="00D9657B"/>
    <w:rsid w:val="00D96A1D"/>
    <w:rsid w:val="00D96A2E"/>
    <w:rsid w:val="00D96F5A"/>
    <w:rsid w:val="00D96FDF"/>
    <w:rsid w:val="00D9726D"/>
    <w:rsid w:val="00D9731D"/>
    <w:rsid w:val="00D97354"/>
    <w:rsid w:val="00D97553"/>
    <w:rsid w:val="00D975FF"/>
    <w:rsid w:val="00D97693"/>
    <w:rsid w:val="00D976CF"/>
    <w:rsid w:val="00D978E2"/>
    <w:rsid w:val="00D97B1F"/>
    <w:rsid w:val="00D97DC6"/>
    <w:rsid w:val="00D97E2A"/>
    <w:rsid w:val="00DA000B"/>
    <w:rsid w:val="00DA00BF"/>
    <w:rsid w:val="00DA0785"/>
    <w:rsid w:val="00DA0802"/>
    <w:rsid w:val="00DA0877"/>
    <w:rsid w:val="00DA0E29"/>
    <w:rsid w:val="00DA0F69"/>
    <w:rsid w:val="00DA0FDB"/>
    <w:rsid w:val="00DA101C"/>
    <w:rsid w:val="00DA1159"/>
    <w:rsid w:val="00DA11C1"/>
    <w:rsid w:val="00DA1468"/>
    <w:rsid w:val="00DA17F1"/>
    <w:rsid w:val="00DA1821"/>
    <w:rsid w:val="00DA18E1"/>
    <w:rsid w:val="00DA1970"/>
    <w:rsid w:val="00DA199D"/>
    <w:rsid w:val="00DA1C0C"/>
    <w:rsid w:val="00DA1D73"/>
    <w:rsid w:val="00DA1E2A"/>
    <w:rsid w:val="00DA2147"/>
    <w:rsid w:val="00DA21FB"/>
    <w:rsid w:val="00DA2285"/>
    <w:rsid w:val="00DA22EE"/>
    <w:rsid w:val="00DA2578"/>
    <w:rsid w:val="00DA25D6"/>
    <w:rsid w:val="00DA267F"/>
    <w:rsid w:val="00DA273A"/>
    <w:rsid w:val="00DA28FB"/>
    <w:rsid w:val="00DA2BFB"/>
    <w:rsid w:val="00DA2C1A"/>
    <w:rsid w:val="00DA2D24"/>
    <w:rsid w:val="00DA2FC3"/>
    <w:rsid w:val="00DA305D"/>
    <w:rsid w:val="00DA306E"/>
    <w:rsid w:val="00DA3202"/>
    <w:rsid w:val="00DA33AD"/>
    <w:rsid w:val="00DA34BB"/>
    <w:rsid w:val="00DA3650"/>
    <w:rsid w:val="00DA381E"/>
    <w:rsid w:val="00DA3A9A"/>
    <w:rsid w:val="00DA3BF6"/>
    <w:rsid w:val="00DA3C4F"/>
    <w:rsid w:val="00DA3FD2"/>
    <w:rsid w:val="00DA4145"/>
    <w:rsid w:val="00DA4222"/>
    <w:rsid w:val="00DA43EC"/>
    <w:rsid w:val="00DA44CC"/>
    <w:rsid w:val="00DA48ED"/>
    <w:rsid w:val="00DA4AA9"/>
    <w:rsid w:val="00DA4BA9"/>
    <w:rsid w:val="00DA4C40"/>
    <w:rsid w:val="00DA4C9F"/>
    <w:rsid w:val="00DA4D0B"/>
    <w:rsid w:val="00DA4E47"/>
    <w:rsid w:val="00DA4F40"/>
    <w:rsid w:val="00DA4F93"/>
    <w:rsid w:val="00DA50BA"/>
    <w:rsid w:val="00DA5490"/>
    <w:rsid w:val="00DA55D0"/>
    <w:rsid w:val="00DA57C2"/>
    <w:rsid w:val="00DA5B7C"/>
    <w:rsid w:val="00DA5C52"/>
    <w:rsid w:val="00DA5D6A"/>
    <w:rsid w:val="00DA6030"/>
    <w:rsid w:val="00DA6443"/>
    <w:rsid w:val="00DA648C"/>
    <w:rsid w:val="00DA667B"/>
    <w:rsid w:val="00DA69C9"/>
    <w:rsid w:val="00DA6AD6"/>
    <w:rsid w:val="00DA6BCC"/>
    <w:rsid w:val="00DA6D59"/>
    <w:rsid w:val="00DA7092"/>
    <w:rsid w:val="00DA7258"/>
    <w:rsid w:val="00DA72F8"/>
    <w:rsid w:val="00DA7511"/>
    <w:rsid w:val="00DA7771"/>
    <w:rsid w:val="00DA7793"/>
    <w:rsid w:val="00DB064C"/>
    <w:rsid w:val="00DB070E"/>
    <w:rsid w:val="00DB080F"/>
    <w:rsid w:val="00DB0948"/>
    <w:rsid w:val="00DB0C4A"/>
    <w:rsid w:val="00DB0E30"/>
    <w:rsid w:val="00DB103E"/>
    <w:rsid w:val="00DB10EC"/>
    <w:rsid w:val="00DB1210"/>
    <w:rsid w:val="00DB122B"/>
    <w:rsid w:val="00DB1466"/>
    <w:rsid w:val="00DB1810"/>
    <w:rsid w:val="00DB1911"/>
    <w:rsid w:val="00DB1A3A"/>
    <w:rsid w:val="00DB1AF7"/>
    <w:rsid w:val="00DB1D50"/>
    <w:rsid w:val="00DB1F86"/>
    <w:rsid w:val="00DB2439"/>
    <w:rsid w:val="00DB26A5"/>
    <w:rsid w:val="00DB278C"/>
    <w:rsid w:val="00DB2834"/>
    <w:rsid w:val="00DB28CF"/>
    <w:rsid w:val="00DB29CB"/>
    <w:rsid w:val="00DB2B7A"/>
    <w:rsid w:val="00DB2D5B"/>
    <w:rsid w:val="00DB3041"/>
    <w:rsid w:val="00DB310A"/>
    <w:rsid w:val="00DB36F7"/>
    <w:rsid w:val="00DB3793"/>
    <w:rsid w:val="00DB3A9D"/>
    <w:rsid w:val="00DB3AE4"/>
    <w:rsid w:val="00DB3D8C"/>
    <w:rsid w:val="00DB3E72"/>
    <w:rsid w:val="00DB3F57"/>
    <w:rsid w:val="00DB41BE"/>
    <w:rsid w:val="00DB4488"/>
    <w:rsid w:val="00DB462C"/>
    <w:rsid w:val="00DB4894"/>
    <w:rsid w:val="00DB4982"/>
    <w:rsid w:val="00DB4A9A"/>
    <w:rsid w:val="00DB4D3B"/>
    <w:rsid w:val="00DB501C"/>
    <w:rsid w:val="00DB5202"/>
    <w:rsid w:val="00DB5225"/>
    <w:rsid w:val="00DB5440"/>
    <w:rsid w:val="00DB548F"/>
    <w:rsid w:val="00DB5922"/>
    <w:rsid w:val="00DB5AD0"/>
    <w:rsid w:val="00DB5B17"/>
    <w:rsid w:val="00DB5B86"/>
    <w:rsid w:val="00DB5DB1"/>
    <w:rsid w:val="00DB5DD8"/>
    <w:rsid w:val="00DB5FAD"/>
    <w:rsid w:val="00DB60C4"/>
    <w:rsid w:val="00DB66A9"/>
    <w:rsid w:val="00DB67A2"/>
    <w:rsid w:val="00DB695B"/>
    <w:rsid w:val="00DB6B08"/>
    <w:rsid w:val="00DB6BD9"/>
    <w:rsid w:val="00DB6D33"/>
    <w:rsid w:val="00DB6F74"/>
    <w:rsid w:val="00DB7044"/>
    <w:rsid w:val="00DB7076"/>
    <w:rsid w:val="00DB70B7"/>
    <w:rsid w:val="00DB7103"/>
    <w:rsid w:val="00DB72BC"/>
    <w:rsid w:val="00DB7887"/>
    <w:rsid w:val="00DB78A3"/>
    <w:rsid w:val="00DB796C"/>
    <w:rsid w:val="00DB7AB7"/>
    <w:rsid w:val="00DB7C42"/>
    <w:rsid w:val="00DB7CD9"/>
    <w:rsid w:val="00DB7CF4"/>
    <w:rsid w:val="00DB7D39"/>
    <w:rsid w:val="00DB7F4C"/>
    <w:rsid w:val="00DB7FD8"/>
    <w:rsid w:val="00DC0179"/>
    <w:rsid w:val="00DC0181"/>
    <w:rsid w:val="00DC038E"/>
    <w:rsid w:val="00DC04D6"/>
    <w:rsid w:val="00DC055A"/>
    <w:rsid w:val="00DC05A3"/>
    <w:rsid w:val="00DC0826"/>
    <w:rsid w:val="00DC08D4"/>
    <w:rsid w:val="00DC098B"/>
    <w:rsid w:val="00DC0DE9"/>
    <w:rsid w:val="00DC112E"/>
    <w:rsid w:val="00DC134A"/>
    <w:rsid w:val="00DC1435"/>
    <w:rsid w:val="00DC1714"/>
    <w:rsid w:val="00DC19D3"/>
    <w:rsid w:val="00DC1D25"/>
    <w:rsid w:val="00DC1E63"/>
    <w:rsid w:val="00DC2051"/>
    <w:rsid w:val="00DC20C9"/>
    <w:rsid w:val="00DC21DB"/>
    <w:rsid w:val="00DC22F2"/>
    <w:rsid w:val="00DC2514"/>
    <w:rsid w:val="00DC2775"/>
    <w:rsid w:val="00DC27BC"/>
    <w:rsid w:val="00DC284C"/>
    <w:rsid w:val="00DC2AD6"/>
    <w:rsid w:val="00DC2C74"/>
    <w:rsid w:val="00DC312E"/>
    <w:rsid w:val="00DC33E4"/>
    <w:rsid w:val="00DC368F"/>
    <w:rsid w:val="00DC375D"/>
    <w:rsid w:val="00DC3890"/>
    <w:rsid w:val="00DC3919"/>
    <w:rsid w:val="00DC3D06"/>
    <w:rsid w:val="00DC4135"/>
    <w:rsid w:val="00DC472B"/>
    <w:rsid w:val="00DC4A33"/>
    <w:rsid w:val="00DC4B17"/>
    <w:rsid w:val="00DC4E74"/>
    <w:rsid w:val="00DC4F23"/>
    <w:rsid w:val="00DC4FA2"/>
    <w:rsid w:val="00DC511E"/>
    <w:rsid w:val="00DC52F4"/>
    <w:rsid w:val="00DC54B3"/>
    <w:rsid w:val="00DC5E4A"/>
    <w:rsid w:val="00DC5FF0"/>
    <w:rsid w:val="00DC60DC"/>
    <w:rsid w:val="00DC61FC"/>
    <w:rsid w:val="00DC62AC"/>
    <w:rsid w:val="00DC647A"/>
    <w:rsid w:val="00DC6594"/>
    <w:rsid w:val="00DC6763"/>
    <w:rsid w:val="00DC6D13"/>
    <w:rsid w:val="00DC6E1F"/>
    <w:rsid w:val="00DC738A"/>
    <w:rsid w:val="00DC738C"/>
    <w:rsid w:val="00DC75C4"/>
    <w:rsid w:val="00DC7680"/>
    <w:rsid w:val="00DC7737"/>
    <w:rsid w:val="00DC78A6"/>
    <w:rsid w:val="00DC79B6"/>
    <w:rsid w:val="00DC7C69"/>
    <w:rsid w:val="00DD008C"/>
    <w:rsid w:val="00DD00EE"/>
    <w:rsid w:val="00DD041E"/>
    <w:rsid w:val="00DD081D"/>
    <w:rsid w:val="00DD0A80"/>
    <w:rsid w:val="00DD0B02"/>
    <w:rsid w:val="00DD0E2C"/>
    <w:rsid w:val="00DD0ED4"/>
    <w:rsid w:val="00DD1200"/>
    <w:rsid w:val="00DD1201"/>
    <w:rsid w:val="00DD1491"/>
    <w:rsid w:val="00DD1752"/>
    <w:rsid w:val="00DD17BD"/>
    <w:rsid w:val="00DD17CB"/>
    <w:rsid w:val="00DD18E4"/>
    <w:rsid w:val="00DD1A47"/>
    <w:rsid w:val="00DD1AE8"/>
    <w:rsid w:val="00DD1F76"/>
    <w:rsid w:val="00DD251A"/>
    <w:rsid w:val="00DD263C"/>
    <w:rsid w:val="00DD2725"/>
    <w:rsid w:val="00DD286A"/>
    <w:rsid w:val="00DD29DA"/>
    <w:rsid w:val="00DD2A5E"/>
    <w:rsid w:val="00DD2EAA"/>
    <w:rsid w:val="00DD30DA"/>
    <w:rsid w:val="00DD31E5"/>
    <w:rsid w:val="00DD35DC"/>
    <w:rsid w:val="00DD3667"/>
    <w:rsid w:val="00DD38A8"/>
    <w:rsid w:val="00DD3C73"/>
    <w:rsid w:val="00DD40F2"/>
    <w:rsid w:val="00DD4546"/>
    <w:rsid w:val="00DD463E"/>
    <w:rsid w:val="00DD4B1D"/>
    <w:rsid w:val="00DD4BCD"/>
    <w:rsid w:val="00DD4DED"/>
    <w:rsid w:val="00DD4FB3"/>
    <w:rsid w:val="00DD51A9"/>
    <w:rsid w:val="00DD51B3"/>
    <w:rsid w:val="00DD53AD"/>
    <w:rsid w:val="00DD58CA"/>
    <w:rsid w:val="00DD58E2"/>
    <w:rsid w:val="00DD5951"/>
    <w:rsid w:val="00DD595D"/>
    <w:rsid w:val="00DD5C8E"/>
    <w:rsid w:val="00DD5EAC"/>
    <w:rsid w:val="00DD6301"/>
    <w:rsid w:val="00DD63D8"/>
    <w:rsid w:val="00DD6DF3"/>
    <w:rsid w:val="00DD6E25"/>
    <w:rsid w:val="00DD7047"/>
    <w:rsid w:val="00DD708E"/>
    <w:rsid w:val="00DD7212"/>
    <w:rsid w:val="00DD75C3"/>
    <w:rsid w:val="00DD770C"/>
    <w:rsid w:val="00DD7892"/>
    <w:rsid w:val="00DD7969"/>
    <w:rsid w:val="00DD7AFE"/>
    <w:rsid w:val="00DD7B0A"/>
    <w:rsid w:val="00DD7BAE"/>
    <w:rsid w:val="00DD7E1E"/>
    <w:rsid w:val="00DE021F"/>
    <w:rsid w:val="00DE0255"/>
    <w:rsid w:val="00DE0482"/>
    <w:rsid w:val="00DE051E"/>
    <w:rsid w:val="00DE051F"/>
    <w:rsid w:val="00DE0545"/>
    <w:rsid w:val="00DE06C7"/>
    <w:rsid w:val="00DE08F0"/>
    <w:rsid w:val="00DE0A7A"/>
    <w:rsid w:val="00DE15D4"/>
    <w:rsid w:val="00DE173A"/>
    <w:rsid w:val="00DE18BE"/>
    <w:rsid w:val="00DE1CAC"/>
    <w:rsid w:val="00DE20AF"/>
    <w:rsid w:val="00DE2136"/>
    <w:rsid w:val="00DE2140"/>
    <w:rsid w:val="00DE2238"/>
    <w:rsid w:val="00DE26AC"/>
    <w:rsid w:val="00DE30CE"/>
    <w:rsid w:val="00DE3132"/>
    <w:rsid w:val="00DE31EE"/>
    <w:rsid w:val="00DE3200"/>
    <w:rsid w:val="00DE3310"/>
    <w:rsid w:val="00DE343C"/>
    <w:rsid w:val="00DE36DA"/>
    <w:rsid w:val="00DE3839"/>
    <w:rsid w:val="00DE3853"/>
    <w:rsid w:val="00DE3893"/>
    <w:rsid w:val="00DE3962"/>
    <w:rsid w:val="00DE3E3C"/>
    <w:rsid w:val="00DE3E6F"/>
    <w:rsid w:val="00DE3EEA"/>
    <w:rsid w:val="00DE3F12"/>
    <w:rsid w:val="00DE4269"/>
    <w:rsid w:val="00DE4277"/>
    <w:rsid w:val="00DE45E7"/>
    <w:rsid w:val="00DE495C"/>
    <w:rsid w:val="00DE4A18"/>
    <w:rsid w:val="00DE5018"/>
    <w:rsid w:val="00DE532A"/>
    <w:rsid w:val="00DE5389"/>
    <w:rsid w:val="00DE54FF"/>
    <w:rsid w:val="00DE5713"/>
    <w:rsid w:val="00DE585B"/>
    <w:rsid w:val="00DE5866"/>
    <w:rsid w:val="00DE5B01"/>
    <w:rsid w:val="00DE5B81"/>
    <w:rsid w:val="00DE5E98"/>
    <w:rsid w:val="00DE5EB2"/>
    <w:rsid w:val="00DE5EDC"/>
    <w:rsid w:val="00DE630B"/>
    <w:rsid w:val="00DE6631"/>
    <w:rsid w:val="00DE681B"/>
    <w:rsid w:val="00DE6926"/>
    <w:rsid w:val="00DE6952"/>
    <w:rsid w:val="00DE6992"/>
    <w:rsid w:val="00DE69CD"/>
    <w:rsid w:val="00DE6D69"/>
    <w:rsid w:val="00DE71C6"/>
    <w:rsid w:val="00DE7298"/>
    <w:rsid w:val="00DE72B2"/>
    <w:rsid w:val="00DE7510"/>
    <w:rsid w:val="00DE7559"/>
    <w:rsid w:val="00DE79EA"/>
    <w:rsid w:val="00DE7C7E"/>
    <w:rsid w:val="00DE7E29"/>
    <w:rsid w:val="00DF0170"/>
    <w:rsid w:val="00DF03FF"/>
    <w:rsid w:val="00DF044B"/>
    <w:rsid w:val="00DF04A3"/>
    <w:rsid w:val="00DF06A4"/>
    <w:rsid w:val="00DF096F"/>
    <w:rsid w:val="00DF09AC"/>
    <w:rsid w:val="00DF0C89"/>
    <w:rsid w:val="00DF0FDE"/>
    <w:rsid w:val="00DF11C8"/>
    <w:rsid w:val="00DF1278"/>
    <w:rsid w:val="00DF1423"/>
    <w:rsid w:val="00DF1431"/>
    <w:rsid w:val="00DF1483"/>
    <w:rsid w:val="00DF1592"/>
    <w:rsid w:val="00DF15D2"/>
    <w:rsid w:val="00DF175C"/>
    <w:rsid w:val="00DF1A74"/>
    <w:rsid w:val="00DF1D65"/>
    <w:rsid w:val="00DF1ED1"/>
    <w:rsid w:val="00DF2357"/>
    <w:rsid w:val="00DF242D"/>
    <w:rsid w:val="00DF24B4"/>
    <w:rsid w:val="00DF2540"/>
    <w:rsid w:val="00DF25EE"/>
    <w:rsid w:val="00DF2878"/>
    <w:rsid w:val="00DF2AE8"/>
    <w:rsid w:val="00DF2DAB"/>
    <w:rsid w:val="00DF30D6"/>
    <w:rsid w:val="00DF3223"/>
    <w:rsid w:val="00DF381F"/>
    <w:rsid w:val="00DF391B"/>
    <w:rsid w:val="00DF3B80"/>
    <w:rsid w:val="00DF416E"/>
    <w:rsid w:val="00DF4430"/>
    <w:rsid w:val="00DF44B0"/>
    <w:rsid w:val="00DF4797"/>
    <w:rsid w:val="00DF4869"/>
    <w:rsid w:val="00DF4E28"/>
    <w:rsid w:val="00DF4E9F"/>
    <w:rsid w:val="00DF4F0B"/>
    <w:rsid w:val="00DF524D"/>
    <w:rsid w:val="00DF53FF"/>
    <w:rsid w:val="00DF560F"/>
    <w:rsid w:val="00DF5AAE"/>
    <w:rsid w:val="00DF5B2E"/>
    <w:rsid w:val="00DF5B5F"/>
    <w:rsid w:val="00DF5B91"/>
    <w:rsid w:val="00DF5D76"/>
    <w:rsid w:val="00DF6094"/>
    <w:rsid w:val="00DF6183"/>
    <w:rsid w:val="00DF65DA"/>
    <w:rsid w:val="00DF66F6"/>
    <w:rsid w:val="00DF6D74"/>
    <w:rsid w:val="00DF6F99"/>
    <w:rsid w:val="00DF6FA0"/>
    <w:rsid w:val="00DF70CC"/>
    <w:rsid w:val="00DF71AA"/>
    <w:rsid w:val="00DF7528"/>
    <w:rsid w:val="00DF755F"/>
    <w:rsid w:val="00DF75F9"/>
    <w:rsid w:val="00DF77CB"/>
    <w:rsid w:val="00DF79A8"/>
    <w:rsid w:val="00DF7E33"/>
    <w:rsid w:val="00E00282"/>
    <w:rsid w:val="00E00408"/>
    <w:rsid w:val="00E005BA"/>
    <w:rsid w:val="00E006F4"/>
    <w:rsid w:val="00E0086A"/>
    <w:rsid w:val="00E00C9E"/>
    <w:rsid w:val="00E00D55"/>
    <w:rsid w:val="00E00EE9"/>
    <w:rsid w:val="00E01011"/>
    <w:rsid w:val="00E0115E"/>
    <w:rsid w:val="00E011CA"/>
    <w:rsid w:val="00E0124D"/>
    <w:rsid w:val="00E014FA"/>
    <w:rsid w:val="00E01BCE"/>
    <w:rsid w:val="00E01DA8"/>
    <w:rsid w:val="00E01F05"/>
    <w:rsid w:val="00E01F99"/>
    <w:rsid w:val="00E02042"/>
    <w:rsid w:val="00E020A5"/>
    <w:rsid w:val="00E022DE"/>
    <w:rsid w:val="00E026E7"/>
    <w:rsid w:val="00E02B90"/>
    <w:rsid w:val="00E02D52"/>
    <w:rsid w:val="00E031CB"/>
    <w:rsid w:val="00E032D7"/>
    <w:rsid w:val="00E0364A"/>
    <w:rsid w:val="00E0384C"/>
    <w:rsid w:val="00E03B97"/>
    <w:rsid w:val="00E03C03"/>
    <w:rsid w:val="00E03CF7"/>
    <w:rsid w:val="00E04012"/>
    <w:rsid w:val="00E0406E"/>
    <w:rsid w:val="00E0409B"/>
    <w:rsid w:val="00E04172"/>
    <w:rsid w:val="00E04674"/>
    <w:rsid w:val="00E04B1D"/>
    <w:rsid w:val="00E04D8B"/>
    <w:rsid w:val="00E04DF9"/>
    <w:rsid w:val="00E04FD3"/>
    <w:rsid w:val="00E04FF7"/>
    <w:rsid w:val="00E052F1"/>
    <w:rsid w:val="00E0563D"/>
    <w:rsid w:val="00E0569C"/>
    <w:rsid w:val="00E059C6"/>
    <w:rsid w:val="00E05E5C"/>
    <w:rsid w:val="00E05EDC"/>
    <w:rsid w:val="00E06407"/>
    <w:rsid w:val="00E06658"/>
    <w:rsid w:val="00E0682C"/>
    <w:rsid w:val="00E06D85"/>
    <w:rsid w:val="00E06F13"/>
    <w:rsid w:val="00E070D2"/>
    <w:rsid w:val="00E07186"/>
    <w:rsid w:val="00E073DE"/>
    <w:rsid w:val="00E07CA1"/>
    <w:rsid w:val="00E07D68"/>
    <w:rsid w:val="00E07FE2"/>
    <w:rsid w:val="00E106F3"/>
    <w:rsid w:val="00E10917"/>
    <w:rsid w:val="00E109F8"/>
    <w:rsid w:val="00E10C48"/>
    <w:rsid w:val="00E10CD7"/>
    <w:rsid w:val="00E10CE0"/>
    <w:rsid w:val="00E11233"/>
    <w:rsid w:val="00E11251"/>
    <w:rsid w:val="00E115CA"/>
    <w:rsid w:val="00E1163C"/>
    <w:rsid w:val="00E11709"/>
    <w:rsid w:val="00E11804"/>
    <w:rsid w:val="00E1190B"/>
    <w:rsid w:val="00E11A8D"/>
    <w:rsid w:val="00E11AE0"/>
    <w:rsid w:val="00E11BA5"/>
    <w:rsid w:val="00E11C3A"/>
    <w:rsid w:val="00E120A3"/>
    <w:rsid w:val="00E122AF"/>
    <w:rsid w:val="00E124E4"/>
    <w:rsid w:val="00E125FE"/>
    <w:rsid w:val="00E13065"/>
    <w:rsid w:val="00E131CD"/>
    <w:rsid w:val="00E132DB"/>
    <w:rsid w:val="00E1330F"/>
    <w:rsid w:val="00E13346"/>
    <w:rsid w:val="00E13566"/>
    <w:rsid w:val="00E13621"/>
    <w:rsid w:val="00E1437C"/>
    <w:rsid w:val="00E145FD"/>
    <w:rsid w:val="00E148AC"/>
    <w:rsid w:val="00E149C4"/>
    <w:rsid w:val="00E14B12"/>
    <w:rsid w:val="00E14DE2"/>
    <w:rsid w:val="00E14EEC"/>
    <w:rsid w:val="00E14FDD"/>
    <w:rsid w:val="00E154AD"/>
    <w:rsid w:val="00E15CCE"/>
    <w:rsid w:val="00E15D0B"/>
    <w:rsid w:val="00E1602C"/>
    <w:rsid w:val="00E16037"/>
    <w:rsid w:val="00E160FA"/>
    <w:rsid w:val="00E16460"/>
    <w:rsid w:val="00E1660F"/>
    <w:rsid w:val="00E16821"/>
    <w:rsid w:val="00E1687E"/>
    <w:rsid w:val="00E16AA3"/>
    <w:rsid w:val="00E16C91"/>
    <w:rsid w:val="00E16CEF"/>
    <w:rsid w:val="00E16D93"/>
    <w:rsid w:val="00E16DE7"/>
    <w:rsid w:val="00E16F53"/>
    <w:rsid w:val="00E1705A"/>
    <w:rsid w:val="00E17186"/>
    <w:rsid w:val="00E172E7"/>
    <w:rsid w:val="00E17416"/>
    <w:rsid w:val="00E17535"/>
    <w:rsid w:val="00E17D65"/>
    <w:rsid w:val="00E20029"/>
    <w:rsid w:val="00E2040D"/>
    <w:rsid w:val="00E2076B"/>
    <w:rsid w:val="00E20D7C"/>
    <w:rsid w:val="00E21133"/>
    <w:rsid w:val="00E211FB"/>
    <w:rsid w:val="00E2125B"/>
    <w:rsid w:val="00E2135D"/>
    <w:rsid w:val="00E213EE"/>
    <w:rsid w:val="00E21456"/>
    <w:rsid w:val="00E214BA"/>
    <w:rsid w:val="00E215AD"/>
    <w:rsid w:val="00E220D0"/>
    <w:rsid w:val="00E221B5"/>
    <w:rsid w:val="00E223E6"/>
    <w:rsid w:val="00E2253E"/>
    <w:rsid w:val="00E226BC"/>
    <w:rsid w:val="00E22A1B"/>
    <w:rsid w:val="00E22A8B"/>
    <w:rsid w:val="00E22C6B"/>
    <w:rsid w:val="00E22DFA"/>
    <w:rsid w:val="00E231E3"/>
    <w:rsid w:val="00E232C4"/>
    <w:rsid w:val="00E2333D"/>
    <w:rsid w:val="00E233DA"/>
    <w:rsid w:val="00E238A2"/>
    <w:rsid w:val="00E239A0"/>
    <w:rsid w:val="00E239A5"/>
    <w:rsid w:val="00E23BDE"/>
    <w:rsid w:val="00E23D67"/>
    <w:rsid w:val="00E24032"/>
    <w:rsid w:val="00E242CB"/>
    <w:rsid w:val="00E244A3"/>
    <w:rsid w:val="00E244FF"/>
    <w:rsid w:val="00E2474A"/>
    <w:rsid w:val="00E24860"/>
    <w:rsid w:val="00E24D14"/>
    <w:rsid w:val="00E24DE2"/>
    <w:rsid w:val="00E24FB4"/>
    <w:rsid w:val="00E24FD9"/>
    <w:rsid w:val="00E25059"/>
    <w:rsid w:val="00E25195"/>
    <w:rsid w:val="00E25280"/>
    <w:rsid w:val="00E25318"/>
    <w:rsid w:val="00E25335"/>
    <w:rsid w:val="00E255A7"/>
    <w:rsid w:val="00E257A0"/>
    <w:rsid w:val="00E258E1"/>
    <w:rsid w:val="00E25A98"/>
    <w:rsid w:val="00E25B94"/>
    <w:rsid w:val="00E25DC7"/>
    <w:rsid w:val="00E2639A"/>
    <w:rsid w:val="00E263E3"/>
    <w:rsid w:val="00E2643D"/>
    <w:rsid w:val="00E264F8"/>
    <w:rsid w:val="00E26776"/>
    <w:rsid w:val="00E269BC"/>
    <w:rsid w:val="00E26B91"/>
    <w:rsid w:val="00E26DCA"/>
    <w:rsid w:val="00E271F9"/>
    <w:rsid w:val="00E274FD"/>
    <w:rsid w:val="00E27BF3"/>
    <w:rsid w:val="00E27D7E"/>
    <w:rsid w:val="00E27DB1"/>
    <w:rsid w:val="00E30120"/>
    <w:rsid w:val="00E30201"/>
    <w:rsid w:val="00E30259"/>
    <w:rsid w:val="00E30260"/>
    <w:rsid w:val="00E3031D"/>
    <w:rsid w:val="00E305BB"/>
    <w:rsid w:val="00E306E6"/>
    <w:rsid w:val="00E30952"/>
    <w:rsid w:val="00E309B1"/>
    <w:rsid w:val="00E30C86"/>
    <w:rsid w:val="00E30CAD"/>
    <w:rsid w:val="00E30D54"/>
    <w:rsid w:val="00E30F4E"/>
    <w:rsid w:val="00E31162"/>
    <w:rsid w:val="00E3141F"/>
    <w:rsid w:val="00E31615"/>
    <w:rsid w:val="00E31787"/>
    <w:rsid w:val="00E31E3C"/>
    <w:rsid w:val="00E324DC"/>
    <w:rsid w:val="00E32862"/>
    <w:rsid w:val="00E32B91"/>
    <w:rsid w:val="00E32BA2"/>
    <w:rsid w:val="00E32F7D"/>
    <w:rsid w:val="00E330EC"/>
    <w:rsid w:val="00E3367F"/>
    <w:rsid w:val="00E3378A"/>
    <w:rsid w:val="00E338BA"/>
    <w:rsid w:val="00E33E0B"/>
    <w:rsid w:val="00E33E41"/>
    <w:rsid w:val="00E33EE9"/>
    <w:rsid w:val="00E34086"/>
    <w:rsid w:val="00E3432D"/>
    <w:rsid w:val="00E34390"/>
    <w:rsid w:val="00E3455E"/>
    <w:rsid w:val="00E346F1"/>
    <w:rsid w:val="00E3480E"/>
    <w:rsid w:val="00E34947"/>
    <w:rsid w:val="00E34AA6"/>
    <w:rsid w:val="00E34B47"/>
    <w:rsid w:val="00E34EAE"/>
    <w:rsid w:val="00E34ED2"/>
    <w:rsid w:val="00E35149"/>
    <w:rsid w:val="00E3535B"/>
    <w:rsid w:val="00E3538E"/>
    <w:rsid w:val="00E353B3"/>
    <w:rsid w:val="00E354BE"/>
    <w:rsid w:val="00E3551B"/>
    <w:rsid w:val="00E356FE"/>
    <w:rsid w:val="00E35868"/>
    <w:rsid w:val="00E35AE2"/>
    <w:rsid w:val="00E35AF0"/>
    <w:rsid w:val="00E35EA8"/>
    <w:rsid w:val="00E36424"/>
    <w:rsid w:val="00E36553"/>
    <w:rsid w:val="00E36594"/>
    <w:rsid w:val="00E365E9"/>
    <w:rsid w:val="00E3695E"/>
    <w:rsid w:val="00E36B68"/>
    <w:rsid w:val="00E3717D"/>
    <w:rsid w:val="00E37520"/>
    <w:rsid w:val="00E377AA"/>
    <w:rsid w:val="00E377BD"/>
    <w:rsid w:val="00E3788B"/>
    <w:rsid w:val="00E37B22"/>
    <w:rsid w:val="00E37B56"/>
    <w:rsid w:val="00E37B97"/>
    <w:rsid w:val="00E37E45"/>
    <w:rsid w:val="00E37E84"/>
    <w:rsid w:val="00E400A4"/>
    <w:rsid w:val="00E400A5"/>
    <w:rsid w:val="00E401E2"/>
    <w:rsid w:val="00E4021E"/>
    <w:rsid w:val="00E404CA"/>
    <w:rsid w:val="00E40610"/>
    <w:rsid w:val="00E4069D"/>
    <w:rsid w:val="00E407D1"/>
    <w:rsid w:val="00E40925"/>
    <w:rsid w:val="00E40CF7"/>
    <w:rsid w:val="00E40D09"/>
    <w:rsid w:val="00E40D1D"/>
    <w:rsid w:val="00E40D4B"/>
    <w:rsid w:val="00E411C2"/>
    <w:rsid w:val="00E411C6"/>
    <w:rsid w:val="00E4131C"/>
    <w:rsid w:val="00E4143B"/>
    <w:rsid w:val="00E4155B"/>
    <w:rsid w:val="00E41606"/>
    <w:rsid w:val="00E41BAC"/>
    <w:rsid w:val="00E41D6A"/>
    <w:rsid w:val="00E41E2E"/>
    <w:rsid w:val="00E41FD3"/>
    <w:rsid w:val="00E4204D"/>
    <w:rsid w:val="00E421E5"/>
    <w:rsid w:val="00E42223"/>
    <w:rsid w:val="00E42256"/>
    <w:rsid w:val="00E42295"/>
    <w:rsid w:val="00E42380"/>
    <w:rsid w:val="00E423A4"/>
    <w:rsid w:val="00E42727"/>
    <w:rsid w:val="00E42831"/>
    <w:rsid w:val="00E42A2A"/>
    <w:rsid w:val="00E42AA1"/>
    <w:rsid w:val="00E4354C"/>
    <w:rsid w:val="00E43551"/>
    <w:rsid w:val="00E43975"/>
    <w:rsid w:val="00E43BE8"/>
    <w:rsid w:val="00E43C4F"/>
    <w:rsid w:val="00E43C80"/>
    <w:rsid w:val="00E43D95"/>
    <w:rsid w:val="00E4412A"/>
    <w:rsid w:val="00E44162"/>
    <w:rsid w:val="00E441BF"/>
    <w:rsid w:val="00E441E1"/>
    <w:rsid w:val="00E4426A"/>
    <w:rsid w:val="00E446F3"/>
    <w:rsid w:val="00E44CDD"/>
    <w:rsid w:val="00E44D11"/>
    <w:rsid w:val="00E44D25"/>
    <w:rsid w:val="00E44D30"/>
    <w:rsid w:val="00E44FB0"/>
    <w:rsid w:val="00E450E3"/>
    <w:rsid w:val="00E453F0"/>
    <w:rsid w:val="00E456E6"/>
    <w:rsid w:val="00E457AA"/>
    <w:rsid w:val="00E45994"/>
    <w:rsid w:val="00E45B96"/>
    <w:rsid w:val="00E45D4B"/>
    <w:rsid w:val="00E45DCA"/>
    <w:rsid w:val="00E45F1D"/>
    <w:rsid w:val="00E45F34"/>
    <w:rsid w:val="00E461D2"/>
    <w:rsid w:val="00E463DC"/>
    <w:rsid w:val="00E464D9"/>
    <w:rsid w:val="00E46505"/>
    <w:rsid w:val="00E465B5"/>
    <w:rsid w:val="00E469D3"/>
    <w:rsid w:val="00E46A0F"/>
    <w:rsid w:val="00E46C03"/>
    <w:rsid w:val="00E46D4B"/>
    <w:rsid w:val="00E46E38"/>
    <w:rsid w:val="00E47114"/>
    <w:rsid w:val="00E47967"/>
    <w:rsid w:val="00E47AAF"/>
    <w:rsid w:val="00E47D25"/>
    <w:rsid w:val="00E501F2"/>
    <w:rsid w:val="00E502F3"/>
    <w:rsid w:val="00E503F9"/>
    <w:rsid w:val="00E50514"/>
    <w:rsid w:val="00E505E7"/>
    <w:rsid w:val="00E507DB"/>
    <w:rsid w:val="00E508E4"/>
    <w:rsid w:val="00E50C96"/>
    <w:rsid w:val="00E50DB8"/>
    <w:rsid w:val="00E50F86"/>
    <w:rsid w:val="00E5106B"/>
    <w:rsid w:val="00E51407"/>
    <w:rsid w:val="00E51448"/>
    <w:rsid w:val="00E51496"/>
    <w:rsid w:val="00E5157C"/>
    <w:rsid w:val="00E516DC"/>
    <w:rsid w:val="00E51CED"/>
    <w:rsid w:val="00E523F5"/>
    <w:rsid w:val="00E52412"/>
    <w:rsid w:val="00E525C2"/>
    <w:rsid w:val="00E52602"/>
    <w:rsid w:val="00E5268E"/>
    <w:rsid w:val="00E5283C"/>
    <w:rsid w:val="00E52919"/>
    <w:rsid w:val="00E52BB2"/>
    <w:rsid w:val="00E531D9"/>
    <w:rsid w:val="00E5333E"/>
    <w:rsid w:val="00E53442"/>
    <w:rsid w:val="00E53831"/>
    <w:rsid w:val="00E538C7"/>
    <w:rsid w:val="00E53CC1"/>
    <w:rsid w:val="00E53E5C"/>
    <w:rsid w:val="00E53F06"/>
    <w:rsid w:val="00E53F19"/>
    <w:rsid w:val="00E53F8F"/>
    <w:rsid w:val="00E54065"/>
    <w:rsid w:val="00E54235"/>
    <w:rsid w:val="00E545E7"/>
    <w:rsid w:val="00E54608"/>
    <w:rsid w:val="00E54AC2"/>
    <w:rsid w:val="00E54BE8"/>
    <w:rsid w:val="00E54C05"/>
    <w:rsid w:val="00E54CD4"/>
    <w:rsid w:val="00E54DF0"/>
    <w:rsid w:val="00E55421"/>
    <w:rsid w:val="00E5592D"/>
    <w:rsid w:val="00E55B66"/>
    <w:rsid w:val="00E55F3D"/>
    <w:rsid w:val="00E56106"/>
    <w:rsid w:val="00E561A5"/>
    <w:rsid w:val="00E563D6"/>
    <w:rsid w:val="00E56473"/>
    <w:rsid w:val="00E5685E"/>
    <w:rsid w:val="00E56A4A"/>
    <w:rsid w:val="00E56D7D"/>
    <w:rsid w:val="00E56FEF"/>
    <w:rsid w:val="00E5707E"/>
    <w:rsid w:val="00E570CC"/>
    <w:rsid w:val="00E570CF"/>
    <w:rsid w:val="00E5735A"/>
    <w:rsid w:val="00E575C7"/>
    <w:rsid w:val="00E579AF"/>
    <w:rsid w:val="00E57BE1"/>
    <w:rsid w:val="00E57C76"/>
    <w:rsid w:val="00E57F83"/>
    <w:rsid w:val="00E600AA"/>
    <w:rsid w:val="00E601E1"/>
    <w:rsid w:val="00E60245"/>
    <w:rsid w:val="00E602F5"/>
    <w:rsid w:val="00E6045F"/>
    <w:rsid w:val="00E6061B"/>
    <w:rsid w:val="00E60686"/>
    <w:rsid w:val="00E607C9"/>
    <w:rsid w:val="00E60888"/>
    <w:rsid w:val="00E60A14"/>
    <w:rsid w:val="00E60D06"/>
    <w:rsid w:val="00E60E61"/>
    <w:rsid w:val="00E60EC8"/>
    <w:rsid w:val="00E61028"/>
    <w:rsid w:val="00E610A5"/>
    <w:rsid w:val="00E610D0"/>
    <w:rsid w:val="00E6133D"/>
    <w:rsid w:val="00E613CE"/>
    <w:rsid w:val="00E61561"/>
    <w:rsid w:val="00E61855"/>
    <w:rsid w:val="00E61C0D"/>
    <w:rsid w:val="00E61FAF"/>
    <w:rsid w:val="00E62296"/>
    <w:rsid w:val="00E62409"/>
    <w:rsid w:val="00E62422"/>
    <w:rsid w:val="00E626B5"/>
    <w:rsid w:val="00E62865"/>
    <w:rsid w:val="00E6297C"/>
    <w:rsid w:val="00E62986"/>
    <w:rsid w:val="00E62ACB"/>
    <w:rsid w:val="00E62B50"/>
    <w:rsid w:val="00E62B80"/>
    <w:rsid w:val="00E63034"/>
    <w:rsid w:val="00E6303B"/>
    <w:rsid w:val="00E6316A"/>
    <w:rsid w:val="00E63449"/>
    <w:rsid w:val="00E639A3"/>
    <w:rsid w:val="00E63AF1"/>
    <w:rsid w:val="00E63C52"/>
    <w:rsid w:val="00E6402A"/>
    <w:rsid w:val="00E6421F"/>
    <w:rsid w:val="00E64549"/>
    <w:rsid w:val="00E648CB"/>
    <w:rsid w:val="00E64B74"/>
    <w:rsid w:val="00E64BAA"/>
    <w:rsid w:val="00E656BD"/>
    <w:rsid w:val="00E6595E"/>
    <w:rsid w:val="00E659A6"/>
    <w:rsid w:val="00E65C06"/>
    <w:rsid w:val="00E65C55"/>
    <w:rsid w:val="00E65CA1"/>
    <w:rsid w:val="00E65D00"/>
    <w:rsid w:val="00E65DA0"/>
    <w:rsid w:val="00E65FF6"/>
    <w:rsid w:val="00E661F7"/>
    <w:rsid w:val="00E664DC"/>
    <w:rsid w:val="00E664FF"/>
    <w:rsid w:val="00E665FC"/>
    <w:rsid w:val="00E666D2"/>
    <w:rsid w:val="00E66935"/>
    <w:rsid w:val="00E66B61"/>
    <w:rsid w:val="00E66B9F"/>
    <w:rsid w:val="00E66BF8"/>
    <w:rsid w:val="00E66C06"/>
    <w:rsid w:val="00E66CE1"/>
    <w:rsid w:val="00E67007"/>
    <w:rsid w:val="00E6709F"/>
    <w:rsid w:val="00E671E5"/>
    <w:rsid w:val="00E67387"/>
    <w:rsid w:val="00E674AB"/>
    <w:rsid w:val="00E674F0"/>
    <w:rsid w:val="00E6759B"/>
    <w:rsid w:val="00E6761F"/>
    <w:rsid w:val="00E67625"/>
    <w:rsid w:val="00E6784C"/>
    <w:rsid w:val="00E6792C"/>
    <w:rsid w:val="00E67950"/>
    <w:rsid w:val="00E67997"/>
    <w:rsid w:val="00E67B11"/>
    <w:rsid w:val="00E67B4F"/>
    <w:rsid w:val="00E67B76"/>
    <w:rsid w:val="00E67CA4"/>
    <w:rsid w:val="00E67D4A"/>
    <w:rsid w:val="00E67E78"/>
    <w:rsid w:val="00E67F0B"/>
    <w:rsid w:val="00E70056"/>
    <w:rsid w:val="00E701EF"/>
    <w:rsid w:val="00E7034B"/>
    <w:rsid w:val="00E70452"/>
    <w:rsid w:val="00E705C3"/>
    <w:rsid w:val="00E709EB"/>
    <w:rsid w:val="00E70B71"/>
    <w:rsid w:val="00E70C09"/>
    <w:rsid w:val="00E70C29"/>
    <w:rsid w:val="00E70CE9"/>
    <w:rsid w:val="00E70FD4"/>
    <w:rsid w:val="00E71256"/>
    <w:rsid w:val="00E7131A"/>
    <w:rsid w:val="00E71581"/>
    <w:rsid w:val="00E71782"/>
    <w:rsid w:val="00E71C39"/>
    <w:rsid w:val="00E71D3F"/>
    <w:rsid w:val="00E72309"/>
    <w:rsid w:val="00E729FC"/>
    <w:rsid w:val="00E72B68"/>
    <w:rsid w:val="00E73038"/>
    <w:rsid w:val="00E732C6"/>
    <w:rsid w:val="00E73309"/>
    <w:rsid w:val="00E7357E"/>
    <w:rsid w:val="00E739F5"/>
    <w:rsid w:val="00E73A9A"/>
    <w:rsid w:val="00E73DBA"/>
    <w:rsid w:val="00E73FE7"/>
    <w:rsid w:val="00E74070"/>
    <w:rsid w:val="00E74447"/>
    <w:rsid w:val="00E7450B"/>
    <w:rsid w:val="00E7471F"/>
    <w:rsid w:val="00E749C6"/>
    <w:rsid w:val="00E74CA7"/>
    <w:rsid w:val="00E74ED4"/>
    <w:rsid w:val="00E74F25"/>
    <w:rsid w:val="00E74F7B"/>
    <w:rsid w:val="00E754C4"/>
    <w:rsid w:val="00E7593A"/>
    <w:rsid w:val="00E75A81"/>
    <w:rsid w:val="00E75E76"/>
    <w:rsid w:val="00E75EAB"/>
    <w:rsid w:val="00E75F68"/>
    <w:rsid w:val="00E75FAE"/>
    <w:rsid w:val="00E76074"/>
    <w:rsid w:val="00E76243"/>
    <w:rsid w:val="00E76251"/>
    <w:rsid w:val="00E7627D"/>
    <w:rsid w:val="00E764C5"/>
    <w:rsid w:val="00E76788"/>
    <w:rsid w:val="00E76850"/>
    <w:rsid w:val="00E768E5"/>
    <w:rsid w:val="00E76D47"/>
    <w:rsid w:val="00E76F2E"/>
    <w:rsid w:val="00E76F93"/>
    <w:rsid w:val="00E7722E"/>
    <w:rsid w:val="00E773D4"/>
    <w:rsid w:val="00E77543"/>
    <w:rsid w:val="00E775CC"/>
    <w:rsid w:val="00E77B44"/>
    <w:rsid w:val="00E80051"/>
    <w:rsid w:val="00E80173"/>
    <w:rsid w:val="00E804C6"/>
    <w:rsid w:val="00E80507"/>
    <w:rsid w:val="00E808B9"/>
    <w:rsid w:val="00E8093E"/>
    <w:rsid w:val="00E80ADB"/>
    <w:rsid w:val="00E80C7B"/>
    <w:rsid w:val="00E80CB0"/>
    <w:rsid w:val="00E80E51"/>
    <w:rsid w:val="00E8106E"/>
    <w:rsid w:val="00E81369"/>
    <w:rsid w:val="00E816A2"/>
    <w:rsid w:val="00E81874"/>
    <w:rsid w:val="00E81906"/>
    <w:rsid w:val="00E81B19"/>
    <w:rsid w:val="00E81B88"/>
    <w:rsid w:val="00E81D5A"/>
    <w:rsid w:val="00E81D85"/>
    <w:rsid w:val="00E81F67"/>
    <w:rsid w:val="00E8203A"/>
    <w:rsid w:val="00E825CE"/>
    <w:rsid w:val="00E82742"/>
    <w:rsid w:val="00E82839"/>
    <w:rsid w:val="00E82A17"/>
    <w:rsid w:val="00E82BE8"/>
    <w:rsid w:val="00E8329B"/>
    <w:rsid w:val="00E835C8"/>
    <w:rsid w:val="00E835EA"/>
    <w:rsid w:val="00E83630"/>
    <w:rsid w:val="00E83716"/>
    <w:rsid w:val="00E838A3"/>
    <w:rsid w:val="00E83A6D"/>
    <w:rsid w:val="00E83B33"/>
    <w:rsid w:val="00E83E22"/>
    <w:rsid w:val="00E83E74"/>
    <w:rsid w:val="00E83F6E"/>
    <w:rsid w:val="00E841C3"/>
    <w:rsid w:val="00E84273"/>
    <w:rsid w:val="00E84377"/>
    <w:rsid w:val="00E84452"/>
    <w:rsid w:val="00E84459"/>
    <w:rsid w:val="00E84513"/>
    <w:rsid w:val="00E8480C"/>
    <w:rsid w:val="00E84A01"/>
    <w:rsid w:val="00E84C1E"/>
    <w:rsid w:val="00E85315"/>
    <w:rsid w:val="00E85498"/>
    <w:rsid w:val="00E8563F"/>
    <w:rsid w:val="00E858E2"/>
    <w:rsid w:val="00E8592C"/>
    <w:rsid w:val="00E859BE"/>
    <w:rsid w:val="00E85CEE"/>
    <w:rsid w:val="00E864A4"/>
    <w:rsid w:val="00E86F5D"/>
    <w:rsid w:val="00E87040"/>
    <w:rsid w:val="00E8704C"/>
    <w:rsid w:val="00E8715D"/>
    <w:rsid w:val="00E87759"/>
    <w:rsid w:val="00E879D9"/>
    <w:rsid w:val="00E879E3"/>
    <w:rsid w:val="00E87A60"/>
    <w:rsid w:val="00E87AB9"/>
    <w:rsid w:val="00E87EFC"/>
    <w:rsid w:val="00E87F30"/>
    <w:rsid w:val="00E9006F"/>
    <w:rsid w:val="00E90365"/>
    <w:rsid w:val="00E90366"/>
    <w:rsid w:val="00E90439"/>
    <w:rsid w:val="00E906F5"/>
    <w:rsid w:val="00E90855"/>
    <w:rsid w:val="00E908A2"/>
    <w:rsid w:val="00E90A8E"/>
    <w:rsid w:val="00E90B7E"/>
    <w:rsid w:val="00E90E3D"/>
    <w:rsid w:val="00E90F59"/>
    <w:rsid w:val="00E910E1"/>
    <w:rsid w:val="00E916F1"/>
    <w:rsid w:val="00E91739"/>
    <w:rsid w:val="00E91751"/>
    <w:rsid w:val="00E91823"/>
    <w:rsid w:val="00E91E7E"/>
    <w:rsid w:val="00E91FB2"/>
    <w:rsid w:val="00E921C3"/>
    <w:rsid w:val="00E92298"/>
    <w:rsid w:val="00E9235F"/>
    <w:rsid w:val="00E9264C"/>
    <w:rsid w:val="00E926CD"/>
    <w:rsid w:val="00E927A5"/>
    <w:rsid w:val="00E9299C"/>
    <w:rsid w:val="00E929B4"/>
    <w:rsid w:val="00E92C2D"/>
    <w:rsid w:val="00E92ED3"/>
    <w:rsid w:val="00E93096"/>
    <w:rsid w:val="00E930C3"/>
    <w:rsid w:val="00E9327A"/>
    <w:rsid w:val="00E9340B"/>
    <w:rsid w:val="00E9359F"/>
    <w:rsid w:val="00E93631"/>
    <w:rsid w:val="00E937FE"/>
    <w:rsid w:val="00E93874"/>
    <w:rsid w:val="00E93B88"/>
    <w:rsid w:val="00E93B94"/>
    <w:rsid w:val="00E93C14"/>
    <w:rsid w:val="00E93E26"/>
    <w:rsid w:val="00E93E52"/>
    <w:rsid w:val="00E9401A"/>
    <w:rsid w:val="00E94143"/>
    <w:rsid w:val="00E94183"/>
    <w:rsid w:val="00E94398"/>
    <w:rsid w:val="00E943E2"/>
    <w:rsid w:val="00E94581"/>
    <w:rsid w:val="00E94598"/>
    <w:rsid w:val="00E9462B"/>
    <w:rsid w:val="00E94A1E"/>
    <w:rsid w:val="00E94B9C"/>
    <w:rsid w:val="00E95053"/>
    <w:rsid w:val="00E95573"/>
    <w:rsid w:val="00E955C6"/>
    <w:rsid w:val="00E957F0"/>
    <w:rsid w:val="00E958DE"/>
    <w:rsid w:val="00E95ABA"/>
    <w:rsid w:val="00E95B63"/>
    <w:rsid w:val="00E95C15"/>
    <w:rsid w:val="00E95CFB"/>
    <w:rsid w:val="00E962C8"/>
    <w:rsid w:val="00E96629"/>
    <w:rsid w:val="00E9667F"/>
    <w:rsid w:val="00E966D9"/>
    <w:rsid w:val="00E968F9"/>
    <w:rsid w:val="00E96F92"/>
    <w:rsid w:val="00E970E0"/>
    <w:rsid w:val="00E97117"/>
    <w:rsid w:val="00E972E5"/>
    <w:rsid w:val="00E97406"/>
    <w:rsid w:val="00E9746F"/>
    <w:rsid w:val="00E97854"/>
    <w:rsid w:val="00E97978"/>
    <w:rsid w:val="00E97A18"/>
    <w:rsid w:val="00E97CF4"/>
    <w:rsid w:val="00E97F08"/>
    <w:rsid w:val="00E97F44"/>
    <w:rsid w:val="00EA027F"/>
    <w:rsid w:val="00EA0532"/>
    <w:rsid w:val="00EA05B6"/>
    <w:rsid w:val="00EA06D3"/>
    <w:rsid w:val="00EA071A"/>
    <w:rsid w:val="00EA078F"/>
    <w:rsid w:val="00EA07CE"/>
    <w:rsid w:val="00EA091C"/>
    <w:rsid w:val="00EA0CA1"/>
    <w:rsid w:val="00EA1023"/>
    <w:rsid w:val="00EA102F"/>
    <w:rsid w:val="00EA137B"/>
    <w:rsid w:val="00EA147F"/>
    <w:rsid w:val="00EA1535"/>
    <w:rsid w:val="00EA1641"/>
    <w:rsid w:val="00EA189E"/>
    <w:rsid w:val="00EA199E"/>
    <w:rsid w:val="00EA1B1A"/>
    <w:rsid w:val="00EA1C43"/>
    <w:rsid w:val="00EA2019"/>
    <w:rsid w:val="00EA2287"/>
    <w:rsid w:val="00EA2354"/>
    <w:rsid w:val="00EA2B4A"/>
    <w:rsid w:val="00EA2DB7"/>
    <w:rsid w:val="00EA2DC8"/>
    <w:rsid w:val="00EA2E61"/>
    <w:rsid w:val="00EA2E69"/>
    <w:rsid w:val="00EA3208"/>
    <w:rsid w:val="00EA32BF"/>
    <w:rsid w:val="00EA33F4"/>
    <w:rsid w:val="00EA36B5"/>
    <w:rsid w:val="00EA37AA"/>
    <w:rsid w:val="00EA3841"/>
    <w:rsid w:val="00EA3B4D"/>
    <w:rsid w:val="00EA3C52"/>
    <w:rsid w:val="00EA3E7F"/>
    <w:rsid w:val="00EA3ECE"/>
    <w:rsid w:val="00EA40AA"/>
    <w:rsid w:val="00EA4389"/>
    <w:rsid w:val="00EA4428"/>
    <w:rsid w:val="00EA44D9"/>
    <w:rsid w:val="00EA45CD"/>
    <w:rsid w:val="00EA4606"/>
    <w:rsid w:val="00EA463C"/>
    <w:rsid w:val="00EA46C3"/>
    <w:rsid w:val="00EA490F"/>
    <w:rsid w:val="00EA494A"/>
    <w:rsid w:val="00EA49AE"/>
    <w:rsid w:val="00EA4C31"/>
    <w:rsid w:val="00EA4D1C"/>
    <w:rsid w:val="00EA4D43"/>
    <w:rsid w:val="00EA5174"/>
    <w:rsid w:val="00EA51BB"/>
    <w:rsid w:val="00EA5595"/>
    <w:rsid w:val="00EA57DA"/>
    <w:rsid w:val="00EA5879"/>
    <w:rsid w:val="00EA5962"/>
    <w:rsid w:val="00EA5AB6"/>
    <w:rsid w:val="00EA5B73"/>
    <w:rsid w:val="00EA5D99"/>
    <w:rsid w:val="00EA5EFD"/>
    <w:rsid w:val="00EA5F24"/>
    <w:rsid w:val="00EA5F74"/>
    <w:rsid w:val="00EA60CA"/>
    <w:rsid w:val="00EA60D5"/>
    <w:rsid w:val="00EA6454"/>
    <w:rsid w:val="00EA6B5F"/>
    <w:rsid w:val="00EA6B80"/>
    <w:rsid w:val="00EA6BCB"/>
    <w:rsid w:val="00EA6CB7"/>
    <w:rsid w:val="00EA6EFD"/>
    <w:rsid w:val="00EA70B3"/>
    <w:rsid w:val="00EA718C"/>
    <w:rsid w:val="00EA7336"/>
    <w:rsid w:val="00EA7575"/>
    <w:rsid w:val="00EA7596"/>
    <w:rsid w:val="00EA7718"/>
    <w:rsid w:val="00EA77CE"/>
    <w:rsid w:val="00EA7801"/>
    <w:rsid w:val="00EA78C0"/>
    <w:rsid w:val="00EA799D"/>
    <w:rsid w:val="00EA7A3B"/>
    <w:rsid w:val="00EA7C03"/>
    <w:rsid w:val="00EA7D1F"/>
    <w:rsid w:val="00EA7E2E"/>
    <w:rsid w:val="00EB03C6"/>
    <w:rsid w:val="00EB051E"/>
    <w:rsid w:val="00EB07EA"/>
    <w:rsid w:val="00EB0A38"/>
    <w:rsid w:val="00EB0A60"/>
    <w:rsid w:val="00EB0AA8"/>
    <w:rsid w:val="00EB0B09"/>
    <w:rsid w:val="00EB0E34"/>
    <w:rsid w:val="00EB1055"/>
    <w:rsid w:val="00EB10BD"/>
    <w:rsid w:val="00EB12D8"/>
    <w:rsid w:val="00EB153A"/>
    <w:rsid w:val="00EB1574"/>
    <w:rsid w:val="00EB165F"/>
    <w:rsid w:val="00EB17B5"/>
    <w:rsid w:val="00EB1912"/>
    <w:rsid w:val="00EB1D8E"/>
    <w:rsid w:val="00EB1E25"/>
    <w:rsid w:val="00EB222A"/>
    <w:rsid w:val="00EB24FD"/>
    <w:rsid w:val="00EB2625"/>
    <w:rsid w:val="00EB298C"/>
    <w:rsid w:val="00EB2A99"/>
    <w:rsid w:val="00EB2D5A"/>
    <w:rsid w:val="00EB2DB1"/>
    <w:rsid w:val="00EB2FCB"/>
    <w:rsid w:val="00EB31B7"/>
    <w:rsid w:val="00EB342B"/>
    <w:rsid w:val="00EB3466"/>
    <w:rsid w:val="00EB3621"/>
    <w:rsid w:val="00EB3699"/>
    <w:rsid w:val="00EB3811"/>
    <w:rsid w:val="00EB383D"/>
    <w:rsid w:val="00EB39F2"/>
    <w:rsid w:val="00EB3BAB"/>
    <w:rsid w:val="00EB3E3F"/>
    <w:rsid w:val="00EB3F39"/>
    <w:rsid w:val="00EB3FE4"/>
    <w:rsid w:val="00EB40E4"/>
    <w:rsid w:val="00EB415C"/>
    <w:rsid w:val="00EB4456"/>
    <w:rsid w:val="00EB4577"/>
    <w:rsid w:val="00EB461B"/>
    <w:rsid w:val="00EB4AC6"/>
    <w:rsid w:val="00EB4EB5"/>
    <w:rsid w:val="00EB4ED3"/>
    <w:rsid w:val="00EB512A"/>
    <w:rsid w:val="00EB5395"/>
    <w:rsid w:val="00EB5432"/>
    <w:rsid w:val="00EB5785"/>
    <w:rsid w:val="00EB58FB"/>
    <w:rsid w:val="00EB5A89"/>
    <w:rsid w:val="00EB5BF3"/>
    <w:rsid w:val="00EB5DC9"/>
    <w:rsid w:val="00EB5DD0"/>
    <w:rsid w:val="00EB5F04"/>
    <w:rsid w:val="00EB6026"/>
    <w:rsid w:val="00EB6044"/>
    <w:rsid w:val="00EB60C3"/>
    <w:rsid w:val="00EB634C"/>
    <w:rsid w:val="00EB65C2"/>
    <w:rsid w:val="00EB65D9"/>
    <w:rsid w:val="00EB679B"/>
    <w:rsid w:val="00EB6997"/>
    <w:rsid w:val="00EB69A9"/>
    <w:rsid w:val="00EB6B38"/>
    <w:rsid w:val="00EB6C2F"/>
    <w:rsid w:val="00EB6FC6"/>
    <w:rsid w:val="00EB70A3"/>
    <w:rsid w:val="00EB7150"/>
    <w:rsid w:val="00EB74E3"/>
    <w:rsid w:val="00EB7BC4"/>
    <w:rsid w:val="00EB7C12"/>
    <w:rsid w:val="00EB7F3C"/>
    <w:rsid w:val="00EC01F5"/>
    <w:rsid w:val="00EC07CC"/>
    <w:rsid w:val="00EC09F3"/>
    <w:rsid w:val="00EC0D15"/>
    <w:rsid w:val="00EC0D5C"/>
    <w:rsid w:val="00EC0FD3"/>
    <w:rsid w:val="00EC12A6"/>
    <w:rsid w:val="00EC1743"/>
    <w:rsid w:val="00EC1979"/>
    <w:rsid w:val="00EC19EA"/>
    <w:rsid w:val="00EC1A7F"/>
    <w:rsid w:val="00EC1C10"/>
    <w:rsid w:val="00EC1D35"/>
    <w:rsid w:val="00EC1E7A"/>
    <w:rsid w:val="00EC215A"/>
    <w:rsid w:val="00EC2312"/>
    <w:rsid w:val="00EC2709"/>
    <w:rsid w:val="00EC28FD"/>
    <w:rsid w:val="00EC2974"/>
    <w:rsid w:val="00EC2BF6"/>
    <w:rsid w:val="00EC2F82"/>
    <w:rsid w:val="00EC32B6"/>
    <w:rsid w:val="00EC37C6"/>
    <w:rsid w:val="00EC3989"/>
    <w:rsid w:val="00EC3AF5"/>
    <w:rsid w:val="00EC3B93"/>
    <w:rsid w:val="00EC3C05"/>
    <w:rsid w:val="00EC3CFA"/>
    <w:rsid w:val="00EC3DB7"/>
    <w:rsid w:val="00EC4052"/>
    <w:rsid w:val="00EC40CB"/>
    <w:rsid w:val="00EC40F0"/>
    <w:rsid w:val="00EC42AD"/>
    <w:rsid w:val="00EC447B"/>
    <w:rsid w:val="00EC47B4"/>
    <w:rsid w:val="00EC47CA"/>
    <w:rsid w:val="00EC4B2F"/>
    <w:rsid w:val="00EC4DA0"/>
    <w:rsid w:val="00EC4E35"/>
    <w:rsid w:val="00EC4E5B"/>
    <w:rsid w:val="00EC5012"/>
    <w:rsid w:val="00EC5620"/>
    <w:rsid w:val="00EC582D"/>
    <w:rsid w:val="00EC5868"/>
    <w:rsid w:val="00EC5AA2"/>
    <w:rsid w:val="00EC5B35"/>
    <w:rsid w:val="00EC6081"/>
    <w:rsid w:val="00EC617D"/>
    <w:rsid w:val="00EC61A3"/>
    <w:rsid w:val="00EC6347"/>
    <w:rsid w:val="00EC6416"/>
    <w:rsid w:val="00EC64AC"/>
    <w:rsid w:val="00EC6786"/>
    <w:rsid w:val="00EC6816"/>
    <w:rsid w:val="00EC68A9"/>
    <w:rsid w:val="00EC6DB0"/>
    <w:rsid w:val="00EC6FA9"/>
    <w:rsid w:val="00EC7042"/>
    <w:rsid w:val="00EC737D"/>
    <w:rsid w:val="00EC74B9"/>
    <w:rsid w:val="00EC7569"/>
    <w:rsid w:val="00EC758C"/>
    <w:rsid w:val="00EC7FA0"/>
    <w:rsid w:val="00ED0588"/>
    <w:rsid w:val="00ED066E"/>
    <w:rsid w:val="00ED072E"/>
    <w:rsid w:val="00ED085E"/>
    <w:rsid w:val="00ED0C0F"/>
    <w:rsid w:val="00ED0C46"/>
    <w:rsid w:val="00ED0ED8"/>
    <w:rsid w:val="00ED1186"/>
    <w:rsid w:val="00ED11B0"/>
    <w:rsid w:val="00ED1526"/>
    <w:rsid w:val="00ED182C"/>
    <w:rsid w:val="00ED1BBB"/>
    <w:rsid w:val="00ED202A"/>
    <w:rsid w:val="00ED20BD"/>
    <w:rsid w:val="00ED22F7"/>
    <w:rsid w:val="00ED242E"/>
    <w:rsid w:val="00ED251C"/>
    <w:rsid w:val="00ED2BE7"/>
    <w:rsid w:val="00ED2D73"/>
    <w:rsid w:val="00ED2E25"/>
    <w:rsid w:val="00ED2F4E"/>
    <w:rsid w:val="00ED3042"/>
    <w:rsid w:val="00ED309B"/>
    <w:rsid w:val="00ED30CA"/>
    <w:rsid w:val="00ED329A"/>
    <w:rsid w:val="00ED334B"/>
    <w:rsid w:val="00ED3F55"/>
    <w:rsid w:val="00ED3FD8"/>
    <w:rsid w:val="00ED4142"/>
    <w:rsid w:val="00ED4695"/>
    <w:rsid w:val="00ED4B37"/>
    <w:rsid w:val="00ED4BFF"/>
    <w:rsid w:val="00ED4C4B"/>
    <w:rsid w:val="00ED4C9B"/>
    <w:rsid w:val="00ED4D66"/>
    <w:rsid w:val="00ED4DF1"/>
    <w:rsid w:val="00ED4E29"/>
    <w:rsid w:val="00ED4E56"/>
    <w:rsid w:val="00ED5039"/>
    <w:rsid w:val="00ED551C"/>
    <w:rsid w:val="00ED569F"/>
    <w:rsid w:val="00ED58E6"/>
    <w:rsid w:val="00ED5B4E"/>
    <w:rsid w:val="00ED5D4F"/>
    <w:rsid w:val="00ED5DAD"/>
    <w:rsid w:val="00ED5DAE"/>
    <w:rsid w:val="00ED5E5E"/>
    <w:rsid w:val="00ED6340"/>
    <w:rsid w:val="00ED682F"/>
    <w:rsid w:val="00ED688E"/>
    <w:rsid w:val="00ED68A0"/>
    <w:rsid w:val="00ED6B91"/>
    <w:rsid w:val="00ED6E93"/>
    <w:rsid w:val="00ED70EB"/>
    <w:rsid w:val="00ED72CB"/>
    <w:rsid w:val="00ED79CE"/>
    <w:rsid w:val="00ED7FDC"/>
    <w:rsid w:val="00EE0175"/>
    <w:rsid w:val="00EE01B4"/>
    <w:rsid w:val="00EE0205"/>
    <w:rsid w:val="00EE0481"/>
    <w:rsid w:val="00EE0569"/>
    <w:rsid w:val="00EE0711"/>
    <w:rsid w:val="00EE0973"/>
    <w:rsid w:val="00EE0A0C"/>
    <w:rsid w:val="00EE0A28"/>
    <w:rsid w:val="00EE0CE0"/>
    <w:rsid w:val="00EE0F8E"/>
    <w:rsid w:val="00EE137F"/>
    <w:rsid w:val="00EE13A7"/>
    <w:rsid w:val="00EE1401"/>
    <w:rsid w:val="00EE15F0"/>
    <w:rsid w:val="00EE1662"/>
    <w:rsid w:val="00EE19D2"/>
    <w:rsid w:val="00EE1BB3"/>
    <w:rsid w:val="00EE1BD8"/>
    <w:rsid w:val="00EE1BED"/>
    <w:rsid w:val="00EE1D9B"/>
    <w:rsid w:val="00EE1F87"/>
    <w:rsid w:val="00EE235B"/>
    <w:rsid w:val="00EE23E7"/>
    <w:rsid w:val="00EE24AB"/>
    <w:rsid w:val="00EE291E"/>
    <w:rsid w:val="00EE294D"/>
    <w:rsid w:val="00EE2B97"/>
    <w:rsid w:val="00EE2D3A"/>
    <w:rsid w:val="00EE2ED3"/>
    <w:rsid w:val="00EE323A"/>
    <w:rsid w:val="00EE3706"/>
    <w:rsid w:val="00EE384E"/>
    <w:rsid w:val="00EE3A03"/>
    <w:rsid w:val="00EE3A97"/>
    <w:rsid w:val="00EE3D8E"/>
    <w:rsid w:val="00EE3E80"/>
    <w:rsid w:val="00EE3F04"/>
    <w:rsid w:val="00EE3F38"/>
    <w:rsid w:val="00EE407B"/>
    <w:rsid w:val="00EE4097"/>
    <w:rsid w:val="00EE4144"/>
    <w:rsid w:val="00EE4559"/>
    <w:rsid w:val="00EE4A04"/>
    <w:rsid w:val="00EE4A86"/>
    <w:rsid w:val="00EE4C72"/>
    <w:rsid w:val="00EE5024"/>
    <w:rsid w:val="00EE5050"/>
    <w:rsid w:val="00EE511E"/>
    <w:rsid w:val="00EE5340"/>
    <w:rsid w:val="00EE53D0"/>
    <w:rsid w:val="00EE57CB"/>
    <w:rsid w:val="00EE5960"/>
    <w:rsid w:val="00EE5B9C"/>
    <w:rsid w:val="00EE5C73"/>
    <w:rsid w:val="00EE5CAD"/>
    <w:rsid w:val="00EE5F03"/>
    <w:rsid w:val="00EE623D"/>
    <w:rsid w:val="00EE6330"/>
    <w:rsid w:val="00EE66A6"/>
    <w:rsid w:val="00EE6736"/>
    <w:rsid w:val="00EE6AA0"/>
    <w:rsid w:val="00EE6BB4"/>
    <w:rsid w:val="00EE6BF5"/>
    <w:rsid w:val="00EE6C4F"/>
    <w:rsid w:val="00EE6D4A"/>
    <w:rsid w:val="00EE6E70"/>
    <w:rsid w:val="00EE71A3"/>
    <w:rsid w:val="00EE71E4"/>
    <w:rsid w:val="00EE7279"/>
    <w:rsid w:val="00EE72EC"/>
    <w:rsid w:val="00EE74F3"/>
    <w:rsid w:val="00EE7717"/>
    <w:rsid w:val="00EE78DC"/>
    <w:rsid w:val="00EE7910"/>
    <w:rsid w:val="00EE7979"/>
    <w:rsid w:val="00EE79A0"/>
    <w:rsid w:val="00EE7DB8"/>
    <w:rsid w:val="00EF047D"/>
    <w:rsid w:val="00EF0978"/>
    <w:rsid w:val="00EF09D7"/>
    <w:rsid w:val="00EF0B13"/>
    <w:rsid w:val="00EF0E16"/>
    <w:rsid w:val="00EF0E42"/>
    <w:rsid w:val="00EF0E92"/>
    <w:rsid w:val="00EF0ED3"/>
    <w:rsid w:val="00EF1284"/>
    <w:rsid w:val="00EF12B9"/>
    <w:rsid w:val="00EF1642"/>
    <w:rsid w:val="00EF17A6"/>
    <w:rsid w:val="00EF1930"/>
    <w:rsid w:val="00EF1973"/>
    <w:rsid w:val="00EF1AE1"/>
    <w:rsid w:val="00EF1B6D"/>
    <w:rsid w:val="00EF1E43"/>
    <w:rsid w:val="00EF2591"/>
    <w:rsid w:val="00EF2671"/>
    <w:rsid w:val="00EF268F"/>
    <w:rsid w:val="00EF2983"/>
    <w:rsid w:val="00EF32AC"/>
    <w:rsid w:val="00EF3361"/>
    <w:rsid w:val="00EF33ED"/>
    <w:rsid w:val="00EF3479"/>
    <w:rsid w:val="00EF34F1"/>
    <w:rsid w:val="00EF394A"/>
    <w:rsid w:val="00EF3A74"/>
    <w:rsid w:val="00EF3D4F"/>
    <w:rsid w:val="00EF3E82"/>
    <w:rsid w:val="00EF3ED0"/>
    <w:rsid w:val="00EF3F96"/>
    <w:rsid w:val="00EF414F"/>
    <w:rsid w:val="00EF43B4"/>
    <w:rsid w:val="00EF43FF"/>
    <w:rsid w:val="00EF443B"/>
    <w:rsid w:val="00EF459B"/>
    <w:rsid w:val="00EF4780"/>
    <w:rsid w:val="00EF4B7A"/>
    <w:rsid w:val="00EF4BDD"/>
    <w:rsid w:val="00EF4C39"/>
    <w:rsid w:val="00EF4E11"/>
    <w:rsid w:val="00EF5284"/>
    <w:rsid w:val="00EF5382"/>
    <w:rsid w:val="00EF53BC"/>
    <w:rsid w:val="00EF550A"/>
    <w:rsid w:val="00EF55C2"/>
    <w:rsid w:val="00EF57B0"/>
    <w:rsid w:val="00EF5830"/>
    <w:rsid w:val="00EF5C3C"/>
    <w:rsid w:val="00EF5C91"/>
    <w:rsid w:val="00EF5F22"/>
    <w:rsid w:val="00EF6243"/>
    <w:rsid w:val="00EF6253"/>
    <w:rsid w:val="00EF6421"/>
    <w:rsid w:val="00EF649F"/>
    <w:rsid w:val="00EF6827"/>
    <w:rsid w:val="00EF6C1D"/>
    <w:rsid w:val="00EF6C2A"/>
    <w:rsid w:val="00EF71E7"/>
    <w:rsid w:val="00EF7292"/>
    <w:rsid w:val="00EF741A"/>
    <w:rsid w:val="00EF7635"/>
    <w:rsid w:val="00EF7896"/>
    <w:rsid w:val="00EF78E2"/>
    <w:rsid w:val="00EF7CD9"/>
    <w:rsid w:val="00F00013"/>
    <w:rsid w:val="00F000C8"/>
    <w:rsid w:val="00F0019F"/>
    <w:rsid w:val="00F001E6"/>
    <w:rsid w:val="00F001EC"/>
    <w:rsid w:val="00F00506"/>
    <w:rsid w:val="00F0058D"/>
    <w:rsid w:val="00F00787"/>
    <w:rsid w:val="00F0085D"/>
    <w:rsid w:val="00F00C36"/>
    <w:rsid w:val="00F00EA4"/>
    <w:rsid w:val="00F013BC"/>
    <w:rsid w:val="00F0161C"/>
    <w:rsid w:val="00F01AFD"/>
    <w:rsid w:val="00F01BCA"/>
    <w:rsid w:val="00F021C8"/>
    <w:rsid w:val="00F02222"/>
    <w:rsid w:val="00F0233B"/>
    <w:rsid w:val="00F025B1"/>
    <w:rsid w:val="00F02620"/>
    <w:rsid w:val="00F0268E"/>
    <w:rsid w:val="00F027BE"/>
    <w:rsid w:val="00F02A9B"/>
    <w:rsid w:val="00F02AFE"/>
    <w:rsid w:val="00F02C1D"/>
    <w:rsid w:val="00F02DF2"/>
    <w:rsid w:val="00F02F73"/>
    <w:rsid w:val="00F03077"/>
    <w:rsid w:val="00F03176"/>
    <w:rsid w:val="00F035FB"/>
    <w:rsid w:val="00F03D2E"/>
    <w:rsid w:val="00F04157"/>
    <w:rsid w:val="00F044BE"/>
    <w:rsid w:val="00F04ABE"/>
    <w:rsid w:val="00F04D2A"/>
    <w:rsid w:val="00F04D52"/>
    <w:rsid w:val="00F04FF4"/>
    <w:rsid w:val="00F0503B"/>
    <w:rsid w:val="00F053D5"/>
    <w:rsid w:val="00F05401"/>
    <w:rsid w:val="00F056A7"/>
    <w:rsid w:val="00F0579C"/>
    <w:rsid w:val="00F05CA3"/>
    <w:rsid w:val="00F05DD4"/>
    <w:rsid w:val="00F05EFA"/>
    <w:rsid w:val="00F05F72"/>
    <w:rsid w:val="00F05FE1"/>
    <w:rsid w:val="00F0603D"/>
    <w:rsid w:val="00F061AE"/>
    <w:rsid w:val="00F0634D"/>
    <w:rsid w:val="00F06431"/>
    <w:rsid w:val="00F06448"/>
    <w:rsid w:val="00F0644C"/>
    <w:rsid w:val="00F06526"/>
    <w:rsid w:val="00F065C6"/>
    <w:rsid w:val="00F0681C"/>
    <w:rsid w:val="00F0699E"/>
    <w:rsid w:val="00F06AE6"/>
    <w:rsid w:val="00F06C78"/>
    <w:rsid w:val="00F07259"/>
    <w:rsid w:val="00F073CA"/>
    <w:rsid w:val="00F076ED"/>
    <w:rsid w:val="00F07827"/>
    <w:rsid w:val="00F078A2"/>
    <w:rsid w:val="00F07B2A"/>
    <w:rsid w:val="00F07F62"/>
    <w:rsid w:val="00F07F6A"/>
    <w:rsid w:val="00F10197"/>
    <w:rsid w:val="00F10483"/>
    <w:rsid w:val="00F10536"/>
    <w:rsid w:val="00F10671"/>
    <w:rsid w:val="00F10727"/>
    <w:rsid w:val="00F108A9"/>
    <w:rsid w:val="00F109BC"/>
    <w:rsid w:val="00F10C8D"/>
    <w:rsid w:val="00F10F4C"/>
    <w:rsid w:val="00F111D5"/>
    <w:rsid w:val="00F11ACC"/>
    <w:rsid w:val="00F11E1A"/>
    <w:rsid w:val="00F11F2B"/>
    <w:rsid w:val="00F12052"/>
    <w:rsid w:val="00F1205D"/>
    <w:rsid w:val="00F12312"/>
    <w:rsid w:val="00F123DC"/>
    <w:rsid w:val="00F12515"/>
    <w:rsid w:val="00F12641"/>
    <w:rsid w:val="00F12CAD"/>
    <w:rsid w:val="00F12D14"/>
    <w:rsid w:val="00F12DD2"/>
    <w:rsid w:val="00F12DE0"/>
    <w:rsid w:val="00F12E64"/>
    <w:rsid w:val="00F12EE0"/>
    <w:rsid w:val="00F12EF0"/>
    <w:rsid w:val="00F12FCB"/>
    <w:rsid w:val="00F13003"/>
    <w:rsid w:val="00F13140"/>
    <w:rsid w:val="00F1348E"/>
    <w:rsid w:val="00F13677"/>
    <w:rsid w:val="00F138E0"/>
    <w:rsid w:val="00F14051"/>
    <w:rsid w:val="00F14332"/>
    <w:rsid w:val="00F14336"/>
    <w:rsid w:val="00F14414"/>
    <w:rsid w:val="00F14436"/>
    <w:rsid w:val="00F14A43"/>
    <w:rsid w:val="00F14B33"/>
    <w:rsid w:val="00F14BB9"/>
    <w:rsid w:val="00F14F72"/>
    <w:rsid w:val="00F151B1"/>
    <w:rsid w:val="00F153F7"/>
    <w:rsid w:val="00F1565F"/>
    <w:rsid w:val="00F15792"/>
    <w:rsid w:val="00F157CF"/>
    <w:rsid w:val="00F15832"/>
    <w:rsid w:val="00F15964"/>
    <w:rsid w:val="00F15A77"/>
    <w:rsid w:val="00F15A92"/>
    <w:rsid w:val="00F15B01"/>
    <w:rsid w:val="00F15C1A"/>
    <w:rsid w:val="00F164D3"/>
    <w:rsid w:val="00F164E6"/>
    <w:rsid w:val="00F16760"/>
    <w:rsid w:val="00F167C7"/>
    <w:rsid w:val="00F167F8"/>
    <w:rsid w:val="00F16855"/>
    <w:rsid w:val="00F168CC"/>
    <w:rsid w:val="00F16E29"/>
    <w:rsid w:val="00F17134"/>
    <w:rsid w:val="00F17261"/>
    <w:rsid w:val="00F17335"/>
    <w:rsid w:val="00F1744C"/>
    <w:rsid w:val="00F17640"/>
    <w:rsid w:val="00F1776C"/>
    <w:rsid w:val="00F17775"/>
    <w:rsid w:val="00F1795C"/>
    <w:rsid w:val="00F17966"/>
    <w:rsid w:val="00F17A48"/>
    <w:rsid w:val="00F17A52"/>
    <w:rsid w:val="00F17CBF"/>
    <w:rsid w:val="00F20035"/>
    <w:rsid w:val="00F2004F"/>
    <w:rsid w:val="00F2072F"/>
    <w:rsid w:val="00F20A22"/>
    <w:rsid w:val="00F20A2A"/>
    <w:rsid w:val="00F20B0B"/>
    <w:rsid w:val="00F20F90"/>
    <w:rsid w:val="00F21073"/>
    <w:rsid w:val="00F211B8"/>
    <w:rsid w:val="00F21343"/>
    <w:rsid w:val="00F2190D"/>
    <w:rsid w:val="00F219BF"/>
    <w:rsid w:val="00F21F15"/>
    <w:rsid w:val="00F22085"/>
    <w:rsid w:val="00F22486"/>
    <w:rsid w:val="00F2249D"/>
    <w:rsid w:val="00F2259A"/>
    <w:rsid w:val="00F225A9"/>
    <w:rsid w:val="00F225B7"/>
    <w:rsid w:val="00F22934"/>
    <w:rsid w:val="00F22B29"/>
    <w:rsid w:val="00F22D25"/>
    <w:rsid w:val="00F2305A"/>
    <w:rsid w:val="00F23148"/>
    <w:rsid w:val="00F231B4"/>
    <w:rsid w:val="00F2326C"/>
    <w:rsid w:val="00F23454"/>
    <w:rsid w:val="00F237D3"/>
    <w:rsid w:val="00F237E5"/>
    <w:rsid w:val="00F23B04"/>
    <w:rsid w:val="00F23B20"/>
    <w:rsid w:val="00F23DC2"/>
    <w:rsid w:val="00F23F18"/>
    <w:rsid w:val="00F242A9"/>
    <w:rsid w:val="00F243BE"/>
    <w:rsid w:val="00F24545"/>
    <w:rsid w:val="00F2458A"/>
    <w:rsid w:val="00F245B0"/>
    <w:rsid w:val="00F246D5"/>
    <w:rsid w:val="00F249CE"/>
    <w:rsid w:val="00F24E37"/>
    <w:rsid w:val="00F24E94"/>
    <w:rsid w:val="00F24F00"/>
    <w:rsid w:val="00F2510B"/>
    <w:rsid w:val="00F2540A"/>
    <w:rsid w:val="00F254F7"/>
    <w:rsid w:val="00F2557C"/>
    <w:rsid w:val="00F25D27"/>
    <w:rsid w:val="00F25DBF"/>
    <w:rsid w:val="00F25FF2"/>
    <w:rsid w:val="00F2609E"/>
    <w:rsid w:val="00F26225"/>
    <w:rsid w:val="00F26232"/>
    <w:rsid w:val="00F2633B"/>
    <w:rsid w:val="00F264C9"/>
    <w:rsid w:val="00F2657B"/>
    <w:rsid w:val="00F265CD"/>
    <w:rsid w:val="00F267FF"/>
    <w:rsid w:val="00F2694C"/>
    <w:rsid w:val="00F269AA"/>
    <w:rsid w:val="00F26BC9"/>
    <w:rsid w:val="00F26D07"/>
    <w:rsid w:val="00F26E22"/>
    <w:rsid w:val="00F26E7B"/>
    <w:rsid w:val="00F26F2E"/>
    <w:rsid w:val="00F27278"/>
    <w:rsid w:val="00F2756A"/>
    <w:rsid w:val="00F277F9"/>
    <w:rsid w:val="00F27911"/>
    <w:rsid w:val="00F27A49"/>
    <w:rsid w:val="00F27BF1"/>
    <w:rsid w:val="00F27F3F"/>
    <w:rsid w:val="00F27FAC"/>
    <w:rsid w:val="00F27FD8"/>
    <w:rsid w:val="00F30050"/>
    <w:rsid w:val="00F300B6"/>
    <w:rsid w:val="00F30116"/>
    <w:rsid w:val="00F301E3"/>
    <w:rsid w:val="00F30570"/>
    <w:rsid w:val="00F3067B"/>
    <w:rsid w:val="00F30ADC"/>
    <w:rsid w:val="00F30E7E"/>
    <w:rsid w:val="00F30EFD"/>
    <w:rsid w:val="00F3108E"/>
    <w:rsid w:val="00F31306"/>
    <w:rsid w:val="00F31550"/>
    <w:rsid w:val="00F315FB"/>
    <w:rsid w:val="00F3160A"/>
    <w:rsid w:val="00F31C36"/>
    <w:rsid w:val="00F31C75"/>
    <w:rsid w:val="00F31DF1"/>
    <w:rsid w:val="00F31F19"/>
    <w:rsid w:val="00F32560"/>
    <w:rsid w:val="00F325AB"/>
    <w:rsid w:val="00F32ABF"/>
    <w:rsid w:val="00F32E34"/>
    <w:rsid w:val="00F33397"/>
    <w:rsid w:val="00F3368E"/>
    <w:rsid w:val="00F337AD"/>
    <w:rsid w:val="00F3381F"/>
    <w:rsid w:val="00F33969"/>
    <w:rsid w:val="00F33979"/>
    <w:rsid w:val="00F3398F"/>
    <w:rsid w:val="00F33AC5"/>
    <w:rsid w:val="00F33C3B"/>
    <w:rsid w:val="00F33D7F"/>
    <w:rsid w:val="00F33DA2"/>
    <w:rsid w:val="00F33DCC"/>
    <w:rsid w:val="00F33FF8"/>
    <w:rsid w:val="00F342DE"/>
    <w:rsid w:val="00F345E2"/>
    <w:rsid w:val="00F34781"/>
    <w:rsid w:val="00F34845"/>
    <w:rsid w:val="00F3486C"/>
    <w:rsid w:val="00F348A2"/>
    <w:rsid w:val="00F34AE3"/>
    <w:rsid w:val="00F34CE6"/>
    <w:rsid w:val="00F34DD5"/>
    <w:rsid w:val="00F34F3C"/>
    <w:rsid w:val="00F34F56"/>
    <w:rsid w:val="00F350B5"/>
    <w:rsid w:val="00F3518E"/>
    <w:rsid w:val="00F35191"/>
    <w:rsid w:val="00F354D8"/>
    <w:rsid w:val="00F356D8"/>
    <w:rsid w:val="00F35E76"/>
    <w:rsid w:val="00F36028"/>
    <w:rsid w:val="00F36226"/>
    <w:rsid w:val="00F36445"/>
    <w:rsid w:val="00F36BD6"/>
    <w:rsid w:val="00F36D11"/>
    <w:rsid w:val="00F37038"/>
    <w:rsid w:val="00F37242"/>
    <w:rsid w:val="00F3745B"/>
    <w:rsid w:val="00F3754A"/>
    <w:rsid w:val="00F37600"/>
    <w:rsid w:val="00F37658"/>
    <w:rsid w:val="00F3781B"/>
    <w:rsid w:val="00F37893"/>
    <w:rsid w:val="00F37A10"/>
    <w:rsid w:val="00F37C89"/>
    <w:rsid w:val="00F37F33"/>
    <w:rsid w:val="00F401A0"/>
    <w:rsid w:val="00F40266"/>
    <w:rsid w:val="00F403F1"/>
    <w:rsid w:val="00F4048F"/>
    <w:rsid w:val="00F40645"/>
    <w:rsid w:val="00F407D7"/>
    <w:rsid w:val="00F409A5"/>
    <w:rsid w:val="00F40E21"/>
    <w:rsid w:val="00F4123A"/>
    <w:rsid w:val="00F4126C"/>
    <w:rsid w:val="00F413B6"/>
    <w:rsid w:val="00F4140C"/>
    <w:rsid w:val="00F414FA"/>
    <w:rsid w:val="00F41DDC"/>
    <w:rsid w:val="00F41E7E"/>
    <w:rsid w:val="00F41FDC"/>
    <w:rsid w:val="00F42604"/>
    <w:rsid w:val="00F42854"/>
    <w:rsid w:val="00F43037"/>
    <w:rsid w:val="00F430AE"/>
    <w:rsid w:val="00F431D8"/>
    <w:rsid w:val="00F4347C"/>
    <w:rsid w:val="00F4359C"/>
    <w:rsid w:val="00F43606"/>
    <w:rsid w:val="00F43AFB"/>
    <w:rsid w:val="00F43ECD"/>
    <w:rsid w:val="00F43FF8"/>
    <w:rsid w:val="00F4417E"/>
    <w:rsid w:val="00F4447E"/>
    <w:rsid w:val="00F44502"/>
    <w:rsid w:val="00F44709"/>
    <w:rsid w:val="00F44B0A"/>
    <w:rsid w:val="00F44BFD"/>
    <w:rsid w:val="00F44D02"/>
    <w:rsid w:val="00F450DE"/>
    <w:rsid w:val="00F451D0"/>
    <w:rsid w:val="00F45300"/>
    <w:rsid w:val="00F453FA"/>
    <w:rsid w:val="00F454DB"/>
    <w:rsid w:val="00F454FC"/>
    <w:rsid w:val="00F4558E"/>
    <w:rsid w:val="00F456B6"/>
    <w:rsid w:val="00F45903"/>
    <w:rsid w:val="00F459CA"/>
    <w:rsid w:val="00F45A65"/>
    <w:rsid w:val="00F45AF8"/>
    <w:rsid w:val="00F45DC1"/>
    <w:rsid w:val="00F45E21"/>
    <w:rsid w:val="00F45F03"/>
    <w:rsid w:val="00F460A5"/>
    <w:rsid w:val="00F461E3"/>
    <w:rsid w:val="00F46378"/>
    <w:rsid w:val="00F46449"/>
    <w:rsid w:val="00F464D9"/>
    <w:rsid w:val="00F465AC"/>
    <w:rsid w:val="00F4663A"/>
    <w:rsid w:val="00F46AE7"/>
    <w:rsid w:val="00F46B64"/>
    <w:rsid w:val="00F46ECA"/>
    <w:rsid w:val="00F46FE2"/>
    <w:rsid w:val="00F471D3"/>
    <w:rsid w:val="00F47335"/>
    <w:rsid w:val="00F47477"/>
    <w:rsid w:val="00F47621"/>
    <w:rsid w:val="00F4764F"/>
    <w:rsid w:val="00F47664"/>
    <w:rsid w:val="00F476B6"/>
    <w:rsid w:val="00F477CF"/>
    <w:rsid w:val="00F47994"/>
    <w:rsid w:val="00F47DC3"/>
    <w:rsid w:val="00F47F95"/>
    <w:rsid w:val="00F50490"/>
    <w:rsid w:val="00F5052B"/>
    <w:rsid w:val="00F50594"/>
    <w:rsid w:val="00F5060F"/>
    <w:rsid w:val="00F50656"/>
    <w:rsid w:val="00F50683"/>
    <w:rsid w:val="00F5070E"/>
    <w:rsid w:val="00F50A73"/>
    <w:rsid w:val="00F50A94"/>
    <w:rsid w:val="00F50B8D"/>
    <w:rsid w:val="00F50E61"/>
    <w:rsid w:val="00F50F44"/>
    <w:rsid w:val="00F5105A"/>
    <w:rsid w:val="00F514EB"/>
    <w:rsid w:val="00F51C73"/>
    <w:rsid w:val="00F5207E"/>
    <w:rsid w:val="00F52182"/>
    <w:rsid w:val="00F525B1"/>
    <w:rsid w:val="00F527FA"/>
    <w:rsid w:val="00F528BA"/>
    <w:rsid w:val="00F52B04"/>
    <w:rsid w:val="00F52EBB"/>
    <w:rsid w:val="00F52F26"/>
    <w:rsid w:val="00F52F83"/>
    <w:rsid w:val="00F53AD0"/>
    <w:rsid w:val="00F53C1E"/>
    <w:rsid w:val="00F53C5A"/>
    <w:rsid w:val="00F53D57"/>
    <w:rsid w:val="00F543BF"/>
    <w:rsid w:val="00F546E9"/>
    <w:rsid w:val="00F54883"/>
    <w:rsid w:val="00F54997"/>
    <w:rsid w:val="00F55041"/>
    <w:rsid w:val="00F5524E"/>
    <w:rsid w:val="00F55340"/>
    <w:rsid w:val="00F55435"/>
    <w:rsid w:val="00F55A1C"/>
    <w:rsid w:val="00F55EB2"/>
    <w:rsid w:val="00F55EB7"/>
    <w:rsid w:val="00F56189"/>
    <w:rsid w:val="00F562C9"/>
    <w:rsid w:val="00F56458"/>
    <w:rsid w:val="00F56614"/>
    <w:rsid w:val="00F567EB"/>
    <w:rsid w:val="00F56BDE"/>
    <w:rsid w:val="00F56C9A"/>
    <w:rsid w:val="00F56F11"/>
    <w:rsid w:val="00F571B9"/>
    <w:rsid w:val="00F57684"/>
    <w:rsid w:val="00F57B1B"/>
    <w:rsid w:val="00F57F42"/>
    <w:rsid w:val="00F60130"/>
    <w:rsid w:val="00F6013C"/>
    <w:rsid w:val="00F601CB"/>
    <w:rsid w:val="00F60663"/>
    <w:rsid w:val="00F606E3"/>
    <w:rsid w:val="00F606FA"/>
    <w:rsid w:val="00F60CAF"/>
    <w:rsid w:val="00F60EEC"/>
    <w:rsid w:val="00F60EFC"/>
    <w:rsid w:val="00F6105A"/>
    <w:rsid w:val="00F61558"/>
    <w:rsid w:val="00F6171B"/>
    <w:rsid w:val="00F61895"/>
    <w:rsid w:val="00F618A1"/>
    <w:rsid w:val="00F619C5"/>
    <w:rsid w:val="00F61BBC"/>
    <w:rsid w:val="00F61D88"/>
    <w:rsid w:val="00F61DCB"/>
    <w:rsid w:val="00F61E41"/>
    <w:rsid w:val="00F6246C"/>
    <w:rsid w:val="00F629BA"/>
    <w:rsid w:val="00F62C80"/>
    <w:rsid w:val="00F62FDD"/>
    <w:rsid w:val="00F6312D"/>
    <w:rsid w:val="00F6335C"/>
    <w:rsid w:val="00F6381D"/>
    <w:rsid w:val="00F63896"/>
    <w:rsid w:val="00F63A06"/>
    <w:rsid w:val="00F63CE1"/>
    <w:rsid w:val="00F642F4"/>
    <w:rsid w:val="00F644AC"/>
    <w:rsid w:val="00F645C5"/>
    <w:rsid w:val="00F6477F"/>
    <w:rsid w:val="00F647CD"/>
    <w:rsid w:val="00F64866"/>
    <w:rsid w:val="00F64C17"/>
    <w:rsid w:val="00F64CD2"/>
    <w:rsid w:val="00F64F89"/>
    <w:rsid w:val="00F651FA"/>
    <w:rsid w:val="00F657D3"/>
    <w:rsid w:val="00F65828"/>
    <w:rsid w:val="00F658C4"/>
    <w:rsid w:val="00F65A28"/>
    <w:rsid w:val="00F65C3A"/>
    <w:rsid w:val="00F65C81"/>
    <w:rsid w:val="00F65D47"/>
    <w:rsid w:val="00F66070"/>
    <w:rsid w:val="00F66188"/>
    <w:rsid w:val="00F6659C"/>
    <w:rsid w:val="00F666F5"/>
    <w:rsid w:val="00F66C36"/>
    <w:rsid w:val="00F66E6C"/>
    <w:rsid w:val="00F66E94"/>
    <w:rsid w:val="00F6738D"/>
    <w:rsid w:val="00F673E5"/>
    <w:rsid w:val="00F673F0"/>
    <w:rsid w:val="00F6747A"/>
    <w:rsid w:val="00F67A2C"/>
    <w:rsid w:val="00F67AAA"/>
    <w:rsid w:val="00F67AE4"/>
    <w:rsid w:val="00F67C5C"/>
    <w:rsid w:val="00F67F2E"/>
    <w:rsid w:val="00F67FE4"/>
    <w:rsid w:val="00F703A5"/>
    <w:rsid w:val="00F704C9"/>
    <w:rsid w:val="00F704DD"/>
    <w:rsid w:val="00F705B4"/>
    <w:rsid w:val="00F707B7"/>
    <w:rsid w:val="00F708A1"/>
    <w:rsid w:val="00F70913"/>
    <w:rsid w:val="00F70C5A"/>
    <w:rsid w:val="00F70DC9"/>
    <w:rsid w:val="00F70F2A"/>
    <w:rsid w:val="00F711BA"/>
    <w:rsid w:val="00F7146C"/>
    <w:rsid w:val="00F714F7"/>
    <w:rsid w:val="00F71DF2"/>
    <w:rsid w:val="00F71E11"/>
    <w:rsid w:val="00F71E24"/>
    <w:rsid w:val="00F7207C"/>
    <w:rsid w:val="00F72280"/>
    <w:rsid w:val="00F72327"/>
    <w:rsid w:val="00F72543"/>
    <w:rsid w:val="00F72776"/>
    <w:rsid w:val="00F72AB1"/>
    <w:rsid w:val="00F72B2F"/>
    <w:rsid w:val="00F72D99"/>
    <w:rsid w:val="00F7321E"/>
    <w:rsid w:val="00F7329F"/>
    <w:rsid w:val="00F73324"/>
    <w:rsid w:val="00F73398"/>
    <w:rsid w:val="00F73494"/>
    <w:rsid w:val="00F739B9"/>
    <w:rsid w:val="00F73A71"/>
    <w:rsid w:val="00F73CA6"/>
    <w:rsid w:val="00F74134"/>
    <w:rsid w:val="00F74276"/>
    <w:rsid w:val="00F7434D"/>
    <w:rsid w:val="00F7460B"/>
    <w:rsid w:val="00F746D3"/>
    <w:rsid w:val="00F74A31"/>
    <w:rsid w:val="00F74CE8"/>
    <w:rsid w:val="00F74E70"/>
    <w:rsid w:val="00F74EE3"/>
    <w:rsid w:val="00F7506D"/>
    <w:rsid w:val="00F750EA"/>
    <w:rsid w:val="00F752F3"/>
    <w:rsid w:val="00F7542A"/>
    <w:rsid w:val="00F754A1"/>
    <w:rsid w:val="00F75918"/>
    <w:rsid w:val="00F7596F"/>
    <w:rsid w:val="00F7598B"/>
    <w:rsid w:val="00F759F5"/>
    <w:rsid w:val="00F75C60"/>
    <w:rsid w:val="00F75E28"/>
    <w:rsid w:val="00F76143"/>
    <w:rsid w:val="00F76485"/>
    <w:rsid w:val="00F765AC"/>
    <w:rsid w:val="00F76778"/>
    <w:rsid w:val="00F7678D"/>
    <w:rsid w:val="00F76A00"/>
    <w:rsid w:val="00F76C2F"/>
    <w:rsid w:val="00F7702F"/>
    <w:rsid w:val="00F772F7"/>
    <w:rsid w:val="00F773B7"/>
    <w:rsid w:val="00F77567"/>
    <w:rsid w:val="00F77607"/>
    <w:rsid w:val="00F776C6"/>
    <w:rsid w:val="00F77783"/>
    <w:rsid w:val="00F777D1"/>
    <w:rsid w:val="00F77D4A"/>
    <w:rsid w:val="00F77DE6"/>
    <w:rsid w:val="00F80073"/>
    <w:rsid w:val="00F806ED"/>
    <w:rsid w:val="00F80A50"/>
    <w:rsid w:val="00F80B0B"/>
    <w:rsid w:val="00F80C26"/>
    <w:rsid w:val="00F80CB4"/>
    <w:rsid w:val="00F80D13"/>
    <w:rsid w:val="00F80E42"/>
    <w:rsid w:val="00F80F6E"/>
    <w:rsid w:val="00F814E5"/>
    <w:rsid w:val="00F8162B"/>
    <w:rsid w:val="00F817B7"/>
    <w:rsid w:val="00F81ED1"/>
    <w:rsid w:val="00F81F02"/>
    <w:rsid w:val="00F81F07"/>
    <w:rsid w:val="00F8264C"/>
    <w:rsid w:val="00F82712"/>
    <w:rsid w:val="00F82B44"/>
    <w:rsid w:val="00F82EAE"/>
    <w:rsid w:val="00F82EFE"/>
    <w:rsid w:val="00F82F68"/>
    <w:rsid w:val="00F83377"/>
    <w:rsid w:val="00F83720"/>
    <w:rsid w:val="00F8379F"/>
    <w:rsid w:val="00F838B3"/>
    <w:rsid w:val="00F839F1"/>
    <w:rsid w:val="00F83A9F"/>
    <w:rsid w:val="00F83C82"/>
    <w:rsid w:val="00F83C92"/>
    <w:rsid w:val="00F83DDC"/>
    <w:rsid w:val="00F83EAB"/>
    <w:rsid w:val="00F83FDE"/>
    <w:rsid w:val="00F840F0"/>
    <w:rsid w:val="00F84325"/>
    <w:rsid w:val="00F8464A"/>
    <w:rsid w:val="00F8472D"/>
    <w:rsid w:val="00F84880"/>
    <w:rsid w:val="00F84A98"/>
    <w:rsid w:val="00F84CCB"/>
    <w:rsid w:val="00F84E8F"/>
    <w:rsid w:val="00F84FAF"/>
    <w:rsid w:val="00F85154"/>
    <w:rsid w:val="00F853C5"/>
    <w:rsid w:val="00F853DD"/>
    <w:rsid w:val="00F854AD"/>
    <w:rsid w:val="00F85944"/>
    <w:rsid w:val="00F85B82"/>
    <w:rsid w:val="00F85C96"/>
    <w:rsid w:val="00F85CCC"/>
    <w:rsid w:val="00F85E99"/>
    <w:rsid w:val="00F86086"/>
    <w:rsid w:val="00F863A4"/>
    <w:rsid w:val="00F8672F"/>
    <w:rsid w:val="00F86810"/>
    <w:rsid w:val="00F868A1"/>
    <w:rsid w:val="00F86A37"/>
    <w:rsid w:val="00F86D0C"/>
    <w:rsid w:val="00F86D4F"/>
    <w:rsid w:val="00F86E55"/>
    <w:rsid w:val="00F875BC"/>
    <w:rsid w:val="00F87618"/>
    <w:rsid w:val="00F877D2"/>
    <w:rsid w:val="00F87885"/>
    <w:rsid w:val="00F87CA9"/>
    <w:rsid w:val="00F87DC5"/>
    <w:rsid w:val="00F87DFD"/>
    <w:rsid w:val="00F90273"/>
    <w:rsid w:val="00F903AC"/>
    <w:rsid w:val="00F903BA"/>
    <w:rsid w:val="00F905D0"/>
    <w:rsid w:val="00F90703"/>
    <w:rsid w:val="00F90722"/>
    <w:rsid w:val="00F90818"/>
    <w:rsid w:val="00F90C77"/>
    <w:rsid w:val="00F90E11"/>
    <w:rsid w:val="00F90F74"/>
    <w:rsid w:val="00F91230"/>
    <w:rsid w:val="00F9151A"/>
    <w:rsid w:val="00F9186C"/>
    <w:rsid w:val="00F91E4B"/>
    <w:rsid w:val="00F92185"/>
    <w:rsid w:val="00F9244A"/>
    <w:rsid w:val="00F924F7"/>
    <w:rsid w:val="00F92801"/>
    <w:rsid w:val="00F928FD"/>
    <w:rsid w:val="00F9292A"/>
    <w:rsid w:val="00F9296B"/>
    <w:rsid w:val="00F92C45"/>
    <w:rsid w:val="00F92CA4"/>
    <w:rsid w:val="00F92CA9"/>
    <w:rsid w:val="00F92D0E"/>
    <w:rsid w:val="00F92EBF"/>
    <w:rsid w:val="00F933EB"/>
    <w:rsid w:val="00F93468"/>
    <w:rsid w:val="00F9361E"/>
    <w:rsid w:val="00F937C1"/>
    <w:rsid w:val="00F93A82"/>
    <w:rsid w:val="00F93CBE"/>
    <w:rsid w:val="00F93E7B"/>
    <w:rsid w:val="00F94258"/>
    <w:rsid w:val="00F94415"/>
    <w:rsid w:val="00F949D7"/>
    <w:rsid w:val="00F94C29"/>
    <w:rsid w:val="00F94CA9"/>
    <w:rsid w:val="00F94E11"/>
    <w:rsid w:val="00F950F7"/>
    <w:rsid w:val="00F951E9"/>
    <w:rsid w:val="00F9525D"/>
    <w:rsid w:val="00F95446"/>
    <w:rsid w:val="00F956CB"/>
    <w:rsid w:val="00F956FE"/>
    <w:rsid w:val="00F95843"/>
    <w:rsid w:val="00F95864"/>
    <w:rsid w:val="00F958CF"/>
    <w:rsid w:val="00F95A2B"/>
    <w:rsid w:val="00F95C74"/>
    <w:rsid w:val="00F95F87"/>
    <w:rsid w:val="00F96365"/>
    <w:rsid w:val="00F968B4"/>
    <w:rsid w:val="00F96A74"/>
    <w:rsid w:val="00F96ACE"/>
    <w:rsid w:val="00F96C25"/>
    <w:rsid w:val="00F96EC4"/>
    <w:rsid w:val="00F96F45"/>
    <w:rsid w:val="00F971A9"/>
    <w:rsid w:val="00F97363"/>
    <w:rsid w:val="00F97680"/>
    <w:rsid w:val="00F97D98"/>
    <w:rsid w:val="00F97F35"/>
    <w:rsid w:val="00F97F3C"/>
    <w:rsid w:val="00FA00E3"/>
    <w:rsid w:val="00FA04A7"/>
    <w:rsid w:val="00FA0636"/>
    <w:rsid w:val="00FA0B86"/>
    <w:rsid w:val="00FA0CEB"/>
    <w:rsid w:val="00FA0D3B"/>
    <w:rsid w:val="00FA0F91"/>
    <w:rsid w:val="00FA0FE0"/>
    <w:rsid w:val="00FA1084"/>
    <w:rsid w:val="00FA11D2"/>
    <w:rsid w:val="00FA12A2"/>
    <w:rsid w:val="00FA157C"/>
    <w:rsid w:val="00FA15D5"/>
    <w:rsid w:val="00FA18CD"/>
    <w:rsid w:val="00FA1972"/>
    <w:rsid w:val="00FA1B46"/>
    <w:rsid w:val="00FA1CCE"/>
    <w:rsid w:val="00FA1D5A"/>
    <w:rsid w:val="00FA2000"/>
    <w:rsid w:val="00FA208E"/>
    <w:rsid w:val="00FA217E"/>
    <w:rsid w:val="00FA2340"/>
    <w:rsid w:val="00FA24D3"/>
    <w:rsid w:val="00FA2862"/>
    <w:rsid w:val="00FA2E23"/>
    <w:rsid w:val="00FA2F0A"/>
    <w:rsid w:val="00FA316A"/>
    <w:rsid w:val="00FA32E1"/>
    <w:rsid w:val="00FA3368"/>
    <w:rsid w:val="00FA33B8"/>
    <w:rsid w:val="00FA34F4"/>
    <w:rsid w:val="00FA3618"/>
    <w:rsid w:val="00FA3633"/>
    <w:rsid w:val="00FA366C"/>
    <w:rsid w:val="00FA3821"/>
    <w:rsid w:val="00FA3F12"/>
    <w:rsid w:val="00FA42DC"/>
    <w:rsid w:val="00FA448F"/>
    <w:rsid w:val="00FA44B5"/>
    <w:rsid w:val="00FA4EF5"/>
    <w:rsid w:val="00FA51AB"/>
    <w:rsid w:val="00FA566C"/>
    <w:rsid w:val="00FA5894"/>
    <w:rsid w:val="00FA5ADA"/>
    <w:rsid w:val="00FA5C97"/>
    <w:rsid w:val="00FA5D3D"/>
    <w:rsid w:val="00FA5D99"/>
    <w:rsid w:val="00FA601F"/>
    <w:rsid w:val="00FA61A9"/>
    <w:rsid w:val="00FA639D"/>
    <w:rsid w:val="00FA63BE"/>
    <w:rsid w:val="00FA6717"/>
    <w:rsid w:val="00FA689E"/>
    <w:rsid w:val="00FA6A95"/>
    <w:rsid w:val="00FA6B8F"/>
    <w:rsid w:val="00FA6C2A"/>
    <w:rsid w:val="00FA6CC8"/>
    <w:rsid w:val="00FA717C"/>
    <w:rsid w:val="00FA71D2"/>
    <w:rsid w:val="00FA722A"/>
    <w:rsid w:val="00FA74CE"/>
    <w:rsid w:val="00FA7F9F"/>
    <w:rsid w:val="00FA7FCB"/>
    <w:rsid w:val="00FB01C8"/>
    <w:rsid w:val="00FB0207"/>
    <w:rsid w:val="00FB04CA"/>
    <w:rsid w:val="00FB06B1"/>
    <w:rsid w:val="00FB072B"/>
    <w:rsid w:val="00FB075A"/>
    <w:rsid w:val="00FB07D5"/>
    <w:rsid w:val="00FB09C5"/>
    <w:rsid w:val="00FB0A42"/>
    <w:rsid w:val="00FB1334"/>
    <w:rsid w:val="00FB1596"/>
    <w:rsid w:val="00FB1598"/>
    <w:rsid w:val="00FB1844"/>
    <w:rsid w:val="00FB1C87"/>
    <w:rsid w:val="00FB1EA9"/>
    <w:rsid w:val="00FB2387"/>
    <w:rsid w:val="00FB2394"/>
    <w:rsid w:val="00FB2449"/>
    <w:rsid w:val="00FB2538"/>
    <w:rsid w:val="00FB253A"/>
    <w:rsid w:val="00FB27CC"/>
    <w:rsid w:val="00FB2C95"/>
    <w:rsid w:val="00FB2D47"/>
    <w:rsid w:val="00FB2D56"/>
    <w:rsid w:val="00FB2FA2"/>
    <w:rsid w:val="00FB316B"/>
    <w:rsid w:val="00FB335B"/>
    <w:rsid w:val="00FB36A9"/>
    <w:rsid w:val="00FB3747"/>
    <w:rsid w:val="00FB3859"/>
    <w:rsid w:val="00FB388C"/>
    <w:rsid w:val="00FB391A"/>
    <w:rsid w:val="00FB3C9F"/>
    <w:rsid w:val="00FB3E2C"/>
    <w:rsid w:val="00FB3F39"/>
    <w:rsid w:val="00FB3F75"/>
    <w:rsid w:val="00FB3FBE"/>
    <w:rsid w:val="00FB420A"/>
    <w:rsid w:val="00FB423D"/>
    <w:rsid w:val="00FB4609"/>
    <w:rsid w:val="00FB4905"/>
    <w:rsid w:val="00FB4952"/>
    <w:rsid w:val="00FB4C2C"/>
    <w:rsid w:val="00FB4DB0"/>
    <w:rsid w:val="00FB4F36"/>
    <w:rsid w:val="00FB4F3D"/>
    <w:rsid w:val="00FB5059"/>
    <w:rsid w:val="00FB51F3"/>
    <w:rsid w:val="00FB532F"/>
    <w:rsid w:val="00FB5661"/>
    <w:rsid w:val="00FB5835"/>
    <w:rsid w:val="00FB5A2D"/>
    <w:rsid w:val="00FB5A88"/>
    <w:rsid w:val="00FB5C54"/>
    <w:rsid w:val="00FB6210"/>
    <w:rsid w:val="00FB6437"/>
    <w:rsid w:val="00FB6574"/>
    <w:rsid w:val="00FB66D8"/>
    <w:rsid w:val="00FB683D"/>
    <w:rsid w:val="00FB69D5"/>
    <w:rsid w:val="00FB6DA9"/>
    <w:rsid w:val="00FB70C8"/>
    <w:rsid w:val="00FB70CF"/>
    <w:rsid w:val="00FB712F"/>
    <w:rsid w:val="00FB7152"/>
    <w:rsid w:val="00FB7196"/>
    <w:rsid w:val="00FB7410"/>
    <w:rsid w:val="00FB74BC"/>
    <w:rsid w:val="00FB75F8"/>
    <w:rsid w:val="00FB7E19"/>
    <w:rsid w:val="00FB7E6E"/>
    <w:rsid w:val="00FC0079"/>
    <w:rsid w:val="00FC046C"/>
    <w:rsid w:val="00FC0545"/>
    <w:rsid w:val="00FC06A6"/>
    <w:rsid w:val="00FC06F0"/>
    <w:rsid w:val="00FC08B0"/>
    <w:rsid w:val="00FC0959"/>
    <w:rsid w:val="00FC0A03"/>
    <w:rsid w:val="00FC0A8B"/>
    <w:rsid w:val="00FC0AE7"/>
    <w:rsid w:val="00FC0B29"/>
    <w:rsid w:val="00FC0B81"/>
    <w:rsid w:val="00FC0C34"/>
    <w:rsid w:val="00FC0DF2"/>
    <w:rsid w:val="00FC0FC6"/>
    <w:rsid w:val="00FC1002"/>
    <w:rsid w:val="00FC1201"/>
    <w:rsid w:val="00FC1591"/>
    <w:rsid w:val="00FC17C7"/>
    <w:rsid w:val="00FC18E1"/>
    <w:rsid w:val="00FC19B4"/>
    <w:rsid w:val="00FC1A14"/>
    <w:rsid w:val="00FC1C04"/>
    <w:rsid w:val="00FC1DFA"/>
    <w:rsid w:val="00FC1E09"/>
    <w:rsid w:val="00FC216C"/>
    <w:rsid w:val="00FC2214"/>
    <w:rsid w:val="00FC25E1"/>
    <w:rsid w:val="00FC2682"/>
    <w:rsid w:val="00FC26AF"/>
    <w:rsid w:val="00FC279D"/>
    <w:rsid w:val="00FC2A25"/>
    <w:rsid w:val="00FC2A45"/>
    <w:rsid w:val="00FC2C79"/>
    <w:rsid w:val="00FC2DF1"/>
    <w:rsid w:val="00FC321F"/>
    <w:rsid w:val="00FC3300"/>
    <w:rsid w:val="00FC33E3"/>
    <w:rsid w:val="00FC346B"/>
    <w:rsid w:val="00FC3761"/>
    <w:rsid w:val="00FC3BAA"/>
    <w:rsid w:val="00FC40B9"/>
    <w:rsid w:val="00FC40F5"/>
    <w:rsid w:val="00FC4193"/>
    <w:rsid w:val="00FC41E6"/>
    <w:rsid w:val="00FC4734"/>
    <w:rsid w:val="00FC474B"/>
    <w:rsid w:val="00FC4974"/>
    <w:rsid w:val="00FC4BFA"/>
    <w:rsid w:val="00FC538B"/>
    <w:rsid w:val="00FC550C"/>
    <w:rsid w:val="00FC5944"/>
    <w:rsid w:val="00FC5C50"/>
    <w:rsid w:val="00FC5C9E"/>
    <w:rsid w:val="00FC5EFE"/>
    <w:rsid w:val="00FC611B"/>
    <w:rsid w:val="00FC6253"/>
    <w:rsid w:val="00FC63F6"/>
    <w:rsid w:val="00FC656E"/>
    <w:rsid w:val="00FC67B2"/>
    <w:rsid w:val="00FC6BE6"/>
    <w:rsid w:val="00FC6CF8"/>
    <w:rsid w:val="00FC6D4C"/>
    <w:rsid w:val="00FC6D92"/>
    <w:rsid w:val="00FC6DFB"/>
    <w:rsid w:val="00FC6E4B"/>
    <w:rsid w:val="00FC6ECC"/>
    <w:rsid w:val="00FC7105"/>
    <w:rsid w:val="00FC735E"/>
    <w:rsid w:val="00FC7465"/>
    <w:rsid w:val="00FC74CB"/>
    <w:rsid w:val="00FC74EB"/>
    <w:rsid w:val="00FC7606"/>
    <w:rsid w:val="00FC771E"/>
    <w:rsid w:val="00FC7A0F"/>
    <w:rsid w:val="00FC7F05"/>
    <w:rsid w:val="00FD00F7"/>
    <w:rsid w:val="00FD02C0"/>
    <w:rsid w:val="00FD06AD"/>
    <w:rsid w:val="00FD06DA"/>
    <w:rsid w:val="00FD06F4"/>
    <w:rsid w:val="00FD075C"/>
    <w:rsid w:val="00FD079A"/>
    <w:rsid w:val="00FD07D3"/>
    <w:rsid w:val="00FD0996"/>
    <w:rsid w:val="00FD0CD4"/>
    <w:rsid w:val="00FD0CF6"/>
    <w:rsid w:val="00FD0DC3"/>
    <w:rsid w:val="00FD0F55"/>
    <w:rsid w:val="00FD10A2"/>
    <w:rsid w:val="00FD11EE"/>
    <w:rsid w:val="00FD1432"/>
    <w:rsid w:val="00FD1475"/>
    <w:rsid w:val="00FD1790"/>
    <w:rsid w:val="00FD194F"/>
    <w:rsid w:val="00FD1999"/>
    <w:rsid w:val="00FD1BF2"/>
    <w:rsid w:val="00FD1C36"/>
    <w:rsid w:val="00FD1D93"/>
    <w:rsid w:val="00FD2397"/>
    <w:rsid w:val="00FD2AA1"/>
    <w:rsid w:val="00FD2CD6"/>
    <w:rsid w:val="00FD2D15"/>
    <w:rsid w:val="00FD2D36"/>
    <w:rsid w:val="00FD2E96"/>
    <w:rsid w:val="00FD2FCD"/>
    <w:rsid w:val="00FD324D"/>
    <w:rsid w:val="00FD336D"/>
    <w:rsid w:val="00FD3456"/>
    <w:rsid w:val="00FD3920"/>
    <w:rsid w:val="00FD39F5"/>
    <w:rsid w:val="00FD3A71"/>
    <w:rsid w:val="00FD3E16"/>
    <w:rsid w:val="00FD3E6D"/>
    <w:rsid w:val="00FD3F27"/>
    <w:rsid w:val="00FD4236"/>
    <w:rsid w:val="00FD447C"/>
    <w:rsid w:val="00FD450D"/>
    <w:rsid w:val="00FD4580"/>
    <w:rsid w:val="00FD46CB"/>
    <w:rsid w:val="00FD4849"/>
    <w:rsid w:val="00FD493A"/>
    <w:rsid w:val="00FD4BDD"/>
    <w:rsid w:val="00FD4DC8"/>
    <w:rsid w:val="00FD50B8"/>
    <w:rsid w:val="00FD5139"/>
    <w:rsid w:val="00FD53B8"/>
    <w:rsid w:val="00FD57EA"/>
    <w:rsid w:val="00FD5871"/>
    <w:rsid w:val="00FD5924"/>
    <w:rsid w:val="00FD59F5"/>
    <w:rsid w:val="00FD5ADB"/>
    <w:rsid w:val="00FD5C84"/>
    <w:rsid w:val="00FD5E2E"/>
    <w:rsid w:val="00FD5FC3"/>
    <w:rsid w:val="00FD629D"/>
    <w:rsid w:val="00FD62E8"/>
    <w:rsid w:val="00FD65D7"/>
    <w:rsid w:val="00FD6666"/>
    <w:rsid w:val="00FD66D0"/>
    <w:rsid w:val="00FD6727"/>
    <w:rsid w:val="00FD698A"/>
    <w:rsid w:val="00FD6F75"/>
    <w:rsid w:val="00FD72B4"/>
    <w:rsid w:val="00FD72B7"/>
    <w:rsid w:val="00FD77C0"/>
    <w:rsid w:val="00FD7807"/>
    <w:rsid w:val="00FD7832"/>
    <w:rsid w:val="00FD7A13"/>
    <w:rsid w:val="00FD7B32"/>
    <w:rsid w:val="00FD7D16"/>
    <w:rsid w:val="00FD7D19"/>
    <w:rsid w:val="00FD7D98"/>
    <w:rsid w:val="00FD7E50"/>
    <w:rsid w:val="00FE0013"/>
    <w:rsid w:val="00FE00E6"/>
    <w:rsid w:val="00FE0312"/>
    <w:rsid w:val="00FE03EF"/>
    <w:rsid w:val="00FE0481"/>
    <w:rsid w:val="00FE0564"/>
    <w:rsid w:val="00FE05D4"/>
    <w:rsid w:val="00FE05DA"/>
    <w:rsid w:val="00FE0991"/>
    <w:rsid w:val="00FE09C4"/>
    <w:rsid w:val="00FE09FA"/>
    <w:rsid w:val="00FE0BCB"/>
    <w:rsid w:val="00FE0E06"/>
    <w:rsid w:val="00FE0F08"/>
    <w:rsid w:val="00FE0FE3"/>
    <w:rsid w:val="00FE104A"/>
    <w:rsid w:val="00FE12FB"/>
    <w:rsid w:val="00FE1911"/>
    <w:rsid w:val="00FE194B"/>
    <w:rsid w:val="00FE1969"/>
    <w:rsid w:val="00FE1A14"/>
    <w:rsid w:val="00FE1AE9"/>
    <w:rsid w:val="00FE1C13"/>
    <w:rsid w:val="00FE1C47"/>
    <w:rsid w:val="00FE1CC4"/>
    <w:rsid w:val="00FE1EB2"/>
    <w:rsid w:val="00FE1F59"/>
    <w:rsid w:val="00FE2223"/>
    <w:rsid w:val="00FE229E"/>
    <w:rsid w:val="00FE240B"/>
    <w:rsid w:val="00FE2415"/>
    <w:rsid w:val="00FE250F"/>
    <w:rsid w:val="00FE27BA"/>
    <w:rsid w:val="00FE2FDA"/>
    <w:rsid w:val="00FE310D"/>
    <w:rsid w:val="00FE3391"/>
    <w:rsid w:val="00FE3459"/>
    <w:rsid w:val="00FE36B1"/>
    <w:rsid w:val="00FE3903"/>
    <w:rsid w:val="00FE391F"/>
    <w:rsid w:val="00FE39EB"/>
    <w:rsid w:val="00FE3B30"/>
    <w:rsid w:val="00FE3C75"/>
    <w:rsid w:val="00FE3D65"/>
    <w:rsid w:val="00FE3EB8"/>
    <w:rsid w:val="00FE3F56"/>
    <w:rsid w:val="00FE4103"/>
    <w:rsid w:val="00FE42BC"/>
    <w:rsid w:val="00FE44A5"/>
    <w:rsid w:val="00FE4611"/>
    <w:rsid w:val="00FE4A3A"/>
    <w:rsid w:val="00FE4AF1"/>
    <w:rsid w:val="00FE50E6"/>
    <w:rsid w:val="00FE52DA"/>
    <w:rsid w:val="00FE5465"/>
    <w:rsid w:val="00FE585E"/>
    <w:rsid w:val="00FE59A7"/>
    <w:rsid w:val="00FE5A62"/>
    <w:rsid w:val="00FE5A91"/>
    <w:rsid w:val="00FE5AC4"/>
    <w:rsid w:val="00FE5BEB"/>
    <w:rsid w:val="00FE5FAD"/>
    <w:rsid w:val="00FE60C3"/>
    <w:rsid w:val="00FE613F"/>
    <w:rsid w:val="00FE6233"/>
    <w:rsid w:val="00FE6346"/>
    <w:rsid w:val="00FE63A1"/>
    <w:rsid w:val="00FE6651"/>
    <w:rsid w:val="00FE6963"/>
    <w:rsid w:val="00FE69D6"/>
    <w:rsid w:val="00FE6A79"/>
    <w:rsid w:val="00FE7382"/>
    <w:rsid w:val="00FE7578"/>
    <w:rsid w:val="00FE7A2B"/>
    <w:rsid w:val="00FE7B1E"/>
    <w:rsid w:val="00FE7CF6"/>
    <w:rsid w:val="00FE7DC3"/>
    <w:rsid w:val="00FF0359"/>
    <w:rsid w:val="00FF0379"/>
    <w:rsid w:val="00FF04B8"/>
    <w:rsid w:val="00FF0783"/>
    <w:rsid w:val="00FF07EF"/>
    <w:rsid w:val="00FF0958"/>
    <w:rsid w:val="00FF0AF0"/>
    <w:rsid w:val="00FF0C6C"/>
    <w:rsid w:val="00FF0CD6"/>
    <w:rsid w:val="00FF0D13"/>
    <w:rsid w:val="00FF0EB5"/>
    <w:rsid w:val="00FF0EC4"/>
    <w:rsid w:val="00FF0EFD"/>
    <w:rsid w:val="00FF0F6A"/>
    <w:rsid w:val="00FF1052"/>
    <w:rsid w:val="00FF1172"/>
    <w:rsid w:val="00FF118B"/>
    <w:rsid w:val="00FF11F4"/>
    <w:rsid w:val="00FF19FC"/>
    <w:rsid w:val="00FF1A80"/>
    <w:rsid w:val="00FF1F34"/>
    <w:rsid w:val="00FF1FE3"/>
    <w:rsid w:val="00FF20D4"/>
    <w:rsid w:val="00FF21EC"/>
    <w:rsid w:val="00FF247F"/>
    <w:rsid w:val="00FF26C7"/>
    <w:rsid w:val="00FF277B"/>
    <w:rsid w:val="00FF280F"/>
    <w:rsid w:val="00FF2844"/>
    <w:rsid w:val="00FF2B70"/>
    <w:rsid w:val="00FF2E54"/>
    <w:rsid w:val="00FF2F3F"/>
    <w:rsid w:val="00FF2FD1"/>
    <w:rsid w:val="00FF3145"/>
    <w:rsid w:val="00FF3322"/>
    <w:rsid w:val="00FF3326"/>
    <w:rsid w:val="00FF354D"/>
    <w:rsid w:val="00FF3600"/>
    <w:rsid w:val="00FF3945"/>
    <w:rsid w:val="00FF3965"/>
    <w:rsid w:val="00FF3AA3"/>
    <w:rsid w:val="00FF3D4C"/>
    <w:rsid w:val="00FF3DCA"/>
    <w:rsid w:val="00FF3EF9"/>
    <w:rsid w:val="00FF4467"/>
    <w:rsid w:val="00FF4684"/>
    <w:rsid w:val="00FF47EC"/>
    <w:rsid w:val="00FF481B"/>
    <w:rsid w:val="00FF4B5F"/>
    <w:rsid w:val="00FF4C62"/>
    <w:rsid w:val="00FF4DAE"/>
    <w:rsid w:val="00FF4E23"/>
    <w:rsid w:val="00FF54C7"/>
    <w:rsid w:val="00FF54C8"/>
    <w:rsid w:val="00FF5744"/>
    <w:rsid w:val="00FF579C"/>
    <w:rsid w:val="00FF58D8"/>
    <w:rsid w:val="00FF58FD"/>
    <w:rsid w:val="00FF5A5F"/>
    <w:rsid w:val="00FF5AF7"/>
    <w:rsid w:val="00FF5CEE"/>
    <w:rsid w:val="00FF5DAE"/>
    <w:rsid w:val="00FF6130"/>
    <w:rsid w:val="00FF6402"/>
    <w:rsid w:val="00FF646F"/>
    <w:rsid w:val="00FF66C8"/>
    <w:rsid w:val="00FF6AA6"/>
    <w:rsid w:val="00FF6B70"/>
    <w:rsid w:val="00FF6F17"/>
    <w:rsid w:val="00FF7891"/>
    <w:rsid w:val="00FF7893"/>
    <w:rsid w:val="00FF79FA"/>
    <w:rsid w:val="00FF7FB6"/>
    <w:rsid w:val="00FF7FE2"/>
    <w:rsid w:val="3691E7D2"/>
    <w:rsid w:val="4F834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4252CC"/>
  <w14:defaultImageDpi w14:val="32767"/>
  <w15:docId w15:val="{A543B0AF-CFCA-482F-99CF-B18861FF0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ind w:right="58"/>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uiPriority="61"/>
    <w:lsdException w:name="Light Grid Accent 5"/>
    <w:lsdException w:name="Medium Shading 1 Accent 5" w:uiPriority="63"/>
    <w:lsdException w:name="Medium Shading 2 Accent 5"/>
    <w:lsdException w:name="Medium List 1 Accent 5"/>
    <w:lsdException w:name="Medium List 2 Accent 5"/>
    <w:lsdException w:name="Medium Grid 1 Accent 5"/>
    <w:lsdException w:name="Medium Grid 2 Accent 5"/>
    <w:lsdException w:name="Medium Grid 3 Accent 5" w:uiPriority="69"/>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D3B63"/>
    <w:pPr>
      <w:widowControl w:val="0"/>
      <w:spacing w:line="274" w:lineRule="auto"/>
    </w:pPr>
    <w:rPr>
      <w:rFonts w:ascii="Times New Roman" w:hAnsi="Times New Roman"/>
    </w:rPr>
  </w:style>
  <w:style w:type="paragraph" w:styleId="Heading1">
    <w:name w:val="heading 1"/>
    <w:basedOn w:val="ListParagraph"/>
    <w:next w:val="Normal"/>
    <w:link w:val="Heading1Char"/>
    <w:qFormat/>
    <w:rsid w:val="00C2242A"/>
    <w:pPr>
      <w:widowControl/>
      <w:numPr>
        <w:numId w:val="2"/>
      </w:numPr>
      <w:spacing w:after="360" w:line="240" w:lineRule="auto"/>
      <w:contextualSpacing w:val="0"/>
      <w:outlineLvl w:val="0"/>
    </w:pPr>
    <w:rPr>
      <w:rFonts w:cs="Times New Roman"/>
      <w:b/>
      <w:sz w:val="32"/>
      <w:szCs w:val="24"/>
    </w:rPr>
  </w:style>
  <w:style w:type="paragraph" w:styleId="Heading2">
    <w:name w:val="heading 2"/>
    <w:basedOn w:val="Heading1"/>
    <w:next w:val="Heading"/>
    <w:link w:val="Heading2Char"/>
    <w:unhideWhenUsed/>
    <w:qFormat/>
    <w:rsid w:val="00C2242A"/>
    <w:pPr>
      <w:numPr>
        <w:ilvl w:val="1"/>
      </w:numPr>
      <w:spacing w:after="160"/>
      <w:ind w:right="0"/>
      <w:outlineLvl w:val="1"/>
    </w:pPr>
    <w:rPr>
      <w:sz w:val="26"/>
    </w:rPr>
  </w:style>
  <w:style w:type="paragraph" w:styleId="Heading3">
    <w:name w:val="heading 3"/>
    <w:basedOn w:val="Heading4"/>
    <w:next w:val="Normal"/>
    <w:link w:val="Heading3Char"/>
    <w:unhideWhenUsed/>
    <w:qFormat/>
    <w:rsid w:val="00BD3D6F"/>
    <w:pPr>
      <w:numPr>
        <w:ilvl w:val="0"/>
        <w:numId w:val="0"/>
      </w:numPr>
      <w:spacing w:after="120"/>
      <w:ind w:left="720" w:hanging="720"/>
      <w:outlineLvl w:val="2"/>
    </w:pPr>
    <w:rPr>
      <w:i w:val="0"/>
      <w:color w:val="auto"/>
      <w:sz w:val="24"/>
    </w:rPr>
  </w:style>
  <w:style w:type="paragraph" w:styleId="Heading4">
    <w:name w:val="heading 4"/>
    <w:basedOn w:val="Heading5"/>
    <w:next w:val="Normal"/>
    <w:link w:val="Heading4Char"/>
    <w:unhideWhenUsed/>
    <w:qFormat/>
    <w:rsid w:val="00161951"/>
    <w:pPr>
      <w:numPr>
        <w:ilvl w:val="3"/>
      </w:numPr>
      <w:spacing w:after="80"/>
      <w:outlineLvl w:val="3"/>
    </w:pPr>
    <w:rPr>
      <w:color w:val="31849B" w:themeColor="accent5" w:themeShade="BF"/>
    </w:rPr>
  </w:style>
  <w:style w:type="paragraph" w:styleId="Heading5">
    <w:name w:val="heading 5"/>
    <w:basedOn w:val="Normal"/>
    <w:next w:val="Normal"/>
    <w:link w:val="Heading5Char"/>
    <w:unhideWhenUsed/>
    <w:qFormat/>
    <w:rsid w:val="00645F79"/>
    <w:pPr>
      <w:keepNext/>
      <w:keepLines/>
      <w:numPr>
        <w:ilvl w:val="4"/>
        <w:numId w:val="2"/>
      </w:numPr>
      <w:spacing w:after="40" w:line="240" w:lineRule="auto"/>
      <w:outlineLvl w:val="4"/>
    </w:pPr>
    <w:rPr>
      <w:rFonts w:eastAsiaTheme="majorEastAsia" w:cstheme="majorBidi"/>
      <w:b/>
      <w:i/>
      <w:color w:val="0070C0"/>
    </w:rPr>
  </w:style>
  <w:style w:type="paragraph" w:styleId="Heading6">
    <w:name w:val="heading 6"/>
    <w:basedOn w:val="Heading5"/>
    <w:next w:val="Heading1"/>
    <w:link w:val="Heading6Char"/>
    <w:unhideWhenUsed/>
    <w:qFormat/>
    <w:rsid w:val="00550B6D"/>
    <w:pPr>
      <w:numPr>
        <w:ilvl w:val="5"/>
      </w:numPr>
      <w:outlineLvl w:val="5"/>
    </w:pPr>
  </w:style>
  <w:style w:type="paragraph" w:styleId="Heading7">
    <w:name w:val="heading 7"/>
    <w:basedOn w:val="Normal"/>
    <w:next w:val="Normal"/>
    <w:link w:val="Heading7Char"/>
    <w:uiPriority w:val="9"/>
    <w:semiHidden/>
    <w:unhideWhenUsed/>
    <w:qFormat/>
    <w:rsid w:val="00161951"/>
    <w:pPr>
      <w:keepNext/>
      <w:keepLines/>
      <w:numPr>
        <w:ilvl w:val="6"/>
        <w:numId w:val="2"/>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161951"/>
    <w:pPr>
      <w:keepNext/>
      <w:keepLines/>
      <w:numPr>
        <w:ilvl w:val="7"/>
        <w:numId w:val="2"/>
      </w:numPr>
      <w:spacing w:before="200"/>
      <w:outlineLvl w:val="7"/>
    </w:pPr>
    <w:rPr>
      <w:rFonts w:eastAsiaTheme="majorEastAsia"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61951"/>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2242A"/>
    <w:rPr>
      <w:rFonts w:ascii="Times New Roman" w:hAnsi="Times New Roman" w:cs="Times New Roman"/>
      <w:b/>
      <w:sz w:val="32"/>
      <w:szCs w:val="24"/>
    </w:rPr>
  </w:style>
  <w:style w:type="character" w:customStyle="1" w:styleId="Heading2Char">
    <w:name w:val="Heading 2 Char"/>
    <w:basedOn w:val="DefaultParagraphFont"/>
    <w:link w:val="Heading2"/>
    <w:uiPriority w:val="9"/>
    <w:rsid w:val="00C2242A"/>
    <w:rPr>
      <w:rFonts w:ascii="Times New Roman" w:hAnsi="Times New Roman" w:cs="Times New Roman"/>
      <w:b/>
      <w:sz w:val="26"/>
      <w:szCs w:val="24"/>
    </w:rPr>
  </w:style>
  <w:style w:type="character" w:customStyle="1" w:styleId="Heading3Char">
    <w:name w:val="Heading 3 Char"/>
    <w:basedOn w:val="DefaultParagraphFont"/>
    <w:link w:val="Heading3"/>
    <w:rsid w:val="00BD3D6F"/>
    <w:rPr>
      <w:rFonts w:ascii="Times New Roman" w:eastAsiaTheme="majorEastAsia" w:hAnsi="Times New Roman" w:cstheme="majorBidi"/>
      <w:b/>
      <w:sz w:val="24"/>
    </w:rPr>
  </w:style>
  <w:style w:type="character" w:customStyle="1" w:styleId="Heading4Char">
    <w:name w:val="Heading 4 Char"/>
    <w:basedOn w:val="DefaultParagraphFont"/>
    <w:link w:val="Heading4"/>
    <w:rsid w:val="00161951"/>
    <w:rPr>
      <w:rFonts w:ascii="Times New Roman" w:eastAsiaTheme="majorEastAsia" w:hAnsi="Times New Roman" w:cstheme="majorBidi"/>
      <w:b/>
      <w:i/>
      <w:color w:val="31849B" w:themeColor="accent5" w:themeShade="BF"/>
    </w:rPr>
  </w:style>
  <w:style w:type="character" w:customStyle="1" w:styleId="Heading5Char">
    <w:name w:val="Heading 5 Char"/>
    <w:basedOn w:val="DefaultParagraphFont"/>
    <w:link w:val="Heading5"/>
    <w:rsid w:val="00645F79"/>
    <w:rPr>
      <w:rFonts w:ascii="Times New Roman" w:eastAsiaTheme="majorEastAsia" w:hAnsi="Times New Roman" w:cstheme="majorBidi"/>
      <w:b/>
      <w:i/>
      <w:color w:val="0070C0"/>
    </w:rPr>
  </w:style>
  <w:style w:type="character" w:customStyle="1" w:styleId="Heading6Char">
    <w:name w:val="Heading 6 Char"/>
    <w:basedOn w:val="DefaultParagraphFont"/>
    <w:link w:val="Heading6"/>
    <w:rsid w:val="00550B6D"/>
    <w:rPr>
      <w:rFonts w:ascii="Times New Roman" w:eastAsiaTheme="majorEastAsia" w:hAnsi="Times New Roman" w:cstheme="majorBidi"/>
      <w:b/>
      <w:i/>
      <w:color w:val="0070C0"/>
    </w:rPr>
  </w:style>
  <w:style w:type="character" w:customStyle="1" w:styleId="Heading7Char">
    <w:name w:val="Heading 7 Char"/>
    <w:basedOn w:val="DefaultParagraphFont"/>
    <w:link w:val="Heading7"/>
    <w:uiPriority w:val="9"/>
    <w:semiHidden/>
    <w:rsid w:val="00161951"/>
    <w:rPr>
      <w:rFonts w:ascii="Times New Roman" w:eastAsiaTheme="majorEastAsia" w:hAnsi="Times New Roman" w:cstheme="majorBidi"/>
      <w:i/>
      <w:iCs/>
      <w:color w:val="404040" w:themeColor="text1" w:themeTint="BF"/>
    </w:rPr>
  </w:style>
  <w:style w:type="character" w:customStyle="1" w:styleId="Heading8Char">
    <w:name w:val="Heading 8 Char"/>
    <w:basedOn w:val="DefaultParagraphFont"/>
    <w:link w:val="Heading8"/>
    <w:uiPriority w:val="9"/>
    <w:semiHidden/>
    <w:rsid w:val="00161951"/>
    <w:rPr>
      <w:rFonts w:ascii="Times New Roman" w:eastAsiaTheme="majorEastAsia" w:hAnsi="Times New Roman"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61951"/>
    <w:rPr>
      <w:rFonts w:ascii="Times New Roman" w:eastAsiaTheme="majorEastAsia" w:hAnsi="Times New Roman" w:cstheme="majorBidi"/>
      <w:i/>
      <w:iCs/>
      <w:color w:val="404040" w:themeColor="text1" w:themeTint="BF"/>
      <w:sz w:val="20"/>
      <w:szCs w:val="20"/>
    </w:rPr>
  </w:style>
  <w:style w:type="paragraph" w:styleId="ListParagraph">
    <w:name w:val="List Paragraph"/>
    <w:basedOn w:val="Normal"/>
    <w:link w:val="ListParagraphChar"/>
    <w:uiPriority w:val="34"/>
    <w:qFormat/>
    <w:rsid w:val="00161951"/>
    <w:pPr>
      <w:ind w:left="720"/>
      <w:contextualSpacing/>
    </w:pPr>
  </w:style>
  <w:style w:type="character" w:styleId="CommentReference">
    <w:name w:val="annotation reference"/>
    <w:basedOn w:val="DefaultParagraphFont"/>
    <w:uiPriority w:val="99"/>
    <w:semiHidden/>
    <w:unhideWhenUsed/>
    <w:rsid w:val="00AE27B7"/>
    <w:rPr>
      <w:sz w:val="16"/>
      <w:szCs w:val="16"/>
    </w:rPr>
  </w:style>
  <w:style w:type="paragraph" w:styleId="CommentText">
    <w:name w:val="annotation text"/>
    <w:basedOn w:val="Normal"/>
    <w:link w:val="CommentTextChar"/>
    <w:uiPriority w:val="99"/>
    <w:unhideWhenUsed/>
    <w:rsid w:val="00AE27B7"/>
    <w:rPr>
      <w:sz w:val="20"/>
      <w:szCs w:val="20"/>
    </w:rPr>
  </w:style>
  <w:style w:type="character" w:customStyle="1" w:styleId="CommentTextChar">
    <w:name w:val="Comment Text Char"/>
    <w:basedOn w:val="DefaultParagraphFont"/>
    <w:link w:val="CommentText"/>
    <w:uiPriority w:val="99"/>
    <w:rsid w:val="00AE27B7"/>
    <w:rPr>
      <w:sz w:val="20"/>
      <w:szCs w:val="20"/>
    </w:rPr>
  </w:style>
  <w:style w:type="paragraph" w:styleId="BalloonText">
    <w:name w:val="Balloon Text"/>
    <w:basedOn w:val="Normal"/>
    <w:link w:val="BalloonTextChar"/>
    <w:uiPriority w:val="99"/>
    <w:semiHidden/>
    <w:unhideWhenUsed/>
    <w:rsid w:val="00AE27B7"/>
    <w:rPr>
      <w:rFonts w:ascii="Tahoma" w:hAnsi="Tahoma" w:cs="Tahoma"/>
      <w:sz w:val="16"/>
      <w:szCs w:val="16"/>
    </w:rPr>
  </w:style>
  <w:style w:type="character" w:customStyle="1" w:styleId="BalloonTextChar">
    <w:name w:val="Balloon Text Char"/>
    <w:basedOn w:val="DefaultParagraphFont"/>
    <w:link w:val="BalloonText"/>
    <w:uiPriority w:val="99"/>
    <w:semiHidden/>
    <w:rsid w:val="00AE27B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7C14C1"/>
    <w:rPr>
      <w:b/>
      <w:bCs/>
    </w:rPr>
  </w:style>
  <w:style w:type="character" w:customStyle="1" w:styleId="CommentSubjectChar">
    <w:name w:val="Comment Subject Char"/>
    <w:basedOn w:val="CommentTextChar"/>
    <w:link w:val="CommentSubject"/>
    <w:uiPriority w:val="99"/>
    <w:semiHidden/>
    <w:rsid w:val="007C14C1"/>
    <w:rPr>
      <w:b/>
      <w:bCs/>
      <w:sz w:val="20"/>
      <w:szCs w:val="20"/>
    </w:rPr>
  </w:style>
  <w:style w:type="paragraph" w:styleId="FootnoteText">
    <w:name w:val="footnote text"/>
    <w:basedOn w:val="Normal"/>
    <w:link w:val="FootnoteTextChar"/>
    <w:uiPriority w:val="99"/>
    <w:unhideWhenUsed/>
    <w:qFormat/>
    <w:rsid w:val="00073BFA"/>
    <w:pPr>
      <w:keepNext/>
      <w:keepLines/>
      <w:widowControl/>
      <w:suppressLineNumbers/>
    </w:pPr>
    <w:rPr>
      <w:rFonts w:ascii="Arial" w:hAnsi="Arial"/>
      <w:sz w:val="18"/>
      <w:szCs w:val="20"/>
    </w:rPr>
  </w:style>
  <w:style w:type="character" w:customStyle="1" w:styleId="FootnoteTextChar">
    <w:name w:val="Footnote Text Char"/>
    <w:basedOn w:val="DefaultParagraphFont"/>
    <w:link w:val="FootnoteText"/>
    <w:uiPriority w:val="99"/>
    <w:rsid w:val="00073BFA"/>
    <w:rPr>
      <w:rFonts w:ascii="Arial" w:hAnsi="Arial"/>
      <w:sz w:val="18"/>
      <w:szCs w:val="20"/>
    </w:rPr>
  </w:style>
  <w:style w:type="character" w:styleId="FootnoteReference">
    <w:name w:val="footnote reference"/>
    <w:basedOn w:val="DefaultParagraphFont"/>
    <w:uiPriority w:val="99"/>
    <w:unhideWhenUsed/>
    <w:rsid w:val="006C72B0"/>
    <w:rPr>
      <w:vertAlign w:val="superscript"/>
    </w:rPr>
  </w:style>
  <w:style w:type="paragraph" w:styleId="Caption">
    <w:name w:val="caption"/>
    <w:basedOn w:val="Normal"/>
    <w:next w:val="Normal"/>
    <w:link w:val="CaptionChar"/>
    <w:uiPriority w:val="35"/>
    <w:unhideWhenUsed/>
    <w:qFormat/>
    <w:rsid w:val="00161951"/>
    <w:pPr>
      <w:widowControl/>
    </w:pPr>
    <w:rPr>
      <w:rFonts w:cs="Times New Roman"/>
      <w:b/>
      <w:szCs w:val="20"/>
    </w:rPr>
  </w:style>
  <w:style w:type="character" w:styleId="Hyperlink">
    <w:name w:val="Hyperlink"/>
    <w:basedOn w:val="DefaultParagraphFont"/>
    <w:uiPriority w:val="99"/>
    <w:unhideWhenUsed/>
    <w:rsid w:val="007A5946"/>
    <w:rPr>
      <w:color w:val="0000FF"/>
      <w:u w:val="single"/>
    </w:rPr>
  </w:style>
  <w:style w:type="character" w:customStyle="1" w:styleId="apple-converted-space">
    <w:name w:val="apple-converted-space"/>
    <w:basedOn w:val="DefaultParagraphFont"/>
    <w:rsid w:val="005A3AEB"/>
  </w:style>
  <w:style w:type="paragraph" w:styleId="HTMLPreformatted">
    <w:name w:val="HTML Preformatted"/>
    <w:basedOn w:val="Normal"/>
    <w:link w:val="HTMLPreformattedChar"/>
    <w:uiPriority w:val="99"/>
    <w:unhideWhenUsed/>
    <w:rsid w:val="00511B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11BD7"/>
    <w:rPr>
      <w:rFonts w:ascii="Courier New" w:eastAsia="Times New Roman" w:hAnsi="Courier New" w:cs="Courier New"/>
      <w:sz w:val="20"/>
      <w:szCs w:val="20"/>
    </w:rPr>
  </w:style>
  <w:style w:type="table" w:styleId="TableGrid">
    <w:name w:val="Table Grid"/>
    <w:basedOn w:val="TableNormal"/>
    <w:uiPriority w:val="39"/>
    <w:rsid w:val="00511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D1D08"/>
  </w:style>
  <w:style w:type="table" w:styleId="LightShading-Accent5">
    <w:name w:val="Light Shading Accent 5"/>
    <w:basedOn w:val="TableNormal"/>
    <w:uiPriority w:val="60"/>
    <w:rsid w:val="001B7F42"/>
    <w:rPr>
      <w:color w:val="31849B" w:themeColor="accent5" w:themeShade="BF"/>
      <w:sz w:val="24"/>
      <w:szCs w:val="24"/>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5">
    <w:name w:val="Light List Accent 5"/>
    <w:basedOn w:val="TableNormal"/>
    <w:uiPriority w:val="61"/>
    <w:rsid w:val="00F164D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5">
    <w:name w:val="Medium Shading 1 Accent 5"/>
    <w:basedOn w:val="TableNormal"/>
    <w:uiPriority w:val="63"/>
    <w:rsid w:val="00693266"/>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Grid3-Accent5">
    <w:name w:val="Medium Grid 3 Accent 5"/>
    <w:basedOn w:val="TableNormal"/>
    <w:uiPriority w:val="69"/>
    <w:rsid w:val="00361BA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paragraph" w:styleId="NormalWeb">
    <w:name w:val="Normal (Web)"/>
    <w:basedOn w:val="Normal"/>
    <w:uiPriority w:val="99"/>
    <w:semiHidden/>
    <w:unhideWhenUsed/>
    <w:rsid w:val="00117AF5"/>
    <w:pPr>
      <w:widowControl/>
      <w:spacing w:before="100" w:beforeAutospacing="1" w:after="100" w:afterAutospacing="1"/>
    </w:pPr>
    <w:rPr>
      <w:rFonts w:eastAsia="Times New Roman" w:cs="Times New Roman"/>
      <w:sz w:val="24"/>
      <w:szCs w:val="24"/>
    </w:rPr>
  </w:style>
  <w:style w:type="paragraph" w:customStyle="1" w:styleId="Default">
    <w:name w:val="Default"/>
    <w:rsid w:val="000F5D5D"/>
    <w:pPr>
      <w:autoSpaceDE w:val="0"/>
      <w:autoSpaceDN w:val="0"/>
      <w:adjustRightInd w:val="0"/>
    </w:pPr>
    <w:rPr>
      <w:rFonts w:ascii="Times New Roman" w:hAnsi="Times New Roman" w:cs="Times New Roman"/>
      <w:color w:val="000000"/>
      <w:sz w:val="24"/>
      <w:szCs w:val="24"/>
    </w:rPr>
  </w:style>
  <w:style w:type="paragraph" w:customStyle="1" w:styleId="DecimalAligned">
    <w:name w:val="Decimal Aligned"/>
    <w:basedOn w:val="Normal"/>
    <w:uiPriority w:val="40"/>
    <w:qFormat/>
    <w:rsid w:val="00161951"/>
    <w:pPr>
      <w:widowControl/>
      <w:tabs>
        <w:tab w:val="decimal" w:pos="360"/>
      </w:tabs>
    </w:pPr>
  </w:style>
  <w:style w:type="character" w:styleId="SubtleEmphasis">
    <w:name w:val="Subtle Emphasis"/>
    <w:uiPriority w:val="19"/>
    <w:qFormat/>
    <w:rsid w:val="00C2242A"/>
  </w:style>
  <w:style w:type="table" w:customStyle="1" w:styleId="LightShading-Accent11">
    <w:name w:val="Light Shading - Accent 11"/>
    <w:basedOn w:val="TableNormal"/>
    <w:uiPriority w:val="60"/>
    <w:rsid w:val="00485A59"/>
    <w:rPr>
      <w:color w:val="365F91" w:themeColor="accent1" w:themeShade="BF"/>
      <w:lang w:bidi="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itle">
    <w:name w:val="Title"/>
    <w:basedOn w:val="Default"/>
    <w:next w:val="Default"/>
    <w:link w:val="TitleChar"/>
    <w:uiPriority w:val="10"/>
    <w:qFormat/>
    <w:rsid w:val="00161951"/>
    <w:rPr>
      <w:b/>
      <w:color w:val="auto"/>
      <w:sz w:val="52"/>
    </w:rPr>
  </w:style>
  <w:style w:type="character" w:customStyle="1" w:styleId="TitleChar">
    <w:name w:val="Title Char"/>
    <w:basedOn w:val="DefaultParagraphFont"/>
    <w:link w:val="Title"/>
    <w:uiPriority w:val="99"/>
    <w:rsid w:val="00161951"/>
    <w:rPr>
      <w:rFonts w:ascii="Times New Roman" w:hAnsi="Times New Roman" w:cs="Times New Roman"/>
      <w:b/>
      <w:sz w:val="52"/>
      <w:szCs w:val="24"/>
    </w:rPr>
  </w:style>
  <w:style w:type="character" w:customStyle="1" w:styleId="pagination">
    <w:name w:val="pagination"/>
    <w:basedOn w:val="DefaultParagraphFont"/>
    <w:rsid w:val="00F90C77"/>
  </w:style>
  <w:style w:type="character" w:customStyle="1" w:styleId="doi">
    <w:name w:val="doi"/>
    <w:basedOn w:val="DefaultParagraphFont"/>
    <w:rsid w:val="00F90C77"/>
  </w:style>
  <w:style w:type="character" w:customStyle="1" w:styleId="label">
    <w:name w:val="label"/>
    <w:basedOn w:val="DefaultParagraphFont"/>
    <w:rsid w:val="00F90C77"/>
  </w:style>
  <w:style w:type="character" w:customStyle="1" w:styleId="value">
    <w:name w:val="value"/>
    <w:basedOn w:val="DefaultParagraphFont"/>
    <w:rsid w:val="00F90C77"/>
  </w:style>
  <w:style w:type="character" w:customStyle="1" w:styleId="apple-style-span">
    <w:name w:val="apple-style-span"/>
    <w:basedOn w:val="DefaultParagraphFont"/>
    <w:rsid w:val="001058F6"/>
  </w:style>
  <w:style w:type="paragraph" w:styleId="Header">
    <w:name w:val="header"/>
    <w:basedOn w:val="Normal"/>
    <w:link w:val="HeaderChar"/>
    <w:uiPriority w:val="99"/>
    <w:unhideWhenUsed/>
    <w:rsid w:val="009E18CC"/>
    <w:pPr>
      <w:tabs>
        <w:tab w:val="center" w:pos="4680"/>
        <w:tab w:val="right" w:pos="9360"/>
      </w:tabs>
    </w:pPr>
  </w:style>
  <w:style w:type="character" w:customStyle="1" w:styleId="HeaderChar">
    <w:name w:val="Header Char"/>
    <w:basedOn w:val="DefaultParagraphFont"/>
    <w:link w:val="Header"/>
    <w:uiPriority w:val="99"/>
    <w:rsid w:val="009E18CC"/>
  </w:style>
  <w:style w:type="paragraph" w:styleId="Footer">
    <w:name w:val="footer"/>
    <w:basedOn w:val="BodyText"/>
    <w:link w:val="FooterChar"/>
    <w:uiPriority w:val="99"/>
    <w:unhideWhenUsed/>
    <w:rsid w:val="00466256"/>
    <w:pPr>
      <w:tabs>
        <w:tab w:val="center" w:pos="4680"/>
        <w:tab w:val="right" w:pos="9360"/>
      </w:tabs>
    </w:pPr>
    <w:rPr>
      <w:sz w:val="20"/>
    </w:rPr>
  </w:style>
  <w:style w:type="character" w:customStyle="1" w:styleId="FooterChar">
    <w:name w:val="Footer Char"/>
    <w:basedOn w:val="DefaultParagraphFont"/>
    <w:link w:val="Footer"/>
    <w:uiPriority w:val="99"/>
    <w:rsid w:val="00466256"/>
    <w:rPr>
      <w:rFonts w:ascii="Arial" w:hAnsi="Arial"/>
      <w:sz w:val="20"/>
    </w:rPr>
  </w:style>
  <w:style w:type="character" w:styleId="FollowedHyperlink">
    <w:name w:val="FollowedHyperlink"/>
    <w:basedOn w:val="DefaultParagraphFont"/>
    <w:uiPriority w:val="99"/>
    <w:semiHidden/>
    <w:unhideWhenUsed/>
    <w:rsid w:val="00596204"/>
    <w:rPr>
      <w:color w:val="800080" w:themeColor="followedHyperlink"/>
      <w:u w:val="single"/>
    </w:rPr>
  </w:style>
  <w:style w:type="paragraph" w:customStyle="1" w:styleId="abstractline">
    <w:name w:val="abstract line"/>
    <w:basedOn w:val="Title"/>
    <w:rsid w:val="005F51A4"/>
    <w:pPr>
      <w:autoSpaceDE/>
      <w:autoSpaceDN/>
      <w:adjustRightInd/>
      <w:spacing w:after="240"/>
      <w:ind w:right="0"/>
      <w:outlineLvl w:val="0"/>
    </w:pPr>
    <w:rPr>
      <w:rFonts w:eastAsia="Times New Roman"/>
      <w:b w:val="0"/>
      <w:caps/>
      <w:kern w:val="28"/>
    </w:rPr>
  </w:style>
  <w:style w:type="paragraph" w:styleId="EndnoteText">
    <w:name w:val="endnote text"/>
    <w:basedOn w:val="Normal"/>
    <w:link w:val="EndnoteTextChar"/>
    <w:semiHidden/>
    <w:rsid w:val="00A85BB7"/>
    <w:pPr>
      <w:widowControl/>
      <w:ind w:right="0"/>
    </w:pPr>
    <w:rPr>
      <w:rFonts w:eastAsia="Times New Roman" w:cs="Times New Roman"/>
      <w:sz w:val="20"/>
      <w:szCs w:val="20"/>
    </w:rPr>
  </w:style>
  <w:style w:type="character" w:customStyle="1" w:styleId="EndnoteTextChar">
    <w:name w:val="Endnote Text Char"/>
    <w:basedOn w:val="DefaultParagraphFont"/>
    <w:link w:val="EndnoteText"/>
    <w:semiHidden/>
    <w:rsid w:val="00A85BB7"/>
    <w:rPr>
      <w:rFonts w:ascii="Times New Roman" w:eastAsia="Times New Roman" w:hAnsi="Times New Roman" w:cs="Times New Roman"/>
      <w:sz w:val="20"/>
      <w:szCs w:val="20"/>
    </w:rPr>
  </w:style>
  <w:style w:type="paragraph" w:customStyle="1" w:styleId="NormalCentered">
    <w:name w:val="Normal_Centered"/>
    <w:basedOn w:val="Normal"/>
    <w:rsid w:val="002F1C56"/>
    <w:pPr>
      <w:widowControl/>
      <w:ind w:right="0"/>
      <w:jc w:val="center"/>
    </w:pPr>
    <w:rPr>
      <w:rFonts w:eastAsia="Times New Roman" w:cs="Times New Roman"/>
      <w:sz w:val="24"/>
      <w:szCs w:val="20"/>
    </w:rPr>
  </w:style>
  <w:style w:type="character" w:styleId="PageNumber">
    <w:name w:val="page number"/>
    <w:basedOn w:val="DefaultParagraphFont"/>
    <w:rsid w:val="002F1C56"/>
  </w:style>
  <w:style w:type="paragraph" w:customStyle="1" w:styleId="TitleMain">
    <w:name w:val="Title_Main"/>
    <w:basedOn w:val="Normal"/>
    <w:rsid w:val="002F1C56"/>
    <w:pPr>
      <w:ind w:right="0"/>
      <w:jc w:val="center"/>
    </w:pPr>
    <w:rPr>
      <w:rFonts w:eastAsia="Times New Roman" w:cs="Times New Roman"/>
      <w:b/>
      <w:sz w:val="32"/>
      <w:szCs w:val="20"/>
    </w:rPr>
  </w:style>
  <w:style w:type="paragraph" w:customStyle="1" w:styleId="Heading0">
    <w:name w:val="Heading 0"/>
    <w:basedOn w:val="Heading1"/>
    <w:rsid w:val="002F1C56"/>
    <w:pPr>
      <w:ind w:right="0"/>
      <w:jc w:val="center"/>
    </w:pPr>
    <w:rPr>
      <w:rFonts w:eastAsia="Times New Roman"/>
      <w:bCs/>
      <w:kern w:val="28"/>
      <w:sz w:val="24"/>
      <w:szCs w:val="20"/>
    </w:rPr>
  </w:style>
  <w:style w:type="paragraph" w:styleId="BodyText2">
    <w:name w:val="Body Text 2"/>
    <w:basedOn w:val="Normal"/>
    <w:link w:val="BodyText2Char"/>
    <w:rsid w:val="002F1C56"/>
    <w:pPr>
      <w:widowControl/>
      <w:ind w:right="0"/>
    </w:pPr>
    <w:rPr>
      <w:rFonts w:eastAsia="Times New Roman" w:cs="Times New Roman"/>
      <w:b/>
      <w:sz w:val="18"/>
      <w:szCs w:val="20"/>
    </w:rPr>
  </w:style>
  <w:style w:type="character" w:customStyle="1" w:styleId="BodyText2Char">
    <w:name w:val="Body Text 2 Char"/>
    <w:basedOn w:val="DefaultParagraphFont"/>
    <w:link w:val="BodyText2"/>
    <w:rsid w:val="002F1C56"/>
    <w:rPr>
      <w:rFonts w:ascii="Times New Roman" w:eastAsia="Times New Roman" w:hAnsi="Times New Roman" w:cs="Times New Roman"/>
      <w:b/>
      <w:sz w:val="18"/>
      <w:szCs w:val="20"/>
    </w:rPr>
  </w:style>
  <w:style w:type="paragraph" w:styleId="BodyTextIndent">
    <w:name w:val="Body Text Indent"/>
    <w:basedOn w:val="Normal"/>
    <w:link w:val="BodyTextIndentChar"/>
    <w:rsid w:val="002F1C56"/>
    <w:pPr>
      <w:ind w:right="0" w:firstLine="720"/>
      <w:jc w:val="both"/>
    </w:pPr>
    <w:rPr>
      <w:rFonts w:ascii="Times" w:eastAsia="Times New Roman" w:hAnsi="Times" w:cs="Times New Roman"/>
      <w:sz w:val="24"/>
      <w:szCs w:val="20"/>
    </w:rPr>
  </w:style>
  <w:style w:type="character" w:customStyle="1" w:styleId="BodyTextIndentChar">
    <w:name w:val="Body Text Indent Char"/>
    <w:basedOn w:val="DefaultParagraphFont"/>
    <w:link w:val="BodyTextIndent"/>
    <w:rsid w:val="002F1C56"/>
    <w:rPr>
      <w:rFonts w:ascii="Times" w:eastAsia="Times New Roman" w:hAnsi="Times" w:cs="Times New Roman"/>
      <w:sz w:val="24"/>
      <w:szCs w:val="20"/>
    </w:rPr>
  </w:style>
  <w:style w:type="paragraph" w:styleId="TOC1">
    <w:name w:val="toc 1"/>
    <w:basedOn w:val="Normal"/>
    <w:next w:val="Normal"/>
    <w:autoRedefine/>
    <w:uiPriority w:val="39"/>
    <w:rsid w:val="00C2627E"/>
    <w:pPr>
      <w:widowControl/>
      <w:tabs>
        <w:tab w:val="left" w:pos="720"/>
        <w:tab w:val="right" w:leader="dot" w:pos="9350"/>
      </w:tabs>
      <w:spacing w:before="120" w:after="60" w:line="240" w:lineRule="auto"/>
      <w:ind w:left="360" w:right="0" w:hanging="360"/>
    </w:pPr>
    <w:rPr>
      <w:rFonts w:eastAsia="Times New Roman" w:cs="Times New Roman"/>
      <w:noProof/>
      <w:szCs w:val="24"/>
    </w:rPr>
  </w:style>
  <w:style w:type="paragraph" w:styleId="TOC2">
    <w:name w:val="toc 2"/>
    <w:basedOn w:val="Normal"/>
    <w:next w:val="Normal"/>
    <w:autoRedefine/>
    <w:uiPriority w:val="39"/>
    <w:rsid w:val="00566D3A"/>
    <w:pPr>
      <w:widowControl/>
      <w:tabs>
        <w:tab w:val="left" w:pos="960"/>
        <w:tab w:val="right" w:leader="dot" w:pos="9350"/>
      </w:tabs>
      <w:spacing w:before="60" w:after="60" w:line="240" w:lineRule="auto"/>
      <w:ind w:left="1080" w:right="0" w:hanging="720"/>
    </w:pPr>
    <w:rPr>
      <w:rFonts w:asciiTheme="minorHAnsi" w:eastAsia="Times New Roman" w:hAnsiTheme="minorHAnsi" w:cs="Times New Roman"/>
      <w:szCs w:val="24"/>
    </w:rPr>
  </w:style>
  <w:style w:type="paragraph" w:styleId="TableofFigures">
    <w:name w:val="table of figures"/>
    <w:basedOn w:val="Normal"/>
    <w:next w:val="Normal"/>
    <w:uiPriority w:val="99"/>
    <w:rsid w:val="00566D3A"/>
    <w:pPr>
      <w:ind w:left="440" w:hanging="4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9056D2"/>
    <w:pPr>
      <w:tabs>
        <w:tab w:val="left" w:pos="1760"/>
        <w:tab w:val="right" w:leader="dot" w:pos="9350"/>
      </w:tabs>
      <w:spacing w:before="60" w:after="60" w:line="240" w:lineRule="auto"/>
      <w:ind w:left="1440" w:right="0" w:hanging="432"/>
    </w:pPr>
    <w:rPr>
      <w:rFonts w:asciiTheme="minorHAnsi" w:hAnsiTheme="minorHAnsi"/>
    </w:rPr>
  </w:style>
  <w:style w:type="character" w:styleId="EndnoteReference">
    <w:name w:val="endnote reference"/>
    <w:basedOn w:val="DefaultParagraphFont"/>
    <w:uiPriority w:val="99"/>
    <w:semiHidden/>
    <w:unhideWhenUsed/>
    <w:rsid w:val="00B00310"/>
    <w:rPr>
      <w:vertAlign w:val="superscript"/>
    </w:rPr>
  </w:style>
  <w:style w:type="paragraph" w:customStyle="1" w:styleId="Heading">
    <w:name w:val="Heading"/>
    <w:basedOn w:val="Heading1"/>
    <w:link w:val="HeadingChar"/>
    <w:qFormat/>
    <w:rsid w:val="009056D2"/>
    <w:pPr>
      <w:numPr>
        <w:numId w:val="1"/>
      </w:numPr>
      <w:ind w:left="360" w:hanging="360"/>
    </w:pPr>
  </w:style>
  <w:style w:type="paragraph" w:customStyle="1" w:styleId="TableCaption">
    <w:name w:val="Table Caption"/>
    <w:basedOn w:val="Caption"/>
    <w:link w:val="TableCaptionChar"/>
    <w:qFormat/>
    <w:rsid w:val="004D46EE"/>
    <w:pPr>
      <w:spacing w:after="120" w:line="240" w:lineRule="auto"/>
    </w:pPr>
    <w:rPr>
      <w:sz w:val="20"/>
    </w:rPr>
  </w:style>
  <w:style w:type="character" w:customStyle="1" w:styleId="HeadingChar">
    <w:name w:val="Heading Char"/>
    <w:basedOn w:val="Heading1Char"/>
    <w:link w:val="Heading"/>
    <w:rsid w:val="00C2242A"/>
    <w:rPr>
      <w:rFonts w:ascii="Times New Roman" w:hAnsi="Times New Roman" w:cs="Times New Roman"/>
      <w:b/>
      <w:sz w:val="32"/>
      <w:szCs w:val="24"/>
    </w:rPr>
  </w:style>
  <w:style w:type="paragraph" w:customStyle="1" w:styleId="FigureCaption">
    <w:name w:val="Figure Caption"/>
    <w:basedOn w:val="Caption"/>
    <w:link w:val="FigureCaptionChar"/>
    <w:qFormat/>
    <w:rsid w:val="004D46EE"/>
    <w:pPr>
      <w:spacing w:before="120" w:after="120" w:line="240" w:lineRule="auto"/>
    </w:pPr>
    <w:rPr>
      <w:sz w:val="20"/>
    </w:rPr>
  </w:style>
  <w:style w:type="character" w:customStyle="1" w:styleId="CaptionChar">
    <w:name w:val="Caption Char"/>
    <w:basedOn w:val="DefaultParagraphFont"/>
    <w:link w:val="Caption"/>
    <w:uiPriority w:val="35"/>
    <w:rsid w:val="00161951"/>
    <w:rPr>
      <w:rFonts w:ascii="Times New Roman" w:hAnsi="Times New Roman" w:cs="Times New Roman"/>
      <w:b/>
      <w:szCs w:val="20"/>
    </w:rPr>
  </w:style>
  <w:style w:type="character" w:customStyle="1" w:styleId="TableCaptionChar">
    <w:name w:val="Table Caption Char"/>
    <w:basedOn w:val="CaptionChar"/>
    <w:link w:val="TableCaption"/>
    <w:rsid w:val="004D46EE"/>
    <w:rPr>
      <w:rFonts w:ascii="Times New Roman" w:hAnsi="Times New Roman" w:cs="Times New Roman"/>
      <w:b/>
      <w:sz w:val="20"/>
      <w:szCs w:val="20"/>
    </w:rPr>
  </w:style>
  <w:style w:type="character" w:customStyle="1" w:styleId="FigureCaptionChar">
    <w:name w:val="Figure Caption Char"/>
    <w:basedOn w:val="CaptionChar"/>
    <w:link w:val="FigureCaption"/>
    <w:rsid w:val="004D46EE"/>
    <w:rPr>
      <w:rFonts w:ascii="Times New Roman" w:hAnsi="Times New Roman" w:cs="Times New Roman"/>
      <w:b/>
      <w:sz w:val="20"/>
      <w:szCs w:val="20"/>
    </w:rPr>
  </w:style>
  <w:style w:type="table" w:customStyle="1" w:styleId="TableGrid1">
    <w:name w:val="Table Grid1"/>
    <w:basedOn w:val="TableNormal"/>
    <w:next w:val="TableGrid"/>
    <w:rsid w:val="00EB7C12"/>
    <w:pPr>
      <w:spacing w:before="40" w:after="160" w:line="288" w:lineRule="auto"/>
      <w:ind w:right="0"/>
    </w:pPr>
    <w:rPr>
      <w:rFonts w:ascii="Calibri" w:hAnsi="Calibri"/>
      <w:color w:val="595959"/>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Calibri" w:hAnsi="Calibri"/>
      </w:rPr>
    </w:tblStylePr>
    <w:tblStylePr w:type="lastRow">
      <w:rPr>
        <w:rFonts w:ascii="Calibri" w:hAnsi="Calibri"/>
      </w:rPr>
    </w:tblStylePr>
  </w:style>
  <w:style w:type="paragraph" w:customStyle="1" w:styleId="Reference">
    <w:name w:val="Reference"/>
    <w:basedOn w:val="BodyText"/>
    <w:link w:val="ReferenceChar"/>
    <w:qFormat/>
    <w:rsid w:val="0092338B"/>
    <w:pPr>
      <w:ind w:left="720" w:hanging="720"/>
    </w:pPr>
    <w:rPr>
      <w:szCs w:val="24"/>
    </w:rPr>
  </w:style>
  <w:style w:type="paragraph" w:styleId="TOCHeading">
    <w:name w:val="TOC Heading"/>
    <w:basedOn w:val="Heading1"/>
    <w:next w:val="Normal"/>
    <w:uiPriority w:val="39"/>
    <w:unhideWhenUsed/>
    <w:qFormat/>
    <w:rsid w:val="00161951"/>
    <w:pPr>
      <w:keepNext/>
      <w:keepLines/>
      <w:spacing w:before="480" w:after="0" w:line="276" w:lineRule="auto"/>
      <w:ind w:left="0" w:right="0" w:firstLine="0"/>
      <w:outlineLvl w:val="9"/>
    </w:pPr>
    <w:rPr>
      <w:rFonts w:eastAsiaTheme="majorEastAsia" w:cstheme="majorBidi"/>
      <w:bCs/>
      <w:color w:val="365F91" w:themeColor="accent1" w:themeShade="BF"/>
      <w:szCs w:val="28"/>
      <w:lang w:eastAsia="ja-JP"/>
    </w:rPr>
  </w:style>
  <w:style w:type="character" w:customStyle="1" w:styleId="ReferenceChar">
    <w:name w:val="Reference Char"/>
    <w:basedOn w:val="BodyText2Char"/>
    <w:link w:val="Reference"/>
    <w:rsid w:val="0092338B"/>
    <w:rPr>
      <w:rFonts w:ascii="Arial" w:eastAsia="Times New Roman" w:hAnsi="Arial" w:cs="Times New Roman"/>
      <w:b w:val="0"/>
      <w:sz w:val="18"/>
      <w:szCs w:val="24"/>
    </w:rPr>
  </w:style>
  <w:style w:type="paragraph" w:styleId="TOC4">
    <w:name w:val="toc 4"/>
    <w:basedOn w:val="Normal"/>
    <w:next w:val="Normal"/>
    <w:autoRedefine/>
    <w:uiPriority w:val="39"/>
    <w:rsid w:val="00D35EEE"/>
    <w:pPr>
      <w:spacing w:after="100"/>
      <w:ind w:left="660"/>
    </w:pPr>
  </w:style>
  <w:style w:type="paragraph" w:styleId="BodyText">
    <w:name w:val="Body Text"/>
    <w:basedOn w:val="Normal"/>
    <w:link w:val="BodyTextChar"/>
    <w:autoRedefine/>
    <w:uiPriority w:val="99"/>
    <w:qFormat/>
    <w:rsid w:val="004D46EE"/>
    <w:rPr>
      <w:rFonts w:ascii="Arial" w:hAnsi="Arial"/>
    </w:rPr>
  </w:style>
  <w:style w:type="character" w:customStyle="1" w:styleId="BodyTextChar">
    <w:name w:val="Body Text Char"/>
    <w:basedOn w:val="DefaultParagraphFont"/>
    <w:link w:val="BodyText"/>
    <w:uiPriority w:val="99"/>
    <w:rsid w:val="004D46EE"/>
    <w:rPr>
      <w:rFonts w:ascii="Arial" w:hAnsi="Arial"/>
    </w:rPr>
  </w:style>
  <w:style w:type="paragraph" w:customStyle="1" w:styleId="SA-TOCHeading">
    <w:name w:val="SA - TOC Heading"/>
    <w:basedOn w:val="TOCHeading"/>
    <w:qFormat/>
    <w:rsid w:val="00161951"/>
    <w:pPr>
      <w:spacing w:before="240" w:line="259" w:lineRule="auto"/>
    </w:pPr>
    <w:rPr>
      <w:rFonts w:asciiTheme="minorHAnsi" w:eastAsia="Times New Roman" w:hAnsiTheme="minorHAnsi" w:cs="Times New Roman"/>
      <w:bCs w:val="0"/>
      <w:color w:val="115F1E"/>
      <w:szCs w:val="24"/>
      <w:lang w:eastAsia="en-US"/>
    </w:rPr>
  </w:style>
  <w:style w:type="paragraph" w:customStyle="1" w:styleId="SA-Heading1">
    <w:name w:val="SA - Heading 1"/>
    <w:basedOn w:val="Heading1"/>
    <w:link w:val="SA-Heading1Char"/>
    <w:qFormat/>
    <w:rsid w:val="00293D4E"/>
    <w:pPr>
      <w:keepNext/>
      <w:ind w:left="0" w:right="0" w:firstLine="0"/>
    </w:pPr>
    <w:rPr>
      <w:rFonts w:eastAsia="Cambria"/>
    </w:rPr>
  </w:style>
  <w:style w:type="character" w:customStyle="1" w:styleId="SA-Heading1Char">
    <w:name w:val="SA - Heading 1 Char"/>
    <w:basedOn w:val="Heading1Char"/>
    <w:link w:val="SA-Heading1"/>
    <w:rsid w:val="00293D4E"/>
    <w:rPr>
      <w:rFonts w:ascii="Times New Roman" w:eastAsia="Cambria" w:hAnsi="Times New Roman" w:cs="Times New Roman"/>
      <w:b/>
      <w:sz w:val="32"/>
      <w:szCs w:val="24"/>
    </w:rPr>
  </w:style>
  <w:style w:type="paragraph" w:styleId="TOC5">
    <w:name w:val="toc 5"/>
    <w:basedOn w:val="Normal"/>
    <w:next w:val="Normal"/>
    <w:autoRedefine/>
    <w:uiPriority w:val="39"/>
    <w:rsid w:val="002E4403"/>
    <w:pPr>
      <w:spacing w:after="100"/>
      <w:ind w:left="880"/>
    </w:pPr>
  </w:style>
  <w:style w:type="paragraph" w:styleId="TOC6">
    <w:name w:val="toc 6"/>
    <w:basedOn w:val="Normal"/>
    <w:next w:val="Normal"/>
    <w:autoRedefine/>
    <w:uiPriority w:val="39"/>
    <w:rsid w:val="00A1022A"/>
    <w:pPr>
      <w:spacing w:after="100"/>
      <w:ind w:left="1100"/>
    </w:pPr>
  </w:style>
  <w:style w:type="paragraph" w:customStyle="1" w:styleId="AppendixHeader">
    <w:name w:val="Appendix Header"/>
    <w:basedOn w:val="Heading1"/>
    <w:next w:val="Heading1"/>
    <w:link w:val="AppendixHeaderChar"/>
    <w:qFormat/>
    <w:rsid w:val="009056D2"/>
    <w:pPr>
      <w:numPr>
        <w:numId w:val="3"/>
      </w:numPr>
      <w:ind w:left="360" w:hanging="360"/>
    </w:pPr>
  </w:style>
  <w:style w:type="character" w:customStyle="1" w:styleId="AppendixHeaderChar">
    <w:name w:val="Appendix Header Char"/>
    <w:basedOn w:val="Heading1Char"/>
    <w:link w:val="AppendixHeader"/>
    <w:rsid w:val="00583706"/>
    <w:rPr>
      <w:rFonts w:ascii="Times New Roman" w:hAnsi="Times New Roman" w:cs="Times New Roman"/>
      <w:b/>
      <w:sz w:val="32"/>
      <w:szCs w:val="24"/>
    </w:rPr>
  </w:style>
  <w:style w:type="table" w:styleId="Table3Deffects3">
    <w:name w:val="Table 3D effects 3"/>
    <w:basedOn w:val="TableNormal"/>
    <w:rsid w:val="00161951"/>
    <w:pPr>
      <w:widowControl w:val="0"/>
      <w:spacing w:line="274"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161951"/>
    <w:pPr>
      <w:widowControl w:val="0"/>
      <w:spacing w:line="274"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BodyTextIndent3">
    <w:name w:val="Body Text Indent 3"/>
    <w:basedOn w:val="Normal"/>
    <w:link w:val="BodyTextIndent3Char"/>
    <w:unhideWhenUsed/>
    <w:rsid w:val="00604284"/>
    <w:pPr>
      <w:spacing w:after="120"/>
      <w:ind w:left="360"/>
    </w:pPr>
    <w:rPr>
      <w:sz w:val="16"/>
      <w:szCs w:val="16"/>
    </w:rPr>
  </w:style>
  <w:style w:type="character" w:customStyle="1" w:styleId="BodyTextIndent3Char">
    <w:name w:val="Body Text Indent 3 Char"/>
    <w:basedOn w:val="DefaultParagraphFont"/>
    <w:link w:val="BodyTextIndent3"/>
    <w:rsid w:val="00604284"/>
    <w:rPr>
      <w:rFonts w:asciiTheme="majorHAnsi" w:hAnsiTheme="majorHAnsi"/>
      <w:sz w:val="16"/>
      <w:szCs w:val="16"/>
    </w:rPr>
  </w:style>
  <w:style w:type="table" w:styleId="ListTable6Colorful-Accent5">
    <w:name w:val="List Table 6 Colorful Accent 5"/>
    <w:basedOn w:val="TableNormal"/>
    <w:uiPriority w:val="51"/>
    <w:rsid w:val="00182C89"/>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11">
    <w:name w:val="Table Grid11"/>
    <w:basedOn w:val="TableNormal"/>
    <w:next w:val="TableGrid"/>
    <w:rsid w:val="000E7EE0"/>
    <w:pPr>
      <w:spacing w:before="40" w:after="160" w:line="288" w:lineRule="auto"/>
      <w:ind w:right="0"/>
    </w:pPr>
    <w:rPr>
      <w:rFonts w:ascii="Calibri" w:hAnsi="Calibri"/>
      <w:color w:val="595959"/>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Calibri" w:hAnsi="Calibri"/>
      </w:rPr>
    </w:tblStylePr>
    <w:tblStylePr w:type="lastRow">
      <w:rPr>
        <w:rFonts w:ascii="Calibri" w:hAnsi="Calibri"/>
      </w:rPr>
    </w:tblStylePr>
  </w:style>
  <w:style w:type="paragraph" w:customStyle="1" w:styleId="EAEIReport">
    <w:name w:val="EAEI Report"/>
    <w:basedOn w:val="Header"/>
    <w:link w:val="EAEIReportChar"/>
    <w:qFormat/>
    <w:rsid w:val="00C6199F"/>
  </w:style>
  <w:style w:type="paragraph" w:customStyle="1" w:styleId="EMPReportCALIBRI">
    <w:name w:val="EMP Report CALIBRI"/>
    <w:basedOn w:val="BodyText"/>
    <w:link w:val="EMPReportCALIBRIChar"/>
    <w:qFormat/>
    <w:rsid w:val="00293D4E"/>
  </w:style>
  <w:style w:type="character" w:customStyle="1" w:styleId="EAEIReportChar">
    <w:name w:val="EAEI Report Char"/>
    <w:basedOn w:val="HeaderChar"/>
    <w:link w:val="EAEIReport"/>
    <w:rsid w:val="00C6199F"/>
    <w:rPr>
      <w:rFonts w:asciiTheme="majorHAnsi" w:hAnsiTheme="majorHAnsi"/>
    </w:rPr>
  </w:style>
  <w:style w:type="paragraph" w:customStyle="1" w:styleId="EAEIReportCALIBRI">
    <w:name w:val="EAEI Report CALIBRI"/>
    <w:basedOn w:val="EMPReportCALIBRI"/>
    <w:link w:val="EAEIReportCALIBRIChar"/>
    <w:qFormat/>
    <w:rsid w:val="00293D4E"/>
  </w:style>
  <w:style w:type="character" w:customStyle="1" w:styleId="EMPReportCALIBRIChar">
    <w:name w:val="EMP Report CALIBRI Char"/>
    <w:basedOn w:val="EAEIReportChar"/>
    <w:link w:val="EMPReportCALIBRI"/>
    <w:rsid w:val="00293D4E"/>
    <w:rPr>
      <w:rFonts w:asciiTheme="majorHAnsi" w:hAnsiTheme="majorHAnsi"/>
    </w:rPr>
  </w:style>
  <w:style w:type="character" w:customStyle="1" w:styleId="EAEIReportCALIBRIChar">
    <w:name w:val="EAEI Report CALIBRI Char"/>
    <w:basedOn w:val="EMPReportCALIBRIChar"/>
    <w:link w:val="EAEIReportCALIBRI"/>
    <w:rsid w:val="00293D4E"/>
    <w:rPr>
      <w:rFonts w:asciiTheme="majorHAnsi" w:hAnsiTheme="majorHAnsi"/>
    </w:rPr>
  </w:style>
  <w:style w:type="character" w:styleId="Emphasis">
    <w:name w:val="Emphasis"/>
    <w:basedOn w:val="DefaultParagraphFont"/>
    <w:uiPriority w:val="20"/>
    <w:qFormat/>
    <w:rsid w:val="00836D69"/>
    <w:rPr>
      <w:i/>
      <w:iCs/>
    </w:rPr>
  </w:style>
  <w:style w:type="character" w:styleId="UnresolvedMention">
    <w:name w:val="Unresolved Mention"/>
    <w:basedOn w:val="DefaultParagraphFont"/>
    <w:uiPriority w:val="99"/>
    <w:semiHidden/>
    <w:unhideWhenUsed/>
    <w:rsid w:val="00205E38"/>
    <w:rPr>
      <w:color w:val="605E5C"/>
      <w:shd w:val="clear" w:color="auto" w:fill="E1DFDD"/>
    </w:rPr>
  </w:style>
  <w:style w:type="paragraph" w:styleId="Subtitle">
    <w:name w:val="Subtitle"/>
    <w:basedOn w:val="Normal"/>
    <w:next w:val="Normal"/>
    <w:link w:val="SubtitleChar"/>
    <w:uiPriority w:val="11"/>
    <w:qFormat/>
    <w:rsid w:val="005D6AF8"/>
    <w:pPr>
      <w:keepNext/>
      <w:keepLines/>
      <w:widowControl/>
      <w:pBdr>
        <w:top w:val="nil"/>
        <w:left w:val="nil"/>
        <w:bottom w:val="nil"/>
        <w:right w:val="nil"/>
        <w:between w:val="nil"/>
      </w:pBdr>
      <w:spacing w:after="320" w:line="276" w:lineRule="auto"/>
      <w:ind w:right="0"/>
      <w:contextualSpacing/>
    </w:pPr>
    <w:rPr>
      <w:rFonts w:eastAsia="SimSun" w:cs="Arial"/>
      <w:color w:val="666666"/>
      <w:sz w:val="30"/>
      <w:szCs w:val="30"/>
      <w:lang w:eastAsia="ko-KR"/>
    </w:rPr>
  </w:style>
  <w:style w:type="character" w:customStyle="1" w:styleId="SubtitleChar">
    <w:name w:val="Subtitle Char"/>
    <w:basedOn w:val="DefaultParagraphFont"/>
    <w:link w:val="Subtitle"/>
    <w:rsid w:val="005D6AF8"/>
    <w:rPr>
      <w:rFonts w:ascii="Times New Roman" w:eastAsia="SimSun" w:hAnsi="Times New Roman" w:cs="Arial"/>
      <w:color w:val="666666"/>
      <w:sz w:val="30"/>
      <w:szCs w:val="30"/>
      <w:lang w:eastAsia="ko-KR"/>
    </w:rPr>
  </w:style>
  <w:style w:type="table" w:customStyle="1" w:styleId="2">
    <w:name w:val="2"/>
    <w:basedOn w:val="TableNormal"/>
    <w:rsid w:val="005D6AF8"/>
    <w:pPr>
      <w:pBdr>
        <w:top w:val="nil"/>
        <w:left w:val="nil"/>
        <w:bottom w:val="nil"/>
        <w:right w:val="nil"/>
        <w:between w:val="nil"/>
      </w:pBdr>
      <w:spacing w:before="40" w:after="160"/>
      <w:ind w:right="0"/>
    </w:pPr>
    <w:rPr>
      <w:rFonts w:ascii="Calibri" w:eastAsia="Calibri" w:hAnsi="Calibri" w:cs="Calibri"/>
      <w:color w:val="595959"/>
      <w:sz w:val="24"/>
      <w:szCs w:val="24"/>
      <w:lang w:eastAsia="ko-KR"/>
    </w:rPr>
    <w:tblPr>
      <w:tblStyleRowBandSize w:val="1"/>
      <w:tblStyleColBandSize w:val="1"/>
    </w:tblPr>
    <w:tblStylePr w:type="firstRow">
      <w:rPr>
        <w:rFonts w:ascii="Calibri" w:eastAsia="Calibri" w:hAnsi="Calibri" w:cs="Calibri"/>
      </w:rPr>
    </w:tblStylePr>
    <w:tblStylePr w:type="lastRow">
      <w:rPr>
        <w:rFonts w:ascii="Calibri" w:eastAsia="Calibri" w:hAnsi="Calibri" w:cs="Calibri"/>
      </w:rPr>
    </w:tblStylePr>
  </w:style>
  <w:style w:type="table" w:customStyle="1" w:styleId="1">
    <w:name w:val="1"/>
    <w:basedOn w:val="TableNormal"/>
    <w:rsid w:val="005D6AF8"/>
    <w:pPr>
      <w:pBdr>
        <w:top w:val="nil"/>
        <w:left w:val="nil"/>
        <w:bottom w:val="nil"/>
        <w:right w:val="nil"/>
        <w:between w:val="nil"/>
      </w:pBdr>
      <w:spacing w:line="276" w:lineRule="auto"/>
      <w:ind w:right="0"/>
    </w:pPr>
    <w:rPr>
      <w:rFonts w:ascii="Arial" w:eastAsia="SimSun" w:hAnsi="Arial" w:cs="Arial"/>
      <w:color w:val="000000"/>
      <w:lang w:eastAsia="ko-KR"/>
    </w:rPr>
    <w:tblPr>
      <w:tblStyleRowBandSize w:val="1"/>
      <w:tblStyleColBandSize w:val="1"/>
      <w:tblCellMar>
        <w:top w:w="100" w:type="dxa"/>
        <w:left w:w="100" w:type="dxa"/>
        <w:bottom w:w="100" w:type="dxa"/>
        <w:right w:w="100" w:type="dxa"/>
      </w:tblCellMar>
    </w:tblPr>
  </w:style>
  <w:style w:type="character" w:customStyle="1" w:styleId="ListParagraphChar">
    <w:name w:val="List Paragraph Char"/>
    <w:basedOn w:val="DefaultParagraphFont"/>
    <w:link w:val="ListParagraph"/>
    <w:uiPriority w:val="34"/>
    <w:rsid w:val="005D6AF8"/>
    <w:rPr>
      <w:rFonts w:ascii="Times New Roman" w:hAnsi="Times New Roman"/>
    </w:rPr>
  </w:style>
  <w:style w:type="character" w:styleId="IntenseEmphasis">
    <w:name w:val="Intense Emphasis"/>
    <w:basedOn w:val="DefaultParagraphFont"/>
    <w:uiPriority w:val="21"/>
    <w:qFormat/>
    <w:rsid w:val="005D6AF8"/>
    <w:rPr>
      <w:b/>
      <w:bCs/>
      <w:i/>
      <w:iCs/>
      <w:color w:val="4F81BD" w:themeColor="accent1"/>
    </w:rPr>
  </w:style>
  <w:style w:type="paragraph" w:customStyle="1" w:styleId="References">
    <w:name w:val="References"/>
    <w:basedOn w:val="Normal"/>
    <w:rsid w:val="005D6AF8"/>
    <w:pPr>
      <w:widowControl/>
      <w:spacing w:after="200" w:line="240" w:lineRule="auto"/>
      <w:ind w:left="567" w:right="0" w:hanging="567"/>
      <w:jc w:val="both"/>
    </w:pPr>
    <w:rPr>
      <w:rFonts w:ascii="Arial" w:eastAsia="Times New Roman" w:hAnsi="Arial" w:cs="Times New Roman"/>
      <w:sz w:val="20"/>
      <w:szCs w:val="20"/>
      <w:lang w:eastAsia="en-GB"/>
    </w:rPr>
  </w:style>
  <w:style w:type="character" w:styleId="PlaceholderText">
    <w:name w:val="Placeholder Text"/>
    <w:basedOn w:val="DefaultParagraphFont"/>
    <w:uiPriority w:val="99"/>
    <w:semiHidden/>
    <w:rsid w:val="005D6AF8"/>
    <w:rPr>
      <w:color w:val="808080"/>
    </w:rPr>
  </w:style>
  <w:style w:type="character" w:customStyle="1" w:styleId="UnresolvedMention1">
    <w:name w:val="Unresolved Mention1"/>
    <w:basedOn w:val="DefaultParagraphFont"/>
    <w:uiPriority w:val="99"/>
    <w:semiHidden/>
    <w:unhideWhenUsed/>
    <w:rsid w:val="005D6AF8"/>
    <w:rPr>
      <w:color w:val="605E5C"/>
      <w:shd w:val="clear" w:color="auto" w:fill="E1DFDD"/>
    </w:rPr>
  </w:style>
  <w:style w:type="character" w:customStyle="1" w:styleId="UnresolvedMention2">
    <w:name w:val="Unresolved Mention2"/>
    <w:basedOn w:val="DefaultParagraphFont"/>
    <w:uiPriority w:val="99"/>
    <w:semiHidden/>
    <w:unhideWhenUsed/>
    <w:rsid w:val="005D6AF8"/>
    <w:rPr>
      <w:color w:val="605E5C"/>
      <w:shd w:val="clear" w:color="auto" w:fill="E1DFDD"/>
    </w:rPr>
  </w:style>
  <w:style w:type="paragraph" w:customStyle="1" w:styleId="CaptionFigure">
    <w:name w:val="Caption Figure"/>
    <w:basedOn w:val="Normal"/>
    <w:next w:val="NormalIndent"/>
    <w:qFormat/>
    <w:rsid w:val="005D6AF8"/>
    <w:pPr>
      <w:wordWrap w:val="0"/>
      <w:autoSpaceDE w:val="0"/>
      <w:autoSpaceDN w:val="0"/>
      <w:spacing w:after="240" w:line="240" w:lineRule="auto"/>
      <w:ind w:right="0"/>
      <w:jc w:val="both"/>
    </w:pPr>
    <w:rPr>
      <w:rFonts w:eastAsia="Batang" w:cs="Times New Roman"/>
      <w:b/>
      <w:color w:val="000000"/>
      <w:kern w:val="2"/>
      <w:sz w:val="24"/>
      <w:szCs w:val="24"/>
      <w:lang w:eastAsia="ko-KR"/>
    </w:rPr>
  </w:style>
  <w:style w:type="paragraph" w:styleId="NormalIndent">
    <w:name w:val="Normal Indent"/>
    <w:basedOn w:val="Normal"/>
    <w:uiPriority w:val="99"/>
    <w:semiHidden/>
    <w:unhideWhenUsed/>
    <w:rsid w:val="005D6AF8"/>
    <w:pPr>
      <w:widowControl/>
      <w:pBdr>
        <w:top w:val="nil"/>
        <w:left w:val="nil"/>
        <w:bottom w:val="nil"/>
        <w:right w:val="nil"/>
        <w:between w:val="nil"/>
      </w:pBdr>
      <w:spacing w:after="200" w:line="276" w:lineRule="auto"/>
      <w:ind w:left="720" w:right="0"/>
    </w:pPr>
    <w:rPr>
      <w:rFonts w:eastAsia="SimSun" w:cs="Arial"/>
      <w:color w:val="000000"/>
      <w:sz w:val="24"/>
      <w:lang w:eastAsia="ko-KR"/>
    </w:rPr>
  </w:style>
  <w:style w:type="paragraph" w:customStyle="1" w:styleId="eceee-References">
    <w:name w:val="_eceee - References"/>
    <w:basedOn w:val="Normal"/>
    <w:rsid w:val="005D6AF8"/>
    <w:pPr>
      <w:widowControl/>
      <w:spacing w:line="260" w:lineRule="atLeast"/>
      <w:ind w:left="709" w:right="0" w:hanging="709"/>
    </w:pPr>
    <w:rPr>
      <w:rFonts w:eastAsia="Times New Roman" w:cs="Times New Roman"/>
      <w:sz w:val="20"/>
      <w:szCs w:val="20"/>
      <w:lang w:val="en-GB" w:eastAsia="sv-SE"/>
    </w:rPr>
  </w:style>
  <w:style w:type="paragraph" w:customStyle="1" w:styleId="eceee-BodyText">
    <w:name w:val="_eceee - Body Text"/>
    <w:basedOn w:val="BodyText"/>
    <w:rsid w:val="005D6AF8"/>
    <w:pPr>
      <w:widowControl/>
      <w:spacing w:before="80" w:after="80" w:line="240" w:lineRule="atLeast"/>
      <w:ind w:right="0"/>
    </w:pPr>
    <w:rPr>
      <w:rFonts w:ascii="Times New Roman" w:eastAsia="MS Mincho" w:hAnsi="Times New Roman" w:cs="Times New Roman"/>
      <w:sz w:val="20"/>
      <w:szCs w:val="20"/>
      <w:lang w:val="en-GB" w:eastAsia="sv-SE"/>
    </w:rPr>
  </w:style>
  <w:style w:type="table" w:styleId="GridTable1Light">
    <w:name w:val="Grid Table 1 Light"/>
    <w:basedOn w:val="TableNormal"/>
    <w:uiPriority w:val="46"/>
    <w:rsid w:val="005D6AF8"/>
    <w:pPr>
      <w:ind w:right="0"/>
    </w:pPr>
    <w:rPr>
      <w:lang w:eastAsia="ko-K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Figuresource">
    <w:name w:val="Figure source"/>
    <w:basedOn w:val="BodyText"/>
    <w:autoRedefine/>
    <w:qFormat/>
    <w:rsid w:val="00993397"/>
    <w:pPr>
      <w:ind w:right="720"/>
    </w:pPr>
    <w:rPr>
      <w:rFonts w:cs="Arial"/>
      <w:sz w:val="18"/>
      <w:szCs w:val="18"/>
    </w:rPr>
  </w:style>
  <w:style w:type="paragraph" w:styleId="NoSpacing">
    <w:name w:val="No Spacing"/>
    <w:uiPriority w:val="1"/>
    <w:qFormat/>
    <w:rsid w:val="00EE0A0C"/>
    <w:pPr>
      <w:ind w:right="0"/>
    </w:pPr>
    <w:rPr>
      <w:rFonts w:ascii="Calibri" w:eastAsia="Batang" w:hAnsi="Calibri" w:cs="Calibri"/>
      <w:lang w:eastAsia="ko-KR"/>
    </w:rPr>
  </w:style>
  <w:style w:type="paragraph" w:customStyle="1" w:styleId="Equation">
    <w:name w:val="Equation"/>
    <w:next w:val="Normal"/>
    <w:link w:val="EquationChar"/>
    <w:autoRedefine/>
    <w:qFormat/>
    <w:rsid w:val="000F5458"/>
    <w:pPr>
      <w:spacing w:after="240"/>
      <w:jc w:val="center"/>
    </w:pPr>
    <w:rPr>
      <w:rFonts w:ascii="Cambria Math" w:hAnsi="Cambria Math"/>
      <w:i/>
    </w:rPr>
  </w:style>
  <w:style w:type="character" w:customStyle="1" w:styleId="EquationChar">
    <w:name w:val="Equation Char"/>
    <w:basedOn w:val="CaptionChar"/>
    <w:link w:val="Equation"/>
    <w:rsid w:val="000F5458"/>
    <w:rPr>
      <w:rFonts w:ascii="Cambria Math" w:hAnsi="Cambria Math" w:cs="Times New Roman"/>
      <w:b w:val="0"/>
      <w:i/>
      <w:szCs w:val="20"/>
    </w:rPr>
  </w:style>
  <w:style w:type="paragraph" w:customStyle="1" w:styleId="TableBody">
    <w:name w:val="Table Body"/>
    <w:basedOn w:val="Normal"/>
    <w:link w:val="TableBodyChar"/>
    <w:qFormat/>
    <w:rsid w:val="00CE7D01"/>
    <w:rPr>
      <w:sz w:val="20"/>
      <w:szCs w:val="20"/>
    </w:rPr>
  </w:style>
  <w:style w:type="character" w:customStyle="1" w:styleId="TableBodyChar">
    <w:name w:val="Table Body Char"/>
    <w:basedOn w:val="DefaultParagraphFont"/>
    <w:link w:val="TableBody"/>
    <w:rsid w:val="00CE7D01"/>
    <w:rPr>
      <w:rFonts w:ascii="Times New Roman" w:hAnsi="Times New Roman"/>
      <w:sz w:val="20"/>
      <w:szCs w:val="20"/>
    </w:rPr>
  </w:style>
  <w:style w:type="character" w:customStyle="1" w:styleId="il">
    <w:name w:val="il"/>
    <w:basedOn w:val="DefaultParagraphFont"/>
    <w:rsid w:val="00EE23E7"/>
  </w:style>
  <w:style w:type="paragraph" w:styleId="Bibliography">
    <w:name w:val="Bibliography"/>
    <w:basedOn w:val="Normal"/>
    <w:next w:val="Normal"/>
    <w:unhideWhenUsed/>
    <w:rsid w:val="00A4388B"/>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8724">
      <w:bodyDiv w:val="1"/>
      <w:marLeft w:val="0"/>
      <w:marRight w:val="0"/>
      <w:marTop w:val="0"/>
      <w:marBottom w:val="0"/>
      <w:divBdr>
        <w:top w:val="none" w:sz="0" w:space="0" w:color="auto"/>
        <w:left w:val="none" w:sz="0" w:space="0" w:color="auto"/>
        <w:bottom w:val="none" w:sz="0" w:space="0" w:color="auto"/>
        <w:right w:val="none" w:sz="0" w:space="0" w:color="auto"/>
      </w:divBdr>
      <w:divsChild>
        <w:div w:id="695934455">
          <w:marLeft w:val="1728"/>
          <w:marRight w:val="0"/>
          <w:marTop w:val="200"/>
          <w:marBottom w:val="24"/>
          <w:divBdr>
            <w:top w:val="none" w:sz="0" w:space="0" w:color="auto"/>
            <w:left w:val="none" w:sz="0" w:space="0" w:color="auto"/>
            <w:bottom w:val="none" w:sz="0" w:space="0" w:color="auto"/>
            <w:right w:val="none" w:sz="0" w:space="0" w:color="auto"/>
          </w:divBdr>
        </w:div>
        <w:div w:id="837579881">
          <w:marLeft w:val="1728"/>
          <w:marRight w:val="0"/>
          <w:marTop w:val="200"/>
          <w:marBottom w:val="24"/>
          <w:divBdr>
            <w:top w:val="none" w:sz="0" w:space="0" w:color="auto"/>
            <w:left w:val="none" w:sz="0" w:space="0" w:color="auto"/>
            <w:bottom w:val="none" w:sz="0" w:space="0" w:color="auto"/>
            <w:right w:val="none" w:sz="0" w:space="0" w:color="auto"/>
          </w:divBdr>
        </w:div>
      </w:divsChild>
    </w:div>
    <w:div w:id="31999295">
      <w:bodyDiv w:val="1"/>
      <w:marLeft w:val="0"/>
      <w:marRight w:val="0"/>
      <w:marTop w:val="0"/>
      <w:marBottom w:val="0"/>
      <w:divBdr>
        <w:top w:val="none" w:sz="0" w:space="0" w:color="auto"/>
        <w:left w:val="none" w:sz="0" w:space="0" w:color="auto"/>
        <w:bottom w:val="none" w:sz="0" w:space="0" w:color="auto"/>
        <w:right w:val="none" w:sz="0" w:space="0" w:color="auto"/>
      </w:divBdr>
      <w:divsChild>
        <w:div w:id="180438728">
          <w:marLeft w:val="0"/>
          <w:marRight w:val="0"/>
          <w:marTop w:val="0"/>
          <w:marBottom w:val="0"/>
          <w:divBdr>
            <w:top w:val="none" w:sz="0" w:space="0" w:color="auto"/>
            <w:left w:val="none" w:sz="0" w:space="0" w:color="auto"/>
            <w:bottom w:val="none" w:sz="0" w:space="0" w:color="auto"/>
            <w:right w:val="none" w:sz="0" w:space="0" w:color="auto"/>
          </w:divBdr>
        </w:div>
      </w:divsChild>
    </w:div>
    <w:div w:id="42296453">
      <w:bodyDiv w:val="1"/>
      <w:marLeft w:val="0"/>
      <w:marRight w:val="0"/>
      <w:marTop w:val="0"/>
      <w:marBottom w:val="0"/>
      <w:divBdr>
        <w:top w:val="none" w:sz="0" w:space="0" w:color="auto"/>
        <w:left w:val="none" w:sz="0" w:space="0" w:color="auto"/>
        <w:bottom w:val="none" w:sz="0" w:space="0" w:color="auto"/>
        <w:right w:val="none" w:sz="0" w:space="0" w:color="auto"/>
      </w:divBdr>
      <w:divsChild>
        <w:div w:id="1767115670">
          <w:marLeft w:val="0"/>
          <w:marRight w:val="0"/>
          <w:marTop w:val="0"/>
          <w:marBottom w:val="0"/>
          <w:divBdr>
            <w:top w:val="single" w:sz="2" w:space="0" w:color="auto"/>
            <w:left w:val="single" w:sz="2" w:space="0" w:color="auto"/>
            <w:bottom w:val="single" w:sz="6" w:space="0" w:color="auto"/>
            <w:right w:val="single" w:sz="2" w:space="0" w:color="auto"/>
          </w:divBdr>
          <w:divsChild>
            <w:div w:id="539366758">
              <w:marLeft w:val="0"/>
              <w:marRight w:val="0"/>
              <w:marTop w:val="100"/>
              <w:marBottom w:val="100"/>
              <w:divBdr>
                <w:top w:val="single" w:sz="2" w:space="0" w:color="D9D9E3"/>
                <w:left w:val="single" w:sz="2" w:space="0" w:color="D9D9E3"/>
                <w:bottom w:val="single" w:sz="2" w:space="0" w:color="D9D9E3"/>
                <w:right w:val="single" w:sz="2" w:space="0" w:color="D9D9E3"/>
              </w:divBdr>
              <w:divsChild>
                <w:div w:id="1225215716">
                  <w:marLeft w:val="0"/>
                  <w:marRight w:val="0"/>
                  <w:marTop w:val="0"/>
                  <w:marBottom w:val="0"/>
                  <w:divBdr>
                    <w:top w:val="single" w:sz="2" w:space="0" w:color="D9D9E3"/>
                    <w:left w:val="single" w:sz="2" w:space="0" w:color="D9D9E3"/>
                    <w:bottom w:val="single" w:sz="2" w:space="0" w:color="D9D9E3"/>
                    <w:right w:val="single" w:sz="2" w:space="0" w:color="D9D9E3"/>
                  </w:divBdr>
                  <w:divsChild>
                    <w:div w:id="1620916146">
                      <w:marLeft w:val="0"/>
                      <w:marRight w:val="0"/>
                      <w:marTop w:val="0"/>
                      <w:marBottom w:val="0"/>
                      <w:divBdr>
                        <w:top w:val="single" w:sz="2" w:space="0" w:color="D9D9E3"/>
                        <w:left w:val="single" w:sz="2" w:space="0" w:color="D9D9E3"/>
                        <w:bottom w:val="single" w:sz="2" w:space="0" w:color="D9D9E3"/>
                        <w:right w:val="single" w:sz="2" w:space="0" w:color="D9D9E3"/>
                      </w:divBdr>
                      <w:divsChild>
                        <w:div w:id="1921597100">
                          <w:marLeft w:val="0"/>
                          <w:marRight w:val="0"/>
                          <w:marTop w:val="0"/>
                          <w:marBottom w:val="0"/>
                          <w:divBdr>
                            <w:top w:val="single" w:sz="2" w:space="0" w:color="D9D9E3"/>
                            <w:left w:val="single" w:sz="2" w:space="0" w:color="D9D9E3"/>
                            <w:bottom w:val="single" w:sz="2" w:space="0" w:color="D9D9E3"/>
                            <w:right w:val="single" w:sz="2" w:space="0" w:color="D9D9E3"/>
                          </w:divBdr>
                          <w:divsChild>
                            <w:div w:id="2871983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2487942">
      <w:bodyDiv w:val="1"/>
      <w:marLeft w:val="0"/>
      <w:marRight w:val="0"/>
      <w:marTop w:val="0"/>
      <w:marBottom w:val="0"/>
      <w:divBdr>
        <w:top w:val="none" w:sz="0" w:space="0" w:color="auto"/>
        <w:left w:val="none" w:sz="0" w:space="0" w:color="auto"/>
        <w:bottom w:val="none" w:sz="0" w:space="0" w:color="auto"/>
        <w:right w:val="none" w:sz="0" w:space="0" w:color="auto"/>
      </w:divBdr>
      <w:divsChild>
        <w:div w:id="1107045252">
          <w:marLeft w:val="0"/>
          <w:marRight w:val="0"/>
          <w:marTop w:val="0"/>
          <w:marBottom w:val="0"/>
          <w:divBdr>
            <w:top w:val="none" w:sz="0" w:space="0" w:color="auto"/>
            <w:left w:val="none" w:sz="0" w:space="0" w:color="auto"/>
            <w:bottom w:val="none" w:sz="0" w:space="0" w:color="auto"/>
            <w:right w:val="none" w:sz="0" w:space="0" w:color="auto"/>
          </w:divBdr>
        </w:div>
      </w:divsChild>
    </w:div>
    <w:div w:id="76754830">
      <w:bodyDiv w:val="1"/>
      <w:marLeft w:val="0"/>
      <w:marRight w:val="0"/>
      <w:marTop w:val="0"/>
      <w:marBottom w:val="0"/>
      <w:divBdr>
        <w:top w:val="none" w:sz="0" w:space="0" w:color="auto"/>
        <w:left w:val="none" w:sz="0" w:space="0" w:color="auto"/>
        <w:bottom w:val="none" w:sz="0" w:space="0" w:color="auto"/>
        <w:right w:val="none" w:sz="0" w:space="0" w:color="auto"/>
      </w:divBdr>
    </w:div>
    <w:div w:id="87819043">
      <w:bodyDiv w:val="1"/>
      <w:marLeft w:val="0"/>
      <w:marRight w:val="0"/>
      <w:marTop w:val="0"/>
      <w:marBottom w:val="0"/>
      <w:divBdr>
        <w:top w:val="none" w:sz="0" w:space="0" w:color="auto"/>
        <w:left w:val="none" w:sz="0" w:space="0" w:color="auto"/>
        <w:bottom w:val="none" w:sz="0" w:space="0" w:color="auto"/>
        <w:right w:val="none" w:sz="0" w:space="0" w:color="auto"/>
      </w:divBdr>
    </w:div>
    <w:div w:id="107050391">
      <w:bodyDiv w:val="1"/>
      <w:marLeft w:val="0"/>
      <w:marRight w:val="0"/>
      <w:marTop w:val="0"/>
      <w:marBottom w:val="0"/>
      <w:divBdr>
        <w:top w:val="none" w:sz="0" w:space="0" w:color="auto"/>
        <w:left w:val="none" w:sz="0" w:space="0" w:color="auto"/>
        <w:bottom w:val="none" w:sz="0" w:space="0" w:color="auto"/>
        <w:right w:val="none" w:sz="0" w:space="0" w:color="auto"/>
      </w:divBdr>
      <w:divsChild>
        <w:div w:id="146555335">
          <w:marLeft w:val="0"/>
          <w:marRight w:val="0"/>
          <w:marTop w:val="0"/>
          <w:marBottom w:val="0"/>
          <w:divBdr>
            <w:top w:val="single" w:sz="2" w:space="0" w:color="auto"/>
            <w:left w:val="single" w:sz="2" w:space="0" w:color="auto"/>
            <w:bottom w:val="single" w:sz="6" w:space="0" w:color="auto"/>
            <w:right w:val="single" w:sz="2" w:space="0" w:color="auto"/>
          </w:divBdr>
          <w:divsChild>
            <w:div w:id="201557250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456640">
                  <w:marLeft w:val="0"/>
                  <w:marRight w:val="0"/>
                  <w:marTop w:val="0"/>
                  <w:marBottom w:val="0"/>
                  <w:divBdr>
                    <w:top w:val="single" w:sz="2" w:space="0" w:color="D9D9E3"/>
                    <w:left w:val="single" w:sz="2" w:space="0" w:color="D9D9E3"/>
                    <w:bottom w:val="single" w:sz="2" w:space="0" w:color="D9D9E3"/>
                    <w:right w:val="single" w:sz="2" w:space="0" w:color="D9D9E3"/>
                  </w:divBdr>
                  <w:divsChild>
                    <w:div w:id="876505023">
                      <w:marLeft w:val="0"/>
                      <w:marRight w:val="0"/>
                      <w:marTop w:val="0"/>
                      <w:marBottom w:val="0"/>
                      <w:divBdr>
                        <w:top w:val="single" w:sz="2" w:space="0" w:color="D9D9E3"/>
                        <w:left w:val="single" w:sz="2" w:space="0" w:color="D9D9E3"/>
                        <w:bottom w:val="single" w:sz="2" w:space="0" w:color="D9D9E3"/>
                        <w:right w:val="single" w:sz="2" w:space="0" w:color="D9D9E3"/>
                      </w:divBdr>
                      <w:divsChild>
                        <w:div w:id="333337547">
                          <w:marLeft w:val="0"/>
                          <w:marRight w:val="0"/>
                          <w:marTop w:val="0"/>
                          <w:marBottom w:val="0"/>
                          <w:divBdr>
                            <w:top w:val="single" w:sz="2" w:space="0" w:color="D9D9E3"/>
                            <w:left w:val="single" w:sz="2" w:space="0" w:color="D9D9E3"/>
                            <w:bottom w:val="single" w:sz="2" w:space="0" w:color="D9D9E3"/>
                            <w:right w:val="single" w:sz="2" w:space="0" w:color="D9D9E3"/>
                          </w:divBdr>
                          <w:divsChild>
                            <w:div w:id="520319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6339869">
      <w:bodyDiv w:val="1"/>
      <w:marLeft w:val="0"/>
      <w:marRight w:val="0"/>
      <w:marTop w:val="0"/>
      <w:marBottom w:val="0"/>
      <w:divBdr>
        <w:top w:val="none" w:sz="0" w:space="0" w:color="auto"/>
        <w:left w:val="none" w:sz="0" w:space="0" w:color="auto"/>
        <w:bottom w:val="none" w:sz="0" w:space="0" w:color="auto"/>
        <w:right w:val="none" w:sz="0" w:space="0" w:color="auto"/>
      </w:divBdr>
      <w:divsChild>
        <w:div w:id="698510851">
          <w:marLeft w:val="0"/>
          <w:marRight w:val="0"/>
          <w:marTop w:val="0"/>
          <w:marBottom w:val="0"/>
          <w:divBdr>
            <w:top w:val="none" w:sz="0" w:space="0" w:color="auto"/>
            <w:left w:val="none" w:sz="0" w:space="0" w:color="auto"/>
            <w:bottom w:val="none" w:sz="0" w:space="0" w:color="auto"/>
            <w:right w:val="none" w:sz="0" w:space="0" w:color="auto"/>
          </w:divBdr>
        </w:div>
      </w:divsChild>
    </w:div>
    <w:div w:id="132869043">
      <w:bodyDiv w:val="1"/>
      <w:marLeft w:val="0"/>
      <w:marRight w:val="0"/>
      <w:marTop w:val="0"/>
      <w:marBottom w:val="0"/>
      <w:divBdr>
        <w:top w:val="none" w:sz="0" w:space="0" w:color="auto"/>
        <w:left w:val="none" w:sz="0" w:space="0" w:color="auto"/>
        <w:bottom w:val="none" w:sz="0" w:space="0" w:color="auto"/>
        <w:right w:val="none" w:sz="0" w:space="0" w:color="auto"/>
      </w:divBdr>
    </w:div>
    <w:div w:id="172183666">
      <w:bodyDiv w:val="1"/>
      <w:marLeft w:val="0"/>
      <w:marRight w:val="0"/>
      <w:marTop w:val="0"/>
      <w:marBottom w:val="0"/>
      <w:divBdr>
        <w:top w:val="none" w:sz="0" w:space="0" w:color="auto"/>
        <w:left w:val="none" w:sz="0" w:space="0" w:color="auto"/>
        <w:bottom w:val="none" w:sz="0" w:space="0" w:color="auto"/>
        <w:right w:val="none" w:sz="0" w:space="0" w:color="auto"/>
      </w:divBdr>
    </w:div>
    <w:div w:id="182794147">
      <w:bodyDiv w:val="1"/>
      <w:marLeft w:val="0"/>
      <w:marRight w:val="0"/>
      <w:marTop w:val="0"/>
      <w:marBottom w:val="0"/>
      <w:divBdr>
        <w:top w:val="none" w:sz="0" w:space="0" w:color="auto"/>
        <w:left w:val="none" w:sz="0" w:space="0" w:color="auto"/>
        <w:bottom w:val="none" w:sz="0" w:space="0" w:color="auto"/>
        <w:right w:val="none" w:sz="0" w:space="0" w:color="auto"/>
      </w:divBdr>
    </w:div>
    <w:div w:id="187304641">
      <w:bodyDiv w:val="1"/>
      <w:marLeft w:val="0"/>
      <w:marRight w:val="0"/>
      <w:marTop w:val="0"/>
      <w:marBottom w:val="0"/>
      <w:divBdr>
        <w:top w:val="none" w:sz="0" w:space="0" w:color="auto"/>
        <w:left w:val="none" w:sz="0" w:space="0" w:color="auto"/>
        <w:bottom w:val="none" w:sz="0" w:space="0" w:color="auto"/>
        <w:right w:val="none" w:sz="0" w:space="0" w:color="auto"/>
      </w:divBdr>
      <w:divsChild>
        <w:div w:id="840198472">
          <w:marLeft w:val="0"/>
          <w:marRight w:val="0"/>
          <w:marTop w:val="0"/>
          <w:marBottom w:val="0"/>
          <w:divBdr>
            <w:top w:val="single" w:sz="2" w:space="0" w:color="auto"/>
            <w:left w:val="single" w:sz="2" w:space="0" w:color="auto"/>
            <w:bottom w:val="single" w:sz="6" w:space="0" w:color="auto"/>
            <w:right w:val="single" w:sz="2" w:space="0" w:color="auto"/>
          </w:divBdr>
          <w:divsChild>
            <w:div w:id="741374485">
              <w:marLeft w:val="0"/>
              <w:marRight w:val="0"/>
              <w:marTop w:val="100"/>
              <w:marBottom w:val="100"/>
              <w:divBdr>
                <w:top w:val="single" w:sz="2" w:space="0" w:color="D9D9E3"/>
                <w:left w:val="single" w:sz="2" w:space="0" w:color="D9D9E3"/>
                <w:bottom w:val="single" w:sz="2" w:space="0" w:color="D9D9E3"/>
                <w:right w:val="single" w:sz="2" w:space="0" w:color="D9D9E3"/>
              </w:divBdr>
              <w:divsChild>
                <w:div w:id="570694359">
                  <w:marLeft w:val="0"/>
                  <w:marRight w:val="0"/>
                  <w:marTop w:val="0"/>
                  <w:marBottom w:val="0"/>
                  <w:divBdr>
                    <w:top w:val="single" w:sz="2" w:space="0" w:color="D9D9E3"/>
                    <w:left w:val="single" w:sz="2" w:space="0" w:color="D9D9E3"/>
                    <w:bottom w:val="single" w:sz="2" w:space="0" w:color="D9D9E3"/>
                    <w:right w:val="single" w:sz="2" w:space="0" w:color="D9D9E3"/>
                  </w:divBdr>
                  <w:divsChild>
                    <w:div w:id="188766655">
                      <w:marLeft w:val="0"/>
                      <w:marRight w:val="0"/>
                      <w:marTop w:val="0"/>
                      <w:marBottom w:val="0"/>
                      <w:divBdr>
                        <w:top w:val="single" w:sz="2" w:space="0" w:color="D9D9E3"/>
                        <w:left w:val="single" w:sz="2" w:space="0" w:color="D9D9E3"/>
                        <w:bottom w:val="single" w:sz="2" w:space="0" w:color="D9D9E3"/>
                        <w:right w:val="single" w:sz="2" w:space="0" w:color="D9D9E3"/>
                      </w:divBdr>
                      <w:divsChild>
                        <w:div w:id="215973884">
                          <w:marLeft w:val="0"/>
                          <w:marRight w:val="0"/>
                          <w:marTop w:val="0"/>
                          <w:marBottom w:val="0"/>
                          <w:divBdr>
                            <w:top w:val="single" w:sz="2" w:space="0" w:color="D9D9E3"/>
                            <w:left w:val="single" w:sz="2" w:space="0" w:color="D9D9E3"/>
                            <w:bottom w:val="single" w:sz="2" w:space="0" w:color="D9D9E3"/>
                            <w:right w:val="single" w:sz="2" w:space="0" w:color="D9D9E3"/>
                          </w:divBdr>
                          <w:divsChild>
                            <w:div w:id="1766072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25723702">
      <w:bodyDiv w:val="1"/>
      <w:marLeft w:val="0"/>
      <w:marRight w:val="0"/>
      <w:marTop w:val="0"/>
      <w:marBottom w:val="0"/>
      <w:divBdr>
        <w:top w:val="none" w:sz="0" w:space="0" w:color="auto"/>
        <w:left w:val="none" w:sz="0" w:space="0" w:color="auto"/>
        <w:bottom w:val="none" w:sz="0" w:space="0" w:color="auto"/>
        <w:right w:val="none" w:sz="0" w:space="0" w:color="auto"/>
      </w:divBdr>
    </w:div>
    <w:div w:id="250239976">
      <w:bodyDiv w:val="1"/>
      <w:marLeft w:val="0"/>
      <w:marRight w:val="0"/>
      <w:marTop w:val="0"/>
      <w:marBottom w:val="0"/>
      <w:divBdr>
        <w:top w:val="none" w:sz="0" w:space="0" w:color="auto"/>
        <w:left w:val="none" w:sz="0" w:space="0" w:color="auto"/>
        <w:bottom w:val="none" w:sz="0" w:space="0" w:color="auto"/>
        <w:right w:val="none" w:sz="0" w:space="0" w:color="auto"/>
      </w:divBdr>
    </w:div>
    <w:div w:id="270093049">
      <w:bodyDiv w:val="1"/>
      <w:marLeft w:val="0"/>
      <w:marRight w:val="0"/>
      <w:marTop w:val="0"/>
      <w:marBottom w:val="0"/>
      <w:divBdr>
        <w:top w:val="none" w:sz="0" w:space="0" w:color="auto"/>
        <w:left w:val="none" w:sz="0" w:space="0" w:color="auto"/>
        <w:bottom w:val="none" w:sz="0" w:space="0" w:color="auto"/>
        <w:right w:val="none" w:sz="0" w:space="0" w:color="auto"/>
      </w:divBdr>
    </w:div>
    <w:div w:id="311300270">
      <w:bodyDiv w:val="1"/>
      <w:marLeft w:val="0"/>
      <w:marRight w:val="0"/>
      <w:marTop w:val="0"/>
      <w:marBottom w:val="0"/>
      <w:divBdr>
        <w:top w:val="none" w:sz="0" w:space="0" w:color="auto"/>
        <w:left w:val="none" w:sz="0" w:space="0" w:color="auto"/>
        <w:bottom w:val="none" w:sz="0" w:space="0" w:color="auto"/>
        <w:right w:val="none" w:sz="0" w:space="0" w:color="auto"/>
      </w:divBdr>
    </w:div>
    <w:div w:id="357508415">
      <w:bodyDiv w:val="1"/>
      <w:marLeft w:val="0"/>
      <w:marRight w:val="0"/>
      <w:marTop w:val="0"/>
      <w:marBottom w:val="0"/>
      <w:divBdr>
        <w:top w:val="none" w:sz="0" w:space="0" w:color="auto"/>
        <w:left w:val="none" w:sz="0" w:space="0" w:color="auto"/>
        <w:bottom w:val="none" w:sz="0" w:space="0" w:color="auto"/>
        <w:right w:val="none" w:sz="0" w:space="0" w:color="auto"/>
      </w:divBdr>
    </w:div>
    <w:div w:id="369762167">
      <w:bodyDiv w:val="1"/>
      <w:marLeft w:val="0"/>
      <w:marRight w:val="0"/>
      <w:marTop w:val="0"/>
      <w:marBottom w:val="0"/>
      <w:divBdr>
        <w:top w:val="none" w:sz="0" w:space="0" w:color="auto"/>
        <w:left w:val="none" w:sz="0" w:space="0" w:color="auto"/>
        <w:bottom w:val="none" w:sz="0" w:space="0" w:color="auto"/>
        <w:right w:val="none" w:sz="0" w:space="0" w:color="auto"/>
      </w:divBdr>
    </w:div>
    <w:div w:id="393506649">
      <w:bodyDiv w:val="1"/>
      <w:marLeft w:val="0"/>
      <w:marRight w:val="0"/>
      <w:marTop w:val="0"/>
      <w:marBottom w:val="0"/>
      <w:divBdr>
        <w:top w:val="none" w:sz="0" w:space="0" w:color="auto"/>
        <w:left w:val="none" w:sz="0" w:space="0" w:color="auto"/>
        <w:bottom w:val="none" w:sz="0" w:space="0" w:color="auto"/>
        <w:right w:val="none" w:sz="0" w:space="0" w:color="auto"/>
      </w:divBdr>
    </w:div>
    <w:div w:id="411975426">
      <w:bodyDiv w:val="1"/>
      <w:marLeft w:val="0"/>
      <w:marRight w:val="0"/>
      <w:marTop w:val="0"/>
      <w:marBottom w:val="0"/>
      <w:divBdr>
        <w:top w:val="none" w:sz="0" w:space="0" w:color="auto"/>
        <w:left w:val="none" w:sz="0" w:space="0" w:color="auto"/>
        <w:bottom w:val="none" w:sz="0" w:space="0" w:color="auto"/>
        <w:right w:val="none" w:sz="0" w:space="0" w:color="auto"/>
      </w:divBdr>
    </w:div>
    <w:div w:id="414476872">
      <w:bodyDiv w:val="1"/>
      <w:marLeft w:val="0"/>
      <w:marRight w:val="0"/>
      <w:marTop w:val="0"/>
      <w:marBottom w:val="0"/>
      <w:divBdr>
        <w:top w:val="none" w:sz="0" w:space="0" w:color="auto"/>
        <w:left w:val="none" w:sz="0" w:space="0" w:color="auto"/>
        <w:bottom w:val="none" w:sz="0" w:space="0" w:color="auto"/>
        <w:right w:val="none" w:sz="0" w:space="0" w:color="auto"/>
      </w:divBdr>
    </w:div>
    <w:div w:id="417559293">
      <w:bodyDiv w:val="1"/>
      <w:marLeft w:val="0"/>
      <w:marRight w:val="0"/>
      <w:marTop w:val="0"/>
      <w:marBottom w:val="0"/>
      <w:divBdr>
        <w:top w:val="none" w:sz="0" w:space="0" w:color="auto"/>
        <w:left w:val="none" w:sz="0" w:space="0" w:color="auto"/>
        <w:bottom w:val="none" w:sz="0" w:space="0" w:color="auto"/>
        <w:right w:val="none" w:sz="0" w:space="0" w:color="auto"/>
      </w:divBdr>
    </w:div>
    <w:div w:id="426770557">
      <w:bodyDiv w:val="1"/>
      <w:marLeft w:val="0"/>
      <w:marRight w:val="0"/>
      <w:marTop w:val="0"/>
      <w:marBottom w:val="0"/>
      <w:divBdr>
        <w:top w:val="none" w:sz="0" w:space="0" w:color="auto"/>
        <w:left w:val="none" w:sz="0" w:space="0" w:color="auto"/>
        <w:bottom w:val="none" w:sz="0" w:space="0" w:color="auto"/>
        <w:right w:val="none" w:sz="0" w:space="0" w:color="auto"/>
      </w:divBdr>
    </w:div>
    <w:div w:id="428505770">
      <w:bodyDiv w:val="1"/>
      <w:marLeft w:val="0"/>
      <w:marRight w:val="0"/>
      <w:marTop w:val="0"/>
      <w:marBottom w:val="0"/>
      <w:divBdr>
        <w:top w:val="none" w:sz="0" w:space="0" w:color="auto"/>
        <w:left w:val="none" w:sz="0" w:space="0" w:color="auto"/>
        <w:bottom w:val="none" w:sz="0" w:space="0" w:color="auto"/>
        <w:right w:val="none" w:sz="0" w:space="0" w:color="auto"/>
      </w:divBdr>
    </w:div>
    <w:div w:id="439764065">
      <w:bodyDiv w:val="1"/>
      <w:marLeft w:val="0"/>
      <w:marRight w:val="0"/>
      <w:marTop w:val="0"/>
      <w:marBottom w:val="0"/>
      <w:divBdr>
        <w:top w:val="none" w:sz="0" w:space="0" w:color="auto"/>
        <w:left w:val="none" w:sz="0" w:space="0" w:color="auto"/>
        <w:bottom w:val="none" w:sz="0" w:space="0" w:color="auto"/>
        <w:right w:val="none" w:sz="0" w:space="0" w:color="auto"/>
      </w:divBdr>
    </w:div>
    <w:div w:id="450175373">
      <w:bodyDiv w:val="1"/>
      <w:marLeft w:val="0"/>
      <w:marRight w:val="0"/>
      <w:marTop w:val="0"/>
      <w:marBottom w:val="0"/>
      <w:divBdr>
        <w:top w:val="none" w:sz="0" w:space="0" w:color="auto"/>
        <w:left w:val="none" w:sz="0" w:space="0" w:color="auto"/>
        <w:bottom w:val="none" w:sz="0" w:space="0" w:color="auto"/>
        <w:right w:val="none" w:sz="0" w:space="0" w:color="auto"/>
      </w:divBdr>
      <w:divsChild>
        <w:div w:id="1720322553">
          <w:marLeft w:val="0"/>
          <w:marRight w:val="0"/>
          <w:marTop w:val="0"/>
          <w:marBottom w:val="0"/>
          <w:divBdr>
            <w:top w:val="none" w:sz="0" w:space="0" w:color="auto"/>
            <w:left w:val="none" w:sz="0" w:space="0" w:color="auto"/>
            <w:bottom w:val="none" w:sz="0" w:space="0" w:color="auto"/>
            <w:right w:val="none" w:sz="0" w:space="0" w:color="auto"/>
          </w:divBdr>
        </w:div>
      </w:divsChild>
    </w:div>
    <w:div w:id="490414573">
      <w:bodyDiv w:val="1"/>
      <w:marLeft w:val="0"/>
      <w:marRight w:val="0"/>
      <w:marTop w:val="0"/>
      <w:marBottom w:val="0"/>
      <w:divBdr>
        <w:top w:val="none" w:sz="0" w:space="0" w:color="auto"/>
        <w:left w:val="none" w:sz="0" w:space="0" w:color="auto"/>
        <w:bottom w:val="none" w:sz="0" w:space="0" w:color="auto"/>
        <w:right w:val="none" w:sz="0" w:space="0" w:color="auto"/>
      </w:divBdr>
      <w:divsChild>
        <w:div w:id="317462821">
          <w:marLeft w:val="0"/>
          <w:marRight w:val="0"/>
          <w:marTop w:val="0"/>
          <w:marBottom w:val="0"/>
          <w:divBdr>
            <w:top w:val="none" w:sz="0" w:space="0" w:color="auto"/>
            <w:left w:val="none" w:sz="0" w:space="0" w:color="auto"/>
            <w:bottom w:val="none" w:sz="0" w:space="0" w:color="auto"/>
            <w:right w:val="none" w:sz="0" w:space="0" w:color="auto"/>
          </w:divBdr>
        </w:div>
      </w:divsChild>
    </w:div>
    <w:div w:id="562522349">
      <w:bodyDiv w:val="1"/>
      <w:marLeft w:val="0"/>
      <w:marRight w:val="0"/>
      <w:marTop w:val="0"/>
      <w:marBottom w:val="0"/>
      <w:divBdr>
        <w:top w:val="none" w:sz="0" w:space="0" w:color="auto"/>
        <w:left w:val="none" w:sz="0" w:space="0" w:color="auto"/>
        <w:bottom w:val="none" w:sz="0" w:space="0" w:color="auto"/>
        <w:right w:val="none" w:sz="0" w:space="0" w:color="auto"/>
      </w:divBdr>
      <w:divsChild>
        <w:div w:id="2066251656">
          <w:marLeft w:val="0"/>
          <w:marRight w:val="0"/>
          <w:marTop w:val="0"/>
          <w:marBottom w:val="0"/>
          <w:divBdr>
            <w:top w:val="none" w:sz="0" w:space="0" w:color="auto"/>
            <w:left w:val="none" w:sz="0" w:space="0" w:color="auto"/>
            <w:bottom w:val="none" w:sz="0" w:space="0" w:color="auto"/>
            <w:right w:val="none" w:sz="0" w:space="0" w:color="auto"/>
          </w:divBdr>
        </w:div>
      </w:divsChild>
    </w:div>
    <w:div w:id="582836293">
      <w:bodyDiv w:val="1"/>
      <w:marLeft w:val="0"/>
      <w:marRight w:val="0"/>
      <w:marTop w:val="0"/>
      <w:marBottom w:val="0"/>
      <w:divBdr>
        <w:top w:val="none" w:sz="0" w:space="0" w:color="auto"/>
        <w:left w:val="none" w:sz="0" w:space="0" w:color="auto"/>
        <w:bottom w:val="none" w:sz="0" w:space="0" w:color="auto"/>
        <w:right w:val="none" w:sz="0" w:space="0" w:color="auto"/>
      </w:divBdr>
      <w:divsChild>
        <w:div w:id="921836477">
          <w:marLeft w:val="0"/>
          <w:marRight w:val="0"/>
          <w:marTop w:val="0"/>
          <w:marBottom w:val="0"/>
          <w:divBdr>
            <w:top w:val="none" w:sz="0" w:space="0" w:color="auto"/>
            <w:left w:val="none" w:sz="0" w:space="0" w:color="auto"/>
            <w:bottom w:val="none" w:sz="0" w:space="0" w:color="auto"/>
            <w:right w:val="none" w:sz="0" w:space="0" w:color="auto"/>
          </w:divBdr>
        </w:div>
      </w:divsChild>
    </w:div>
    <w:div w:id="589585992">
      <w:bodyDiv w:val="1"/>
      <w:marLeft w:val="0"/>
      <w:marRight w:val="0"/>
      <w:marTop w:val="0"/>
      <w:marBottom w:val="0"/>
      <w:divBdr>
        <w:top w:val="none" w:sz="0" w:space="0" w:color="auto"/>
        <w:left w:val="none" w:sz="0" w:space="0" w:color="auto"/>
        <w:bottom w:val="none" w:sz="0" w:space="0" w:color="auto"/>
        <w:right w:val="none" w:sz="0" w:space="0" w:color="auto"/>
      </w:divBdr>
    </w:div>
    <w:div w:id="599145771">
      <w:bodyDiv w:val="1"/>
      <w:marLeft w:val="0"/>
      <w:marRight w:val="0"/>
      <w:marTop w:val="0"/>
      <w:marBottom w:val="0"/>
      <w:divBdr>
        <w:top w:val="none" w:sz="0" w:space="0" w:color="auto"/>
        <w:left w:val="none" w:sz="0" w:space="0" w:color="auto"/>
        <w:bottom w:val="none" w:sz="0" w:space="0" w:color="auto"/>
        <w:right w:val="none" w:sz="0" w:space="0" w:color="auto"/>
      </w:divBdr>
      <w:divsChild>
        <w:div w:id="1818568471">
          <w:marLeft w:val="1728"/>
          <w:marRight w:val="0"/>
          <w:marTop w:val="400"/>
          <w:marBottom w:val="24"/>
          <w:divBdr>
            <w:top w:val="none" w:sz="0" w:space="0" w:color="auto"/>
            <w:left w:val="none" w:sz="0" w:space="0" w:color="auto"/>
            <w:bottom w:val="none" w:sz="0" w:space="0" w:color="auto"/>
            <w:right w:val="none" w:sz="0" w:space="0" w:color="auto"/>
          </w:divBdr>
        </w:div>
      </w:divsChild>
    </w:div>
    <w:div w:id="614752466">
      <w:bodyDiv w:val="1"/>
      <w:marLeft w:val="0"/>
      <w:marRight w:val="0"/>
      <w:marTop w:val="0"/>
      <w:marBottom w:val="0"/>
      <w:divBdr>
        <w:top w:val="none" w:sz="0" w:space="0" w:color="auto"/>
        <w:left w:val="none" w:sz="0" w:space="0" w:color="auto"/>
        <w:bottom w:val="none" w:sz="0" w:space="0" w:color="auto"/>
        <w:right w:val="none" w:sz="0" w:space="0" w:color="auto"/>
      </w:divBdr>
    </w:div>
    <w:div w:id="637228022">
      <w:bodyDiv w:val="1"/>
      <w:marLeft w:val="0"/>
      <w:marRight w:val="0"/>
      <w:marTop w:val="0"/>
      <w:marBottom w:val="0"/>
      <w:divBdr>
        <w:top w:val="none" w:sz="0" w:space="0" w:color="auto"/>
        <w:left w:val="none" w:sz="0" w:space="0" w:color="auto"/>
        <w:bottom w:val="none" w:sz="0" w:space="0" w:color="auto"/>
        <w:right w:val="none" w:sz="0" w:space="0" w:color="auto"/>
      </w:divBdr>
    </w:div>
    <w:div w:id="638875448">
      <w:bodyDiv w:val="1"/>
      <w:marLeft w:val="0"/>
      <w:marRight w:val="0"/>
      <w:marTop w:val="0"/>
      <w:marBottom w:val="0"/>
      <w:divBdr>
        <w:top w:val="none" w:sz="0" w:space="0" w:color="auto"/>
        <w:left w:val="none" w:sz="0" w:space="0" w:color="auto"/>
        <w:bottom w:val="none" w:sz="0" w:space="0" w:color="auto"/>
        <w:right w:val="none" w:sz="0" w:space="0" w:color="auto"/>
      </w:divBdr>
    </w:div>
    <w:div w:id="687218396">
      <w:bodyDiv w:val="1"/>
      <w:marLeft w:val="0"/>
      <w:marRight w:val="0"/>
      <w:marTop w:val="0"/>
      <w:marBottom w:val="0"/>
      <w:divBdr>
        <w:top w:val="none" w:sz="0" w:space="0" w:color="auto"/>
        <w:left w:val="none" w:sz="0" w:space="0" w:color="auto"/>
        <w:bottom w:val="none" w:sz="0" w:space="0" w:color="auto"/>
        <w:right w:val="none" w:sz="0" w:space="0" w:color="auto"/>
      </w:divBdr>
    </w:div>
    <w:div w:id="687368356">
      <w:bodyDiv w:val="1"/>
      <w:marLeft w:val="0"/>
      <w:marRight w:val="0"/>
      <w:marTop w:val="0"/>
      <w:marBottom w:val="0"/>
      <w:divBdr>
        <w:top w:val="none" w:sz="0" w:space="0" w:color="auto"/>
        <w:left w:val="none" w:sz="0" w:space="0" w:color="auto"/>
        <w:bottom w:val="none" w:sz="0" w:space="0" w:color="auto"/>
        <w:right w:val="none" w:sz="0" w:space="0" w:color="auto"/>
      </w:divBdr>
      <w:divsChild>
        <w:div w:id="1821996114">
          <w:marLeft w:val="0"/>
          <w:marRight w:val="0"/>
          <w:marTop w:val="0"/>
          <w:marBottom w:val="0"/>
          <w:divBdr>
            <w:top w:val="single" w:sz="2" w:space="0" w:color="auto"/>
            <w:left w:val="single" w:sz="2" w:space="0" w:color="auto"/>
            <w:bottom w:val="single" w:sz="6" w:space="0" w:color="auto"/>
            <w:right w:val="single" w:sz="2" w:space="0" w:color="auto"/>
          </w:divBdr>
          <w:divsChild>
            <w:div w:id="1634630838">
              <w:marLeft w:val="0"/>
              <w:marRight w:val="0"/>
              <w:marTop w:val="100"/>
              <w:marBottom w:val="100"/>
              <w:divBdr>
                <w:top w:val="single" w:sz="2" w:space="0" w:color="D9D9E3"/>
                <w:left w:val="single" w:sz="2" w:space="0" w:color="D9D9E3"/>
                <w:bottom w:val="single" w:sz="2" w:space="0" w:color="D9D9E3"/>
                <w:right w:val="single" w:sz="2" w:space="0" w:color="D9D9E3"/>
              </w:divBdr>
              <w:divsChild>
                <w:div w:id="869613768">
                  <w:marLeft w:val="0"/>
                  <w:marRight w:val="0"/>
                  <w:marTop w:val="0"/>
                  <w:marBottom w:val="0"/>
                  <w:divBdr>
                    <w:top w:val="single" w:sz="2" w:space="0" w:color="D9D9E3"/>
                    <w:left w:val="single" w:sz="2" w:space="0" w:color="D9D9E3"/>
                    <w:bottom w:val="single" w:sz="2" w:space="0" w:color="D9D9E3"/>
                    <w:right w:val="single" w:sz="2" w:space="0" w:color="D9D9E3"/>
                  </w:divBdr>
                  <w:divsChild>
                    <w:div w:id="498036588">
                      <w:marLeft w:val="0"/>
                      <w:marRight w:val="0"/>
                      <w:marTop w:val="0"/>
                      <w:marBottom w:val="0"/>
                      <w:divBdr>
                        <w:top w:val="single" w:sz="2" w:space="0" w:color="D9D9E3"/>
                        <w:left w:val="single" w:sz="2" w:space="0" w:color="D9D9E3"/>
                        <w:bottom w:val="single" w:sz="2" w:space="0" w:color="D9D9E3"/>
                        <w:right w:val="single" w:sz="2" w:space="0" w:color="D9D9E3"/>
                      </w:divBdr>
                      <w:divsChild>
                        <w:div w:id="1909803247">
                          <w:marLeft w:val="0"/>
                          <w:marRight w:val="0"/>
                          <w:marTop w:val="0"/>
                          <w:marBottom w:val="0"/>
                          <w:divBdr>
                            <w:top w:val="single" w:sz="2" w:space="0" w:color="D9D9E3"/>
                            <w:left w:val="single" w:sz="2" w:space="0" w:color="D9D9E3"/>
                            <w:bottom w:val="single" w:sz="2" w:space="0" w:color="D9D9E3"/>
                            <w:right w:val="single" w:sz="2" w:space="0" w:color="D9D9E3"/>
                          </w:divBdr>
                          <w:divsChild>
                            <w:div w:id="10086789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07874327">
      <w:bodyDiv w:val="1"/>
      <w:marLeft w:val="0"/>
      <w:marRight w:val="0"/>
      <w:marTop w:val="0"/>
      <w:marBottom w:val="0"/>
      <w:divBdr>
        <w:top w:val="none" w:sz="0" w:space="0" w:color="auto"/>
        <w:left w:val="none" w:sz="0" w:space="0" w:color="auto"/>
        <w:bottom w:val="none" w:sz="0" w:space="0" w:color="auto"/>
        <w:right w:val="none" w:sz="0" w:space="0" w:color="auto"/>
      </w:divBdr>
      <w:divsChild>
        <w:div w:id="542714564">
          <w:marLeft w:val="0"/>
          <w:marRight w:val="0"/>
          <w:marTop w:val="0"/>
          <w:marBottom w:val="0"/>
          <w:divBdr>
            <w:top w:val="none" w:sz="0" w:space="0" w:color="auto"/>
            <w:left w:val="none" w:sz="0" w:space="0" w:color="auto"/>
            <w:bottom w:val="none" w:sz="0" w:space="0" w:color="auto"/>
            <w:right w:val="none" w:sz="0" w:space="0" w:color="auto"/>
          </w:divBdr>
        </w:div>
      </w:divsChild>
    </w:div>
    <w:div w:id="724792630">
      <w:bodyDiv w:val="1"/>
      <w:marLeft w:val="0"/>
      <w:marRight w:val="0"/>
      <w:marTop w:val="0"/>
      <w:marBottom w:val="0"/>
      <w:divBdr>
        <w:top w:val="none" w:sz="0" w:space="0" w:color="auto"/>
        <w:left w:val="none" w:sz="0" w:space="0" w:color="auto"/>
        <w:bottom w:val="none" w:sz="0" w:space="0" w:color="auto"/>
        <w:right w:val="none" w:sz="0" w:space="0" w:color="auto"/>
      </w:divBdr>
    </w:div>
    <w:div w:id="726487927">
      <w:bodyDiv w:val="1"/>
      <w:marLeft w:val="0"/>
      <w:marRight w:val="0"/>
      <w:marTop w:val="0"/>
      <w:marBottom w:val="0"/>
      <w:divBdr>
        <w:top w:val="none" w:sz="0" w:space="0" w:color="auto"/>
        <w:left w:val="none" w:sz="0" w:space="0" w:color="auto"/>
        <w:bottom w:val="none" w:sz="0" w:space="0" w:color="auto"/>
        <w:right w:val="none" w:sz="0" w:space="0" w:color="auto"/>
      </w:divBdr>
    </w:div>
    <w:div w:id="736169115">
      <w:bodyDiv w:val="1"/>
      <w:marLeft w:val="0"/>
      <w:marRight w:val="0"/>
      <w:marTop w:val="0"/>
      <w:marBottom w:val="0"/>
      <w:divBdr>
        <w:top w:val="none" w:sz="0" w:space="0" w:color="auto"/>
        <w:left w:val="none" w:sz="0" w:space="0" w:color="auto"/>
        <w:bottom w:val="none" w:sz="0" w:space="0" w:color="auto"/>
        <w:right w:val="none" w:sz="0" w:space="0" w:color="auto"/>
      </w:divBdr>
    </w:div>
    <w:div w:id="741486779">
      <w:bodyDiv w:val="1"/>
      <w:marLeft w:val="0"/>
      <w:marRight w:val="0"/>
      <w:marTop w:val="0"/>
      <w:marBottom w:val="0"/>
      <w:divBdr>
        <w:top w:val="none" w:sz="0" w:space="0" w:color="auto"/>
        <w:left w:val="none" w:sz="0" w:space="0" w:color="auto"/>
        <w:bottom w:val="none" w:sz="0" w:space="0" w:color="auto"/>
        <w:right w:val="none" w:sz="0" w:space="0" w:color="auto"/>
      </w:divBdr>
    </w:div>
    <w:div w:id="768506954">
      <w:bodyDiv w:val="1"/>
      <w:marLeft w:val="0"/>
      <w:marRight w:val="0"/>
      <w:marTop w:val="0"/>
      <w:marBottom w:val="0"/>
      <w:divBdr>
        <w:top w:val="none" w:sz="0" w:space="0" w:color="auto"/>
        <w:left w:val="none" w:sz="0" w:space="0" w:color="auto"/>
        <w:bottom w:val="none" w:sz="0" w:space="0" w:color="auto"/>
        <w:right w:val="none" w:sz="0" w:space="0" w:color="auto"/>
      </w:divBdr>
    </w:div>
    <w:div w:id="849027079">
      <w:bodyDiv w:val="1"/>
      <w:marLeft w:val="0"/>
      <w:marRight w:val="0"/>
      <w:marTop w:val="0"/>
      <w:marBottom w:val="0"/>
      <w:divBdr>
        <w:top w:val="none" w:sz="0" w:space="0" w:color="auto"/>
        <w:left w:val="none" w:sz="0" w:space="0" w:color="auto"/>
        <w:bottom w:val="none" w:sz="0" w:space="0" w:color="auto"/>
        <w:right w:val="none" w:sz="0" w:space="0" w:color="auto"/>
      </w:divBdr>
      <w:divsChild>
        <w:div w:id="14162403">
          <w:marLeft w:val="0"/>
          <w:marRight w:val="0"/>
          <w:marTop w:val="0"/>
          <w:marBottom w:val="0"/>
          <w:divBdr>
            <w:top w:val="single" w:sz="2" w:space="0" w:color="auto"/>
            <w:left w:val="single" w:sz="2" w:space="0" w:color="auto"/>
            <w:bottom w:val="single" w:sz="6" w:space="0" w:color="auto"/>
            <w:right w:val="single" w:sz="2" w:space="0" w:color="auto"/>
          </w:divBdr>
          <w:divsChild>
            <w:div w:id="1426805702">
              <w:marLeft w:val="0"/>
              <w:marRight w:val="0"/>
              <w:marTop w:val="100"/>
              <w:marBottom w:val="100"/>
              <w:divBdr>
                <w:top w:val="single" w:sz="2" w:space="0" w:color="D9D9E3"/>
                <w:left w:val="single" w:sz="2" w:space="0" w:color="D9D9E3"/>
                <w:bottom w:val="single" w:sz="2" w:space="0" w:color="D9D9E3"/>
                <w:right w:val="single" w:sz="2" w:space="0" w:color="D9D9E3"/>
              </w:divBdr>
              <w:divsChild>
                <w:div w:id="1494490123">
                  <w:marLeft w:val="0"/>
                  <w:marRight w:val="0"/>
                  <w:marTop w:val="0"/>
                  <w:marBottom w:val="0"/>
                  <w:divBdr>
                    <w:top w:val="single" w:sz="2" w:space="0" w:color="D9D9E3"/>
                    <w:left w:val="single" w:sz="2" w:space="0" w:color="D9D9E3"/>
                    <w:bottom w:val="single" w:sz="2" w:space="0" w:color="D9D9E3"/>
                    <w:right w:val="single" w:sz="2" w:space="0" w:color="D9D9E3"/>
                  </w:divBdr>
                  <w:divsChild>
                    <w:div w:id="533269897">
                      <w:marLeft w:val="0"/>
                      <w:marRight w:val="0"/>
                      <w:marTop w:val="0"/>
                      <w:marBottom w:val="0"/>
                      <w:divBdr>
                        <w:top w:val="single" w:sz="2" w:space="0" w:color="D9D9E3"/>
                        <w:left w:val="single" w:sz="2" w:space="0" w:color="D9D9E3"/>
                        <w:bottom w:val="single" w:sz="2" w:space="0" w:color="D9D9E3"/>
                        <w:right w:val="single" w:sz="2" w:space="0" w:color="D9D9E3"/>
                      </w:divBdr>
                      <w:divsChild>
                        <w:div w:id="1036394212">
                          <w:marLeft w:val="0"/>
                          <w:marRight w:val="0"/>
                          <w:marTop w:val="0"/>
                          <w:marBottom w:val="0"/>
                          <w:divBdr>
                            <w:top w:val="single" w:sz="2" w:space="0" w:color="D9D9E3"/>
                            <w:left w:val="single" w:sz="2" w:space="0" w:color="D9D9E3"/>
                            <w:bottom w:val="single" w:sz="2" w:space="0" w:color="D9D9E3"/>
                            <w:right w:val="single" w:sz="2" w:space="0" w:color="D9D9E3"/>
                          </w:divBdr>
                          <w:divsChild>
                            <w:div w:id="284551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65489428">
      <w:bodyDiv w:val="1"/>
      <w:marLeft w:val="0"/>
      <w:marRight w:val="0"/>
      <w:marTop w:val="0"/>
      <w:marBottom w:val="0"/>
      <w:divBdr>
        <w:top w:val="none" w:sz="0" w:space="0" w:color="auto"/>
        <w:left w:val="none" w:sz="0" w:space="0" w:color="auto"/>
        <w:bottom w:val="none" w:sz="0" w:space="0" w:color="auto"/>
        <w:right w:val="none" w:sz="0" w:space="0" w:color="auto"/>
      </w:divBdr>
    </w:div>
    <w:div w:id="883061689">
      <w:bodyDiv w:val="1"/>
      <w:marLeft w:val="0"/>
      <w:marRight w:val="0"/>
      <w:marTop w:val="0"/>
      <w:marBottom w:val="0"/>
      <w:divBdr>
        <w:top w:val="none" w:sz="0" w:space="0" w:color="auto"/>
        <w:left w:val="none" w:sz="0" w:space="0" w:color="auto"/>
        <w:bottom w:val="none" w:sz="0" w:space="0" w:color="auto"/>
        <w:right w:val="none" w:sz="0" w:space="0" w:color="auto"/>
      </w:divBdr>
    </w:div>
    <w:div w:id="912786034">
      <w:bodyDiv w:val="1"/>
      <w:marLeft w:val="0"/>
      <w:marRight w:val="0"/>
      <w:marTop w:val="0"/>
      <w:marBottom w:val="0"/>
      <w:divBdr>
        <w:top w:val="none" w:sz="0" w:space="0" w:color="auto"/>
        <w:left w:val="none" w:sz="0" w:space="0" w:color="auto"/>
        <w:bottom w:val="none" w:sz="0" w:space="0" w:color="auto"/>
        <w:right w:val="none" w:sz="0" w:space="0" w:color="auto"/>
      </w:divBdr>
      <w:divsChild>
        <w:div w:id="1283026961">
          <w:marLeft w:val="0"/>
          <w:marRight w:val="0"/>
          <w:marTop w:val="0"/>
          <w:marBottom w:val="0"/>
          <w:divBdr>
            <w:top w:val="single" w:sz="2" w:space="0" w:color="auto"/>
            <w:left w:val="single" w:sz="2" w:space="0" w:color="auto"/>
            <w:bottom w:val="single" w:sz="6" w:space="0" w:color="auto"/>
            <w:right w:val="single" w:sz="2" w:space="0" w:color="auto"/>
          </w:divBdr>
          <w:divsChild>
            <w:div w:id="20537296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68638067">
                  <w:marLeft w:val="0"/>
                  <w:marRight w:val="0"/>
                  <w:marTop w:val="0"/>
                  <w:marBottom w:val="0"/>
                  <w:divBdr>
                    <w:top w:val="single" w:sz="2" w:space="0" w:color="D9D9E3"/>
                    <w:left w:val="single" w:sz="2" w:space="0" w:color="D9D9E3"/>
                    <w:bottom w:val="single" w:sz="2" w:space="0" w:color="D9D9E3"/>
                    <w:right w:val="single" w:sz="2" w:space="0" w:color="D9D9E3"/>
                  </w:divBdr>
                  <w:divsChild>
                    <w:div w:id="2055887864">
                      <w:marLeft w:val="0"/>
                      <w:marRight w:val="0"/>
                      <w:marTop w:val="0"/>
                      <w:marBottom w:val="0"/>
                      <w:divBdr>
                        <w:top w:val="single" w:sz="2" w:space="0" w:color="D9D9E3"/>
                        <w:left w:val="single" w:sz="2" w:space="0" w:color="D9D9E3"/>
                        <w:bottom w:val="single" w:sz="2" w:space="0" w:color="D9D9E3"/>
                        <w:right w:val="single" w:sz="2" w:space="0" w:color="D9D9E3"/>
                      </w:divBdr>
                      <w:divsChild>
                        <w:div w:id="1419673098">
                          <w:marLeft w:val="0"/>
                          <w:marRight w:val="0"/>
                          <w:marTop w:val="0"/>
                          <w:marBottom w:val="0"/>
                          <w:divBdr>
                            <w:top w:val="single" w:sz="2" w:space="0" w:color="D9D9E3"/>
                            <w:left w:val="single" w:sz="2" w:space="0" w:color="D9D9E3"/>
                            <w:bottom w:val="single" w:sz="2" w:space="0" w:color="D9D9E3"/>
                            <w:right w:val="single" w:sz="2" w:space="0" w:color="D9D9E3"/>
                          </w:divBdr>
                          <w:divsChild>
                            <w:div w:id="6290922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3394293">
      <w:bodyDiv w:val="1"/>
      <w:marLeft w:val="0"/>
      <w:marRight w:val="0"/>
      <w:marTop w:val="0"/>
      <w:marBottom w:val="0"/>
      <w:divBdr>
        <w:top w:val="none" w:sz="0" w:space="0" w:color="auto"/>
        <w:left w:val="none" w:sz="0" w:space="0" w:color="auto"/>
        <w:bottom w:val="none" w:sz="0" w:space="0" w:color="auto"/>
        <w:right w:val="none" w:sz="0" w:space="0" w:color="auto"/>
      </w:divBdr>
    </w:div>
    <w:div w:id="944701578">
      <w:bodyDiv w:val="1"/>
      <w:marLeft w:val="0"/>
      <w:marRight w:val="0"/>
      <w:marTop w:val="0"/>
      <w:marBottom w:val="0"/>
      <w:divBdr>
        <w:top w:val="none" w:sz="0" w:space="0" w:color="auto"/>
        <w:left w:val="none" w:sz="0" w:space="0" w:color="auto"/>
        <w:bottom w:val="none" w:sz="0" w:space="0" w:color="auto"/>
        <w:right w:val="none" w:sz="0" w:space="0" w:color="auto"/>
      </w:divBdr>
      <w:divsChild>
        <w:div w:id="871187465">
          <w:marLeft w:val="0"/>
          <w:marRight w:val="0"/>
          <w:marTop w:val="0"/>
          <w:marBottom w:val="0"/>
          <w:divBdr>
            <w:top w:val="single" w:sz="2" w:space="0" w:color="auto"/>
            <w:left w:val="single" w:sz="2" w:space="0" w:color="auto"/>
            <w:bottom w:val="single" w:sz="6" w:space="0" w:color="auto"/>
            <w:right w:val="single" w:sz="2" w:space="0" w:color="auto"/>
          </w:divBdr>
          <w:divsChild>
            <w:div w:id="851990756">
              <w:marLeft w:val="0"/>
              <w:marRight w:val="0"/>
              <w:marTop w:val="100"/>
              <w:marBottom w:val="100"/>
              <w:divBdr>
                <w:top w:val="single" w:sz="2" w:space="0" w:color="D9D9E3"/>
                <w:left w:val="single" w:sz="2" w:space="0" w:color="D9D9E3"/>
                <w:bottom w:val="single" w:sz="2" w:space="0" w:color="D9D9E3"/>
                <w:right w:val="single" w:sz="2" w:space="0" w:color="D9D9E3"/>
              </w:divBdr>
              <w:divsChild>
                <w:div w:id="1642922279">
                  <w:marLeft w:val="0"/>
                  <w:marRight w:val="0"/>
                  <w:marTop w:val="0"/>
                  <w:marBottom w:val="0"/>
                  <w:divBdr>
                    <w:top w:val="single" w:sz="2" w:space="0" w:color="D9D9E3"/>
                    <w:left w:val="single" w:sz="2" w:space="0" w:color="D9D9E3"/>
                    <w:bottom w:val="single" w:sz="2" w:space="0" w:color="D9D9E3"/>
                    <w:right w:val="single" w:sz="2" w:space="0" w:color="D9D9E3"/>
                  </w:divBdr>
                  <w:divsChild>
                    <w:div w:id="1963920154">
                      <w:marLeft w:val="0"/>
                      <w:marRight w:val="0"/>
                      <w:marTop w:val="0"/>
                      <w:marBottom w:val="0"/>
                      <w:divBdr>
                        <w:top w:val="single" w:sz="2" w:space="0" w:color="D9D9E3"/>
                        <w:left w:val="single" w:sz="2" w:space="0" w:color="D9D9E3"/>
                        <w:bottom w:val="single" w:sz="2" w:space="0" w:color="D9D9E3"/>
                        <w:right w:val="single" w:sz="2" w:space="0" w:color="D9D9E3"/>
                      </w:divBdr>
                      <w:divsChild>
                        <w:div w:id="1113397479">
                          <w:marLeft w:val="0"/>
                          <w:marRight w:val="0"/>
                          <w:marTop w:val="0"/>
                          <w:marBottom w:val="0"/>
                          <w:divBdr>
                            <w:top w:val="single" w:sz="2" w:space="0" w:color="D9D9E3"/>
                            <w:left w:val="single" w:sz="2" w:space="0" w:color="D9D9E3"/>
                            <w:bottom w:val="single" w:sz="2" w:space="0" w:color="D9D9E3"/>
                            <w:right w:val="single" w:sz="2" w:space="0" w:color="D9D9E3"/>
                          </w:divBdr>
                          <w:divsChild>
                            <w:div w:id="2489728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1156297">
      <w:bodyDiv w:val="1"/>
      <w:marLeft w:val="0"/>
      <w:marRight w:val="0"/>
      <w:marTop w:val="0"/>
      <w:marBottom w:val="0"/>
      <w:divBdr>
        <w:top w:val="none" w:sz="0" w:space="0" w:color="auto"/>
        <w:left w:val="none" w:sz="0" w:space="0" w:color="auto"/>
        <w:bottom w:val="none" w:sz="0" w:space="0" w:color="auto"/>
        <w:right w:val="none" w:sz="0" w:space="0" w:color="auto"/>
      </w:divBdr>
    </w:div>
    <w:div w:id="1029721186">
      <w:bodyDiv w:val="1"/>
      <w:marLeft w:val="0"/>
      <w:marRight w:val="0"/>
      <w:marTop w:val="0"/>
      <w:marBottom w:val="0"/>
      <w:divBdr>
        <w:top w:val="none" w:sz="0" w:space="0" w:color="auto"/>
        <w:left w:val="none" w:sz="0" w:space="0" w:color="auto"/>
        <w:bottom w:val="none" w:sz="0" w:space="0" w:color="auto"/>
        <w:right w:val="none" w:sz="0" w:space="0" w:color="auto"/>
      </w:divBdr>
    </w:div>
    <w:div w:id="1122656233">
      <w:bodyDiv w:val="1"/>
      <w:marLeft w:val="0"/>
      <w:marRight w:val="0"/>
      <w:marTop w:val="0"/>
      <w:marBottom w:val="0"/>
      <w:divBdr>
        <w:top w:val="none" w:sz="0" w:space="0" w:color="auto"/>
        <w:left w:val="none" w:sz="0" w:space="0" w:color="auto"/>
        <w:bottom w:val="none" w:sz="0" w:space="0" w:color="auto"/>
        <w:right w:val="none" w:sz="0" w:space="0" w:color="auto"/>
      </w:divBdr>
    </w:div>
    <w:div w:id="1168180903">
      <w:bodyDiv w:val="1"/>
      <w:marLeft w:val="0"/>
      <w:marRight w:val="0"/>
      <w:marTop w:val="0"/>
      <w:marBottom w:val="0"/>
      <w:divBdr>
        <w:top w:val="none" w:sz="0" w:space="0" w:color="auto"/>
        <w:left w:val="none" w:sz="0" w:space="0" w:color="auto"/>
        <w:bottom w:val="none" w:sz="0" w:space="0" w:color="auto"/>
        <w:right w:val="none" w:sz="0" w:space="0" w:color="auto"/>
      </w:divBdr>
      <w:divsChild>
        <w:div w:id="1289358725">
          <w:marLeft w:val="0"/>
          <w:marRight w:val="0"/>
          <w:marTop w:val="0"/>
          <w:marBottom w:val="0"/>
          <w:divBdr>
            <w:top w:val="single" w:sz="2" w:space="0" w:color="auto"/>
            <w:left w:val="single" w:sz="2" w:space="0" w:color="auto"/>
            <w:bottom w:val="single" w:sz="6" w:space="0" w:color="auto"/>
            <w:right w:val="single" w:sz="2" w:space="0" w:color="auto"/>
          </w:divBdr>
          <w:divsChild>
            <w:div w:id="2014792107">
              <w:marLeft w:val="0"/>
              <w:marRight w:val="0"/>
              <w:marTop w:val="100"/>
              <w:marBottom w:val="100"/>
              <w:divBdr>
                <w:top w:val="single" w:sz="2" w:space="0" w:color="D9D9E3"/>
                <w:left w:val="single" w:sz="2" w:space="0" w:color="D9D9E3"/>
                <w:bottom w:val="single" w:sz="2" w:space="0" w:color="D9D9E3"/>
                <w:right w:val="single" w:sz="2" w:space="0" w:color="D9D9E3"/>
              </w:divBdr>
              <w:divsChild>
                <w:div w:id="1535264829">
                  <w:marLeft w:val="0"/>
                  <w:marRight w:val="0"/>
                  <w:marTop w:val="0"/>
                  <w:marBottom w:val="0"/>
                  <w:divBdr>
                    <w:top w:val="single" w:sz="2" w:space="0" w:color="D9D9E3"/>
                    <w:left w:val="single" w:sz="2" w:space="0" w:color="D9D9E3"/>
                    <w:bottom w:val="single" w:sz="2" w:space="0" w:color="D9D9E3"/>
                    <w:right w:val="single" w:sz="2" w:space="0" w:color="D9D9E3"/>
                  </w:divBdr>
                  <w:divsChild>
                    <w:div w:id="1509052154">
                      <w:marLeft w:val="0"/>
                      <w:marRight w:val="0"/>
                      <w:marTop w:val="0"/>
                      <w:marBottom w:val="0"/>
                      <w:divBdr>
                        <w:top w:val="single" w:sz="2" w:space="0" w:color="D9D9E3"/>
                        <w:left w:val="single" w:sz="2" w:space="0" w:color="D9D9E3"/>
                        <w:bottom w:val="single" w:sz="2" w:space="0" w:color="D9D9E3"/>
                        <w:right w:val="single" w:sz="2" w:space="0" w:color="D9D9E3"/>
                      </w:divBdr>
                      <w:divsChild>
                        <w:div w:id="294678528">
                          <w:marLeft w:val="0"/>
                          <w:marRight w:val="0"/>
                          <w:marTop w:val="0"/>
                          <w:marBottom w:val="0"/>
                          <w:divBdr>
                            <w:top w:val="single" w:sz="2" w:space="0" w:color="D9D9E3"/>
                            <w:left w:val="single" w:sz="2" w:space="0" w:color="D9D9E3"/>
                            <w:bottom w:val="single" w:sz="2" w:space="0" w:color="D9D9E3"/>
                            <w:right w:val="single" w:sz="2" w:space="0" w:color="D9D9E3"/>
                          </w:divBdr>
                          <w:divsChild>
                            <w:div w:id="2995000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0101424">
      <w:bodyDiv w:val="1"/>
      <w:marLeft w:val="0"/>
      <w:marRight w:val="0"/>
      <w:marTop w:val="0"/>
      <w:marBottom w:val="0"/>
      <w:divBdr>
        <w:top w:val="none" w:sz="0" w:space="0" w:color="auto"/>
        <w:left w:val="none" w:sz="0" w:space="0" w:color="auto"/>
        <w:bottom w:val="none" w:sz="0" w:space="0" w:color="auto"/>
        <w:right w:val="none" w:sz="0" w:space="0" w:color="auto"/>
      </w:divBdr>
      <w:divsChild>
        <w:div w:id="1923290612">
          <w:marLeft w:val="0"/>
          <w:marRight w:val="0"/>
          <w:marTop w:val="0"/>
          <w:marBottom w:val="0"/>
          <w:divBdr>
            <w:top w:val="single" w:sz="2" w:space="0" w:color="auto"/>
            <w:left w:val="single" w:sz="2" w:space="0" w:color="auto"/>
            <w:bottom w:val="single" w:sz="6" w:space="0" w:color="auto"/>
            <w:right w:val="single" w:sz="2" w:space="0" w:color="auto"/>
          </w:divBdr>
          <w:divsChild>
            <w:div w:id="729620659">
              <w:marLeft w:val="0"/>
              <w:marRight w:val="0"/>
              <w:marTop w:val="100"/>
              <w:marBottom w:val="100"/>
              <w:divBdr>
                <w:top w:val="single" w:sz="2" w:space="0" w:color="D9D9E3"/>
                <w:left w:val="single" w:sz="2" w:space="0" w:color="D9D9E3"/>
                <w:bottom w:val="single" w:sz="2" w:space="0" w:color="D9D9E3"/>
                <w:right w:val="single" w:sz="2" w:space="0" w:color="D9D9E3"/>
              </w:divBdr>
              <w:divsChild>
                <w:div w:id="2046247141">
                  <w:marLeft w:val="0"/>
                  <w:marRight w:val="0"/>
                  <w:marTop w:val="0"/>
                  <w:marBottom w:val="0"/>
                  <w:divBdr>
                    <w:top w:val="single" w:sz="2" w:space="0" w:color="D9D9E3"/>
                    <w:left w:val="single" w:sz="2" w:space="0" w:color="D9D9E3"/>
                    <w:bottom w:val="single" w:sz="2" w:space="0" w:color="D9D9E3"/>
                    <w:right w:val="single" w:sz="2" w:space="0" w:color="D9D9E3"/>
                  </w:divBdr>
                  <w:divsChild>
                    <w:div w:id="1958638373">
                      <w:marLeft w:val="0"/>
                      <w:marRight w:val="0"/>
                      <w:marTop w:val="0"/>
                      <w:marBottom w:val="0"/>
                      <w:divBdr>
                        <w:top w:val="single" w:sz="2" w:space="0" w:color="D9D9E3"/>
                        <w:left w:val="single" w:sz="2" w:space="0" w:color="D9D9E3"/>
                        <w:bottom w:val="single" w:sz="2" w:space="0" w:color="D9D9E3"/>
                        <w:right w:val="single" w:sz="2" w:space="0" w:color="D9D9E3"/>
                      </w:divBdr>
                      <w:divsChild>
                        <w:div w:id="975573093">
                          <w:marLeft w:val="0"/>
                          <w:marRight w:val="0"/>
                          <w:marTop w:val="0"/>
                          <w:marBottom w:val="0"/>
                          <w:divBdr>
                            <w:top w:val="single" w:sz="2" w:space="0" w:color="D9D9E3"/>
                            <w:left w:val="single" w:sz="2" w:space="0" w:color="D9D9E3"/>
                            <w:bottom w:val="single" w:sz="2" w:space="0" w:color="D9D9E3"/>
                            <w:right w:val="single" w:sz="2" w:space="0" w:color="D9D9E3"/>
                          </w:divBdr>
                          <w:divsChild>
                            <w:div w:id="1845705957">
                              <w:marLeft w:val="0"/>
                              <w:marRight w:val="0"/>
                              <w:marTop w:val="0"/>
                              <w:marBottom w:val="0"/>
                              <w:divBdr>
                                <w:top w:val="single" w:sz="2" w:space="0" w:color="D9D9E3"/>
                                <w:left w:val="single" w:sz="2" w:space="0" w:color="D9D9E3"/>
                                <w:bottom w:val="single" w:sz="2" w:space="0" w:color="D9D9E3"/>
                                <w:right w:val="single" w:sz="2" w:space="0" w:color="D9D9E3"/>
                              </w:divBdr>
                              <w:divsChild>
                                <w:div w:id="19402905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09993591">
      <w:bodyDiv w:val="1"/>
      <w:marLeft w:val="0"/>
      <w:marRight w:val="0"/>
      <w:marTop w:val="0"/>
      <w:marBottom w:val="0"/>
      <w:divBdr>
        <w:top w:val="none" w:sz="0" w:space="0" w:color="auto"/>
        <w:left w:val="none" w:sz="0" w:space="0" w:color="auto"/>
        <w:bottom w:val="none" w:sz="0" w:space="0" w:color="auto"/>
        <w:right w:val="none" w:sz="0" w:space="0" w:color="auto"/>
      </w:divBdr>
    </w:div>
    <w:div w:id="1226531549">
      <w:bodyDiv w:val="1"/>
      <w:marLeft w:val="0"/>
      <w:marRight w:val="0"/>
      <w:marTop w:val="0"/>
      <w:marBottom w:val="0"/>
      <w:divBdr>
        <w:top w:val="none" w:sz="0" w:space="0" w:color="auto"/>
        <w:left w:val="none" w:sz="0" w:space="0" w:color="auto"/>
        <w:bottom w:val="none" w:sz="0" w:space="0" w:color="auto"/>
        <w:right w:val="none" w:sz="0" w:space="0" w:color="auto"/>
      </w:divBdr>
    </w:div>
    <w:div w:id="1228804702">
      <w:bodyDiv w:val="1"/>
      <w:marLeft w:val="0"/>
      <w:marRight w:val="0"/>
      <w:marTop w:val="0"/>
      <w:marBottom w:val="0"/>
      <w:divBdr>
        <w:top w:val="none" w:sz="0" w:space="0" w:color="auto"/>
        <w:left w:val="none" w:sz="0" w:space="0" w:color="auto"/>
        <w:bottom w:val="none" w:sz="0" w:space="0" w:color="auto"/>
        <w:right w:val="none" w:sz="0" w:space="0" w:color="auto"/>
      </w:divBdr>
      <w:divsChild>
        <w:div w:id="1115906180">
          <w:marLeft w:val="0"/>
          <w:marRight w:val="0"/>
          <w:marTop w:val="0"/>
          <w:marBottom w:val="0"/>
          <w:divBdr>
            <w:top w:val="none" w:sz="0" w:space="0" w:color="auto"/>
            <w:left w:val="none" w:sz="0" w:space="0" w:color="auto"/>
            <w:bottom w:val="none" w:sz="0" w:space="0" w:color="auto"/>
            <w:right w:val="none" w:sz="0" w:space="0" w:color="auto"/>
          </w:divBdr>
        </w:div>
      </w:divsChild>
    </w:div>
    <w:div w:id="1230731122">
      <w:bodyDiv w:val="1"/>
      <w:marLeft w:val="0"/>
      <w:marRight w:val="0"/>
      <w:marTop w:val="0"/>
      <w:marBottom w:val="0"/>
      <w:divBdr>
        <w:top w:val="none" w:sz="0" w:space="0" w:color="auto"/>
        <w:left w:val="none" w:sz="0" w:space="0" w:color="auto"/>
        <w:bottom w:val="none" w:sz="0" w:space="0" w:color="auto"/>
        <w:right w:val="none" w:sz="0" w:space="0" w:color="auto"/>
      </w:divBdr>
    </w:div>
    <w:div w:id="1277712220">
      <w:bodyDiv w:val="1"/>
      <w:marLeft w:val="0"/>
      <w:marRight w:val="0"/>
      <w:marTop w:val="0"/>
      <w:marBottom w:val="0"/>
      <w:divBdr>
        <w:top w:val="none" w:sz="0" w:space="0" w:color="auto"/>
        <w:left w:val="none" w:sz="0" w:space="0" w:color="auto"/>
        <w:bottom w:val="none" w:sz="0" w:space="0" w:color="auto"/>
        <w:right w:val="none" w:sz="0" w:space="0" w:color="auto"/>
      </w:divBdr>
    </w:div>
    <w:div w:id="1303388171">
      <w:bodyDiv w:val="1"/>
      <w:marLeft w:val="0"/>
      <w:marRight w:val="0"/>
      <w:marTop w:val="0"/>
      <w:marBottom w:val="0"/>
      <w:divBdr>
        <w:top w:val="none" w:sz="0" w:space="0" w:color="auto"/>
        <w:left w:val="none" w:sz="0" w:space="0" w:color="auto"/>
        <w:bottom w:val="none" w:sz="0" w:space="0" w:color="auto"/>
        <w:right w:val="none" w:sz="0" w:space="0" w:color="auto"/>
      </w:divBdr>
    </w:div>
    <w:div w:id="1319729080">
      <w:bodyDiv w:val="1"/>
      <w:marLeft w:val="0"/>
      <w:marRight w:val="0"/>
      <w:marTop w:val="0"/>
      <w:marBottom w:val="0"/>
      <w:divBdr>
        <w:top w:val="none" w:sz="0" w:space="0" w:color="auto"/>
        <w:left w:val="none" w:sz="0" w:space="0" w:color="auto"/>
        <w:bottom w:val="none" w:sz="0" w:space="0" w:color="auto"/>
        <w:right w:val="none" w:sz="0" w:space="0" w:color="auto"/>
      </w:divBdr>
    </w:div>
    <w:div w:id="1349598420">
      <w:bodyDiv w:val="1"/>
      <w:marLeft w:val="0"/>
      <w:marRight w:val="0"/>
      <w:marTop w:val="0"/>
      <w:marBottom w:val="0"/>
      <w:divBdr>
        <w:top w:val="none" w:sz="0" w:space="0" w:color="auto"/>
        <w:left w:val="none" w:sz="0" w:space="0" w:color="auto"/>
        <w:bottom w:val="none" w:sz="0" w:space="0" w:color="auto"/>
        <w:right w:val="none" w:sz="0" w:space="0" w:color="auto"/>
      </w:divBdr>
      <w:divsChild>
        <w:div w:id="795490580">
          <w:marLeft w:val="0"/>
          <w:marRight w:val="0"/>
          <w:marTop w:val="0"/>
          <w:marBottom w:val="0"/>
          <w:divBdr>
            <w:top w:val="none" w:sz="0" w:space="0" w:color="auto"/>
            <w:left w:val="none" w:sz="0" w:space="0" w:color="auto"/>
            <w:bottom w:val="none" w:sz="0" w:space="0" w:color="auto"/>
            <w:right w:val="none" w:sz="0" w:space="0" w:color="auto"/>
          </w:divBdr>
        </w:div>
      </w:divsChild>
    </w:div>
    <w:div w:id="1367291202">
      <w:bodyDiv w:val="1"/>
      <w:marLeft w:val="0"/>
      <w:marRight w:val="0"/>
      <w:marTop w:val="0"/>
      <w:marBottom w:val="0"/>
      <w:divBdr>
        <w:top w:val="none" w:sz="0" w:space="0" w:color="auto"/>
        <w:left w:val="none" w:sz="0" w:space="0" w:color="auto"/>
        <w:bottom w:val="none" w:sz="0" w:space="0" w:color="auto"/>
        <w:right w:val="none" w:sz="0" w:space="0" w:color="auto"/>
      </w:divBdr>
    </w:div>
    <w:div w:id="1380979079">
      <w:bodyDiv w:val="1"/>
      <w:marLeft w:val="0"/>
      <w:marRight w:val="0"/>
      <w:marTop w:val="0"/>
      <w:marBottom w:val="0"/>
      <w:divBdr>
        <w:top w:val="none" w:sz="0" w:space="0" w:color="auto"/>
        <w:left w:val="none" w:sz="0" w:space="0" w:color="auto"/>
        <w:bottom w:val="none" w:sz="0" w:space="0" w:color="auto"/>
        <w:right w:val="none" w:sz="0" w:space="0" w:color="auto"/>
      </w:divBdr>
    </w:div>
    <w:div w:id="1384717785">
      <w:bodyDiv w:val="1"/>
      <w:marLeft w:val="0"/>
      <w:marRight w:val="0"/>
      <w:marTop w:val="0"/>
      <w:marBottom w:val="0"/>
      <w:divBdr>
        <w:top w:val="none" w:sz="0" w:space="0" w:color="auto"/>
        <w:left w:val="none" w:sz="0" w:space="0" w:color="auto"/>
        <w:bottom w:val="none" w:sz="0" w:space="0" w:color="auto"/>
        <w:right w:val="none" w:sz="0" w:space="0" w:color="auto"/>
      </w:divBdr>
    </w:div>
    <w:div w:id="1387607700">
      <w:bodyDiv w:val="1"/>
      <w:marLeft w:val="0"/>
      <w:marRight w:val="0"/>
      <w:marTop w:val="0"/>
      <w:marBottom w:val="0"/>
      <w:divBdr>
        <w:top w:val="none" w:sz="0" w:space="0" w:color="auto"/>
        <w:left w:val="none" w:sz="0" w:space="0" w:color="auto"/>
        <w:bottom w:val="none" w:sz="0" w:space="0" w:color="auto"/>
        <w:right w:val="none" w:sz="0" w:space="0" w:color="auto"/>
      </w:divBdr>
      <w:divsChild>
        <w:div w:id="1489856439">
          <w:marLeft w:val="1080"/>
          <w:marRight w:val="0"/>
          <w:marTop w:val="400"/>
          <w:marBottom w:val="24"/>
          <w:divBdr>
            <w:top w:val="none" w:sz="0" w:space="0" w:color="auto"/>
            <w:left w:val="none" w:sz="0" w:space="0" w:color="auto"/>
            <w:bottom w:val="none" w:sz="0" w:space="0" w:color="auto"/>
            <w:right w:val="none" w:sz="0" w:space="0" w:color="auto"/>
          </w:divBdr>
        </w:div>
        <w:div w:id="1447238562">
          <w:marLeft w:val="1728"/>
          <w:marRight w:val="0"/>
          <w:marTop w:val="200"/>
          <w:marBottom w:val="24"/>
          <w:divBdr>
            <w:top w:val="none" w:sz="0" w:space="0" w:color="auto"/>
            <w:left w:val="none" w:sz="0" w:space="0" w:color="auto"/>
            <w:bottom w:val="none" w:sz="0" w:space="0" w:color="auto"/>
            <w:right w:val="none" w:sz="0" w:space="0" w:color="auto"/>
          </w:divBdr>
        </w:div>
        <w:div w:id="827206434">
          <w:marLeft w:val="1728"/>
          <w:marRight w:val="0"/>
          <w:marTop w:val="200"/>
          <w:marBottom w:val="24"/>
          <w:divBdr>
            <w:top w:val="none" w:sz="0" w:space="0" w:color="auto"/>
            <w:left w:val="none" w:sz="0" w:space="0" w:color="auto"/>
            <w:bottom w:val="none" w:sz="0" w:space="0" w:color="auto"/>
            <w:right w:val="none" w:sz="0" w:space="0" w:color="auto"/>
          </w:divBdr>
        </w:div>
      </w:divsChild>
    </w:div>
    <w:div w:id="1388719130">
      <w:bodyDiv w:val="1"/>
      <w:marLeft w:val="0"/>
      <w:marRight w:val="0"/>
      <w:marTop w:val="0"/>
      <w:marBottom w:val="0"/>
      <w:divBdr>
        <w:top w:val="none" w:sz="0" w:space="0" w:color="auto"/>
        <w:left w:val="none" w:sz="0" w:space="0" w:color="auto"/>
        <w:bottom w:val="none" w:sz="0" w:space="0" w:color="auto"/>
        <w:right w:val="none" w:sz="0" w:space="0" w:color="auto"/>
      </w:divBdr>
      <w:divsChild>
        <w:div w:id="1315181064">
          <w:marLeft w:val="0"/>
          <w:marRight w:val="0"/>
          <w:marTop w:val="0"/>
          <w:marBottom w:val="0"/>
          <w:divBdr>
            <w:top w:val="single" w:sz="2" w:space="0" w:color="auto"/>
            <w:left w:val="single" w:sz="2" w:space="0" w:color="auto"/>
            <w:bottom w:val="single" w:sz="6" w:space="0" w:color="auto"/>
            <w:right w:val="single" w:sz="2" w:space="0" w:color="auto"/>
          </w:divBdr>
          <w:divsChild>
            <w:div w:id="788744786">
              <w:marLeft w:val="0"/>
              <w:marRight w:val="0"/>
              <w:marTop w:val="100"/>
              <w:marBottom w:val="100"/>
              <w:divBdr>
                <w:top w:val="single" w:sz="2" w:space="0" w:color="D9D9E3"/>
                <w:left w:val="single" w:sz="2" w:space="0" w:color="D9D9E3"/>
                <w:bottom w:val="single" w:sz="2" w:space="0" w:color="D9D9E3"/>
                <w:right w:val="single" w:sz="2" w:space="0" w:color="D9D9E3"/>
              </w:divBdr>
              <w:divsChild>
                <w:div w:id="721246252">
                  <w:marLeft w:val="0"/>
                  <w:marRight w:val="0"/>
                  <w:marTop w:val="0"/>
                  <w:marBottom w:val="0"/>
                  <w:divBdr>
                    <w:top w:val="single" w:sz="2" w:space="0" w:color="D9D9E3"/>
                    <w:left w:val="single" w:sz="2" w:space="0" w:color="D9D9E3"/>
                    <w:bottom w:val="single" w:sz="2" w:space="0" w:color="D9D9E3"/>
                    <w:right w:val="single" w:sz="2" w:space="0" w:color="D9D9E3"/>
                  </w:divBdr>
                  <w:divsChild>
                    <w:div w:id="1139880201">
                      <w:marLeft w:val="0"/>
                      <w:marRight w:val="0"/>
                      <w:marTop w:val="0"/>
                      <w:marBottom w:val="0"/>
                      <w:divBdr>
                        <w:top w:val="single" w:sz="2" w:space="0" w:color="D9D9E3"/>
                        <w:left w:val="single" w:sz="2" w:space="0" w:color="D9D9E3"/>
                        <w:bottom w:val="single" w:sz="2" w:space="0" w:color="D9D9E3"/>
                        <w:right w:val="single" w:sz="2" w:space="0" w:color="D9D9E3"/>
                      </w:divBdr>
                      <w:divsChild>
                        <w:div w:id="1254630554">
                          <w:marLeft w:val="0"/>
                          <w:marRight w:val="0"/>
                          <w:marTop w:val="0"/>
                          <w:marBottom w:val="0"/>
                          <w:divBdr>
                            <w:top w:val="single" w:sz="2" w:space="0" w:color="D9D9E3"/>
                            <w:left w:val="single" w:sz="2" w:space="0" w:color="D9D9E3"/>
                            <w:bottom w:val="single" w:sz="2" w:space="0" w:color="D9D9E3"/>
                            <w:right w:val="single" w:sz="2" w:space="0" w:color="D9D9E3"/>
                          </w:divBdr>
                          <w:divsChild>
                            <w:div w:id="1746754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05031719">
      <w:bodyDiv w:val="1"/>
      <w:marLeft w:val="0"/>
      <w:marRight w:val="0"/>
      <w:marTop w:val="0"/>
      <w:marBottom w:val="0"/>
      <w:divBdr>
        <w:top w:val="none" w:sz="0" w:space="0" w:color="auto"/>
        <w:left w:val="none" w:sz="0" w:space="0" w:color="auto"/>
        <w:bottom w:val="none" w:sz="0" w:space="0" w:color="auto"/>
        <w:right w:val="none" w:sz="0" w:space="0" w:color="auto"/>
      </w:divBdr>
    </w:div>
    <w:div w:id="1412041006">
      <w:bodyDiv w:val="1"/>
      <w:marLeft w:val="0"/>
      <w:marRight w:val="0"/>
      <w:marTop w:val="0"/>
      <w:marBottom w:val="0"/>
      <w:divBdr>
        <w:top w:val="none" w:sz="0" w:space="0" w:color="auto"/>
        <w:left w:val="none" w:sz="0" w:space="0" w:color="auto"/>
        <w:bottom w:val="none" w:sz="0" w:space="0" w:color="auto"/>
        <w:right w:val="none" w:sz="0" w:space="0" w:color="auto"/>
      </w:divBdr>
    </w:div>
    <w:div w:id="1420324524">
      <w:bodyDiv w:val="1"/>
      <w:marLeft w:val="0"/>
      <w:marRight w:val="0"/>
      <w:marTop w:val="0"/>
      <w:marBottom w:val="0"/>
      <w:divBdr>
        <w:top w:val="none" w:sz="0" w:space="0" w:color="auto"/>
        <w:left w:val="none" w:sz="0" w:space="0" w:color="auto"/>
        <w:bottom w:val="none" w:sz="0" w:space="0" w:color="auto"/>
        <w:right w:val="none" w:sz="0" w:space="0" w:color="auto"/>
      </w:divBdr>
    </w:div>
    <w:div w:id="1435203943">
      <w:bodyDiv w:val="1"/>
      <w:marLeft w:val="0"/>
      <w:marRight w:val="0"/>
      <w:marTop w:val="0"/>
      <w:marBottom w:val="0"/>
      <w:divBdr>
        <w:top w:val="none" w:sz="0" w:space="0" w:color="auto"/>
        <w:left w:val="none" w:sz="0" w:space="0" w:color="auto"/>
        <w:bottom w:val="none" w:sz="0" w:space="0" w:color="auto"/>
        <w:right w:val="none" w:sz="0" w:space="0" w:color="auto"/>
      </w:divBdr>
      <w:divsChild>
        <w:div w:id="1590694729">
          <w:marLeft w:val="0"/>
          <w:marRight w:val="0"/>
          <w:marTop w:val="0"/>
          <w:marBottom w:val="0"/>
          <w:divBdr>
            <w:top w:val="none" w:sz="0" w:space="0" w:color="auto"/>
            <w:left w:val="none" w:sz="0" w:space="0" w:color="auto"/>
            <w:bottom w:val="none" w:sz="0" w:space="0" w:color="auto"/>
            <w:right w:val="none" w:sz="0" w:space="0" w:color="auto"/>
          </w:divBdr>
        </w:div>
      </w:divsChild>
    </w:div>
    <w:div w:id="1438141155">
      <w:bodyDiv w:val="1"/>
      <w:marLeft w:val="0"/>
      <w:marRight w:val="0"/>
      <w:marTop w:val="0"/>
      <w:marBottom w:val="0"/>
      <w:divBdr>
        <w:top w:val="none" w:sz="0" w:space="0" w:color="auto"/>
        <w:left w:val="none" w:sz="0" w:space="0" w:color="auto"/>
        <w:bottom w:val="none" w:sz="0" w:space="0" w:color="auto"/>
        <w:right w:val="none" w:sz="0" w:space="0" w:color="auto"/>
      </w:divBdr>
    </w:div>
    <w:div w:id="1438793191">
      <w:bodyDiv w:val="1"/>
      <w:marLeft w:val="0"/>
      <w:marRight w:val="0"/>
      <w:marTop w:val="0"/>
      <w:marBottom w:val="0"/>
      <w:divBdr>
        <w:top w:val="none" w:sz="0" w:space="0" w:color="auto"/>
        <w:left w:val="none" w:sz="0" w:space="0" w:color="auto"/>
        <w:bottom w:val="none" w:sz="0" w:space="0" w:color="auto"/>
        <w:right w:val="none" w:sz="0" w:space="0" w:color="auto"/>
      </w:divBdr>
    </w:div>
    <w:div w:id="1460152405">
      <w:bodyDiv w:val="1"/>
      <w:marLeft w:val="0"/>
      <w:marRight w:val="0"/>
      <w:marTop w:val="0"/>
      <w:marBottom w:val="0"/>
      <w:divBdr>
        <w:top w:val="none" w:sz="0" w:space="0" w:color="auto"/>
        <w:left w:val="none" w:sz="0" w:space="0" w:color="auto"/>
        <w:bottom w:val="none" w:sz="0" w:space="0" w:color="auto"/>
        <w:right w:val="none" w:sz="0" w:space="0" w:color="auto"/>
      </w:divBdr>
    </w:div>
    <w:div w:id="1462385913">
      <w:bodyDiv w:val="1"/>
      <w:marLeft w:val="0"/>
      <w:marRight w:val="0"/>
      <w:marTop w:val="0"/>
      <w:marBottom w:val="0"/>
      <w:divBdr>
        <w:top w:val="none" w:sz="0" w:space="0" w:color="auto"/>
        <w:left w:val="none" w:sz="0" w:space="0" w:color="auto"/>
        <w:bottom w:val="none" w:sz="0" w:space="0" w:color="auto"/>
        <w:right w:val="none" w:sz="0" w:space="0" w:color="auto"/>
      </w:divBdr>
    </w:div>
    <w:div w:id="1527213806">
      <w:bodyDiv w:val="1"/>
      <w:marLeft w:val="0"/>
      <w:marRight w:val="0"/>
      <w:marTop w:val="0"/>
      <w:marBottom w:val="0"/>
      <w:divBdr>
        <w:top w:val="none" w:sz="0" w:space="0" w:color="auto"/>
        <w:left w:val="none" w:sz="0" w:space="0" w:color="auto"/>
        <w:bottom w:val="none" w:sz="0" w:space="0" w:color="auto"/>
        <w:right w:val="none" w:sz="0" w:space="0" w:color="auto"/>
      </w:divBdr>
    </w:div>
    <w:div w:id="1529685999">
      <w:bodyDiv w:val="1"/>
      <w:marLeft w:val="0"/>
      <w:marRight w:val="0"/>
      <w:marTop w:val="0"/>
      <w:marBottom w:val="0"/>
      <w:divBdr>
        <w:top w:val="none" w:sz="0" w:space="0" w:color="auto"/>
        <w:left w:val="none" w:sz="0" w:space="0" w:color="auto"/>
        <w:bottom w:val="none" w:sz="0" w:space="0" w:color="auto"/>
        <w:right w:val="none" w:sz="0" w:space="0" w:color="auto"/>
      </w:divBdr>
    </w:div>
    <w:div w:id="1530726238">
      <w:bodyDiv w:val="1"/>
      <w:marLeft w:val="0"/>
      <w:marRight w:val="0"/>
      <w:marTop w:val="0"/>
      <w:marBottom w:val="0"/>
      <w:divBdr>
        <w:top w:val="none" w:sz="0" w:space="0" w:color="auto"/>
        <w:left w:val="none" w:sz="0" w:space="0" w:color="auto"/>
        <w:bottom w:val="none" w:sz="0" w:space="0" w:color="auto"/>
        <w:right w:val="none" w:sz="0" w:space="0" w:color="auto"/>
      </w:divBdr>
    </w:div>
    <w:div w:id="1548033036">
      <w:bodyDiv w:val="1"/>
      <w:marLeft w:val="0"/>
      <w:marRight w:val="0"/>
      <w:marTop w:val="0"/>
      <w:marBottom w:val="0"/>
      <w:divBdr>
        <w:top w:val="none" w:sz="0" w:space="0" w:color="auto"/>
        <w:left w:val="none" w:sz="0" w:space="0" w:color="auto"/>
        <w:bottom w:val="none" w:sz="0" w:space="0" w:color="auto"/>
        <w:right w:val="none" w:sz="0" w:space="0" w:color="auto"/>
      </w:divBdr>
      <w:divsChild>
        <w:div w:id="247155276">
          <w:marLeft w:val="0"/>
          <w:marRight w:val="0"/>
          <w:marTop w:val="90"/>
          <w:marBottom w:val="0"/>
          <w:divBdr>
            <w:top w:val="none" w:sz="0" w:space="0" w:color="auto"/>
            <w:left w:val="none" w:sz="0" w:space="0" w:color="auto"/>
            <w:bottom w:val="none" w:sz="0" w:space="0" w:color="auto"/>
            <w:right w:val="none" w:sz="0" w:space="0" w:color="auto"/>
          </w:divBdr>
          <w:divsChild>
            <w:div w:id="376318362">
              <w:marLeft w:val="0"/>
              <w:marRight w:val="0"/>
              <w:marTop w:val="0"/>
              <w:marBottom w:val="0"/>
              <w:divBdr>
                <w:top w:val="none" w:sz="0" w:space="0" w:color="auto"/>
                <w:left w:val="none" w:sz="0" w:space="0" w:color="auto"/>
                <w:bottom w:val="none" w:sz="0" w:space="0" w:color="auto"/>
                <w:right w:val="none" w:sz="0" w:space="0" w:color="auto"/>
              </w:divBdr>
              <w:divsChild>
                <w:div w:id="1830902400">
                  <w:marLeft w:val="0"/>
                  <w:marRight w:val="0"/>
                  <w:marTop w:val="0"/>
                  <w:marBottom w:val="405"/>
                  <w:divBdr>
                    <w:top w:val="none" w:sz="0" w:space="0" w:color="auto"/>
                    <w:left w:val="none" w:sz="0" w:space="0" w:color="auto"/>
                    <w:bottom w:val="none" w:sz="0" w:space="0" w:color="auto"/>
                    <w:right w:val="none" w:sz="0" w:space="0" w:color="auto"/>
                  </w:divBdr>
                  <w:divsChild>
                    <w:div w:id="1742018408">
                      <w:marLeft w:val="0"/>
                      <w:marRight w:val="0"/>
                      <w:marTop w:val="0"/>
                      <w:marBottom w:val="0"/>
                      <w:divBdr>
                        <w:top w:val="none" w:sz="0" w:space="0" w:color="auto"/>
                        <w:left w:val="none" w:sz="0" w:space="0" w:color="auto"/>
                        <w:bottom w:val="none" w:sz="0" w:space="0" w:color="auto"/>
                        <w:right w:val="none" w:sz="0" w:space="0" w:color="auto"/>
                      </w:divBdr>
                      <w:divsChild>
                        <w:div w:id="504443029">
                          <w:marLeft w:val="0"/>
                          <w:marRight w:val="0"/>
                          <w:marTop w:val="0"/>
                          <w:marBottom w:val="0"/>
                          <w:divBdr>
                            <w:top w:val="none" w:sz="0" w:space="0" w:color="auto"/>
                            <w:left w:val="none" w:sz="0" w:space="0" w:color="auto"/>
                            <w:bottom w:val="none" w:sz="0" w:space="0" w:color="auto"/>
                            <w:right w:val="none" w:sz="0" w:space="0" w:color="auto"/>
                          </w:divBdr>
                          <w:divsChild>
                            <w:div w:id="1588885616">
                              <w:marLeft w:val="0"/>
                              <w:marRight w:val="0"/>
                              <w:marTop w:val="0"/>
                              <w:marBottom w:val="0"/>
                              <w:divBdr>
                                <w:top w:val="none" w:sz="0" w:space="0" w:color="auto"/>
                                <w:left w:val="none" w:sz="0" w:space="0" w:color="auto"/>
                                <w:bottom w:val="none" w:sz="0" w:space="0" w:color="auto"/>
                                <w:right w:val="none" w:sz="0" w:space="0" w:color="auto"/>
                              </w:divBdr>
                              <w:divsChild>
                                <w:div w:id="194696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2786552">
      <w:bodyDiv w:val="1"/>
      <w:marLeft w:val="0"/>
      <w:marRight w:val="0"/>
      <w:marTop w:val="0"/>
      <w:marBottom w:val="0"/>
      <w:divBdr>
        <w:top w:val="none" w:sz="0" w:space="0" w:color="auto"/>
        <w:left w:val="none" w:sz="0" w:space="0" w:color="auto"/>
        <w:bottom w:val="none" w:sz="0" w:space="0" w:color="auto"/>
        <w:right w:val="none" w:sz="0" w:space="0" w:color="auto"/>
      </w:divBdr>
      <w:divsChild>
        <w:div w:id="806513691">
          <w:marLeft w:val="0"/>
          <w:marRight w:val="0"/>
          <w:marTop w:val="0"/>
          <w:marBottom w:val="0"/>
          <w:divBdr>
            <w:top w:val="none" w:sz="0" w:space="0" w:color="auto"/>
            <w:left w:val="none" w:sz="0" w:space="0" w:color="auto"/>
            <w:bottom w:val="none" w:sz="0" w:space="0" w:color="auto"/>
            <w:right w:val="none" w:sz="0" w:space="0" w:color="auto"/>
          </w:divBdr>
        </w:div>
      </w:divsChild>
    </w:div>
    <w:div w:id="1591743753">
      <w:bodyDiv w:val="1"/>
      <w:marLeft w:val="0"/>
      <w:marRight w:val="0"/>
      <w:marTop w:val="0"/>
      <w:marBottom w:val="0"/>
      <w:divBdr>
        <w:top w:val="none" w:sz="0" w:space="0" w:color="auto"/>
        <w:left w:val="none" w:sz="0" w:space="0" w:color="auto"/>
        <w:bottom w:val="none" w:sz="0" w:space="0" w:color="auto"/>
        <w:right w:val="none" w:sz="0" w:space="0" w:color="auto"/>
      </w:divBdr>
    </w:div>
    <w:div w:id="1603686878">
      <w:bodyDiv w:val="1"/>
      <w:marLeft w:val="0"/>
      <w:marRight w:val="0"/>
      <w:marTop w:val="0"/>
      <w:marBottom w:val="0"/>
      <w:divBdr>
        <w:top w:val="none" w:sz="0" w:space="0" w:color="auto"/>
        <w:left w:val="none" w:sz="0" w:space="0" w:color="auto"/>
        <w:bottom w:val="none" w:sz="0" w:space="0" w:color="auto"/>
        <w:right w:val="none" w:sz="0" w:space="0" w:color="auto"/>
      </w:divBdr>
    </w:div>
    <w:div w:id="1621037257">
      <w:bodyDiv w:val="1"/>
      <w:marLeft w:val="0"/>
      <w:marRight w:val="0"/>
      <w:marTop w:val="0"/>
      <w:marBottom w:val="0"/>
      <w:divBdr>
        <w:top w:val="none" w:sz="0" w:space="0" w:color="auto"/>
        <w:left w:val="none" w:sz="0" w:space="0" w:color="auto"/>
        <w:bottom w:val="none" w:sz="0" w:space="0" w:color="auto"/>
        <w:right w:val="none" w:sz="0" w:space="0" w:color="auto"/>
      </w:divBdr>
      <w:divsChild>
        <w:div w:id="906494165">
          <w:marLeft w:val="2880"/>
          <w:marRight w:val="0"/>
          <w:marTop w:val="200"/>
          <w:marBottom w:val="24"/>
          <w:divBdr>
            <w:top w:val="none" w:sz="0" w:space="0" w:color="auto"/>
            <w:left w:val="none" w:sz="0" w:space="0" w:color="auto"/>
            <w:bottom w:val="none" w:sz="0" w:space="0" w:color="auto"/>
            <w:right w:val="none" w:sz="0" w:space="0" w:color="auto"/>
          </w:divBdr>
        </w:div>
      </w:divsChild>
    </w:div>
    <w:div w:id="1623875358">
      <w:bodyDiv w:val="1"/>
      <w:marLeft w:val="0"/>
      <w:marRight w:val="0"/>
      <w:marTop w:val="0"/>
      <w:marBottom w:val="0"/>
      <w:divBdr>
        <w:top w:val="none" w:sz="0" w:space="0" w:color="auto"/>
        <w:left w:val="none" w:sz="0" w:space="0" w:color="auto"/>
        <w:bottom w:val="none" w:sz="0" w:space="0" w:color="auto"/>
        <w:right w:val="none" w:sz="0" w:space="0" w:color="auto"/>
      </w:divBdr>
    </w:div>
    <w:div w:id="1624996599">
      <w:bodyDiv w:val="1"/>
      <w:marLeft w:val="0"/>
      <w:marRight w:val="0"/>
      <w:marTop w:val="0"/>
      <w:marBottom w:val="0"/>
      <w:divBdr>
        <w:top w:val="none" w:sz="0" w:space="0" w:color="auto"/>
        <w:left w:val="none" w:sz="0" w:space="0" w:color="auto"/>
        <w:bottom w:val="none" w:sz="0" w:space="0" w:color="auto"/>
        <w:right w:val="none" w:sz="0" w:space="0" w:color="auto"/>
      </w:divBdr>
    </w:div>
    <w:div w:id="1656687049">
      <w:bodyDiv w:val="1"/>
      <w:marLeft w:val="0"/>
      <w:marRight w:val="0"/>
      <w:marTop w:val="0"/>
      <w:marBottom w:val="0"/>
      <w:divBdr>
        <w:top w:val="none" w:sz="0" w:space="0" w:color="auto"/>
        <w:left w:val="none" w:sz="0" w:space="0" w:color="auto"/>
        <w:bottom w:val="none" w:sz="0" w:space="0" w:color="auto"/>
        <w:right w:val="none" w:sz="0" w:space="0" w:color="auto"/>
      </w:divBdr>
      <w:divsChild>
        <w:div w:id="2142993859">
          <w:marLeft w:val="0"/>
          <w:marRight w:val="0"/>
          <w:marTop w:val="0"/>
          <w:marBottom w:val="0"/>
          <w:divBdr>
            <w:top w:val="single" w:sz="2" w:space="0" w:color="auto"/>
            <w:left w:val="single" w:sz="2" w:space="0" w:color="auto"/>
            <w:bottom w:val="single" w:sz="6" w:space="0" w:color="auto"/>
            <w:right w:val="single" w:sz="2" w:space="0" w:color="auto"/>
          </w:divBdr>
          <w:divsChild>
            <w:div w:id="646277935">
              <w:marLeft w:val="0"/>
              <w:marRight w:val="0"/>
              <w:marTop w:val="100"/>
              <w:marBottom w:val="100"/>
              <w:divBdr>
                <w:top w:val="single" w:sz="2" w:space="0" w:color="D9D9E3"/>
                <w:left w:val="single" w:sz="2" w:space="0" w:color="D9D9E3"/>
                <w:bottom w:val="single" w:sz="2" w:space="0" w:color="D9D9E3"/>
                <w:right w:val="single" w:sz="2" w:space="0" w:color="D9D9E3"/>
              </w:divBdr>
              <w:divsChild>
                <w:div w:id="209073430">
                  <w:marLeft w:val="0"/>
                  <w:marRight w:val="0"/>
                  <w:marTop w:val="0"/>
                  <w:marBottom w:val="0"/>
                  <w:divBdr>
                    <w:top w:val="single" w:sz="2" w:space="0" w:color="D9D9E3"/>
                    <w:left w:val="single" w:sz="2" w:space="0" w:color="D9D9E3"/>
                    <w:bottom w:val="single" w:sz="2" w:space="0" w:color="D9D9E3"/>
                    <w:right w:val="single" w:sz="2" w:space="0" w:color="D9D9E3"/>
                  </w:divBdr>
                  <w:divsChild>
                    <w:div w:id="633490694">
                      <w:marLeft w:val="0"/>
                      <w:marRight w:val="0"/>
                      <w:marTop w:val="0"/>
                      <w:marBottom w:val="0"/>
                      <w:divBdr>
                        <w:top w:val="single" w:sz="2" w:space="0" w:color="D9D9E3"/>
                        <w:left w:val="single" w:sz="2" w:space="0" w:color="D9D9E3"/>
                        <w:bottom w:val="single" w:sz="2" w:space="0" w:color="D9D9E3"/>
                        <w:right w:val="single" w:sz="2" w:space="0" w:color="D9D9E3"/>
                      </w:divBdr>
                      <w:divsChild>
                        <w:div w:id="1707022395">
                          <w:marLeft w:val="0"/>
                          <w:marRight w:val="0"/>
                          <w:marTop w:val="0"/>
                          <w:marBottom w:val="0"/>
                          <w:divBdr>
                            <w:top w:val="single" w:sz="2" w:space="0" w:color="D9D9E3"/>
                            <w:left w:val="single" w:sz="2" w:space="0" w:color="D9D9E3"/>
                            <w:bottom w:val="single" w:sz="2" w:space="0" w:color="D9D9E3"/>
                            <w:right w:val="single" w:sz="2" w:space="0" w:color="D9D9E3"/>
                          </w:divBdr>
                          <w:divsChild>
                            <w:div w:id="1058289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57764729">
      <w:bodyDiv w:val="1"/>
      <w:marLeft w:val="0"/>
      <w:marRight w:val="0"/>
      <w:marTop w:val="0"/>
      <w:marBottom w:val="0"/>
      <w:divBdr>
        <w:top w:val="none" w:sz="0" w:space="0" w:color="auto"/>
        <w:left w:val="none" w:sz="0" w:space="0" w:color="auto"/>
        <w:bottom w:val="none" w:sz="0" w:space="0" w:color="auto"/>
        <w:right w:val="none" w:sz="0" w:space="0" w:color="auto"/>
      </w:divBdr>
    </w:div>
    <w:div w:id="1663658106">
      <w:bodyDiv w:val="1"/>
      <w:marLeft w:val="0"/>
      <w:marRight w:val="0"/>
      <w:marTop w:val="0"/>
      <w:marBottom w:val="0"/>
      <w:divBdr>
        <w:top w:val="none" w:sz="0" w:space="0" w:color="auto"/>
        <w:left w:val="none" w:sz="0" w:space="0" w:color="auto"/>
        <w:bottom w:val="none" w:sz="0" w:space="0" w:color="auto"/>
        <w:right w:val="none" w:sz="0" w:space="0" w:color="auto"/>
      </w:divBdr>
      <w:divsChild>
        <w:div w:id="1356804145">
          <w:marLeft w:val="0"/>
          <w:marRight w:val="0"/>
          <w:marTop w:val="0"/>
          <w:marBottom w:val="0"/>
          <w:divBdr>
            <w:top w:val="single" w:sz="2" w:space="0" w:color="auto"/>
            <w:left w:val="single" w:sz="2" w:space="0" w:color="auto"/>
            <w:bottom w:val="single" w:sz="6" w:space="0" w:color="auto"/>
            <w:right w:val="single" w:sz="2" w:space="0" w:color="auto"/>
          </w:divBdr>
          <w:divsChild>
            <w:div w:id="1710178631">
              <w:marLeft w:val="0"/>
              <w:marRight w:val="0"/>
              <w:marTop w:val="100"/>
              <w:marBottom w:val="100"/>
              <w:divBdr>
                <w:top w:val="single" w:sz="2" w:space="0" w:color="D9D9E3"/>
                <w:left w:val="single" w:sz="2" w:space="0" w:color="D9D9E3"/>
                <w:bottom w:val="single" w:sz="2" w:space="0" w:color="D9D9E3"/>
                <w:right w:val="single" w:sz="2" w:space="0" w:color="D9D9E3"/>
              </w:divBdr>
              <w:divsChild>
                <w:div w:id="1865633496">
                  <w:marLeft w:val="0"/>
                  <w:marRight w:val="0"/>
                  <w:marTop w:val="0"/>
                  <w:marBottom w:val="0"/>
                  <w:divBdr>
                    <w:top w:val="single" w:sz="2" w:space="0" w:color="D9D9E3"/>
                    <w:left w:val="single" w:sz="2" w:space="0" w:color="D9D9E3"/>
                    <w:bottom w:val="single" w:sz="2" w:space="0" w:color="D9D9E3"/>
                    <w:right w:val="single" w:sz="2" w:space="0" w:color="D9D9E3"/>
                  </w:divBdr>
                  <w:divsChild>
                    <w:div w:id="312835047">
                      <w:marLeft w:val="0"/>
                      <w:marRight w:val="0"/>
                      <w:marTop w:val="0"/>
                      <w:marBottom w:val="0"/>
                      <w:divBdr>
                        <w:top w:val="single" w:sz="2" w:space="0" w:color="D9D9E3"/>
                        <w:left w:val="single" w:sz="2" w:space="0" w:color="D9D9E3"/>
                        <w:bottom w:val="single" w:sz="2" w:space="0" w:color="D9D9E3"/>
                        <w:right w:val="single" w:sz="2" w:space="0" w:color="D9D9E3"/>
                      </w:divBdr>
                      <w:divsChild>
                        <w:div w:id="448549160">
                          <w:marLeft w:val="0"/>
                          <w:marRight w:val="0"/>
                          <w:marTop w:val="0"/>
                          <w:marBottom w:val="0"/>
                          <w:divBdr>
                            <w:top w:val="single" w:sz="2" w:space="0" w:color="D9D9E3"/>
                            <w:left w:val="single" w:sz="2" w:space="0" w:color="D9D9E3"/>
                            <w:bottom w:val="single" w:sz="2" w:space="0" w:color="D9D9E3"/>
                            <w:right w:val="single" w:sz="2" w:space="0" w:color="D9D9E3"/>
                          </w:divBdr>
                          <w:divsChild>
                            <w:div w:id="2000838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67055350">
      <w:bodyDiv w:val="1"/>
      <w:marLeft w:val="0"/>
      <w:marRight w:val="0"/>
      <w:marTop w:val="0"/>
      <w:marBottom w:val="0"/>
      <w:divBdr>
        <w:top w:val="none" w:sz="0" w:space="0" w:color="auto"/>
        <w:left w:val="none" w:sz="0" w:space="0" w:color="auto"/>
        <w:bottom w:val="none" w:sz="0" w:space="0" w:color="auto"/>
        <w:right w:val="none" w:sz="0" w:space="0" w:color="auto"/>
      </w:divBdr>
      <w:divsChild>
        <w:div w:id="8726386">
          <w:marLeft w:val="0"/>
          <w:marRight w:val="0"/>
          <w:marTop w:val="0"/>
          <w:marBottom w:val="0"/>
          <w:divBdr>
            <w:top w:val="single" w:sz="2" w:space="0" w:color="auto"/>
            <w:left w:val="single" w:sz="2" w:space="0" w:color="auto"/>
            <w:bottom w:val="single" w:sz="6" w:space="0" w:color="auto"/>
            <w:right w:val="single" w:sz="2" w:space="0" w:color="auto"/>
          </w:divBdr>
          <w:divsChild>
            <w:div w:id="395783344">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686865">
                  <w:marLeft w:val="0"/>
                  <w:marRight w:val="0"/>
                  <w:marTop w:val="0"/>
                  <w:marBottom w:val="0"/>
                  <w:divBdr>
                    <w:top w:val="single" w:sz="2" w:space="0" w:color="D9D9E3"/>
                    <w:left w:val="single" w:sz="2" w:space="0" w:color="D9D9E3"/>
                    <w:bottom w:val="single" w:sz="2" w:space="0" w:color="D9D9E3"/>
                    <w:right w:val="single" w:sz="2" w:space="0" w:color="D9D9E3"/>
                  </w:divBdr>
                  <w:divsChild>
                    <w:div w:id="2141678919">
                      <w:marLeft w:val="0"/>
                      <w:marRight w:val="0"/>
                      <w:marTop w:val="0"/>
                      <w:marBottom w:val="0"/>
                      <w:divBdr>
                        <w:top w:val="single" w:sz="2" w:space="0" w:color="D9D9E3"/>
                        <w:left w:val="single" w:sz="2" w:space="0" w:color="D9D9E3"/>
                        <w:bottom w:val="single" w:sz="2" w:space="0" w:color="D9D9E3"/>
                        <w:right w:val="single" w:sz="2" w:space="0" w:color="D9D9E3"/>
                      </w:divBdr>
                      <w:divsChild>
                        <w:div w:id="1876960328">
                          <w:marLeft w:val="0"/>
                          <w:marRight w:val="0"/>
                          <w:marTop w:val="0"/>
                          <w:marBottom w:val="0"/>
                          <w:divBdr>
                            <w:top w:val="single" w:sz="2" w:space="0" w:color="D9D9E3"/>
                            <w:left w:val="single" w:sz="2" w:space="0" w:color="D9D9E3"/>
                            <w:bottom w:val="single" w:sz="2" w:space="0" w:color="D9D9E3"/>
                            <w:right w:val="single" w:sz="2" w:space="0" w:color="D9D9E3"/>
                          </w:divBdr>
                          <w:divsChild>
                            <w:div w:id="13187317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5787771">
      <w:bodyDiv w:val="1"/>
      <w:marLeft w:val="0"/>
      <w:marRight w:val="0"/>
      <w:marTop w:val="0"/>
      <w:marBottom w:val="0"/>
      <w:divBdr>
        <w:top w:val="none" w:sz="0" w:space="0" w:color="auto"/>
        <w:left w:val="none" w:sz="0" w:space="0" w:color="auto"/>
        <w:bottom w:val="none" w:sz="0" w:space="0" w:color="auto"/>
        <w:right w:val="none" w:sz="0" w:space="0" w:color="auto"/>
      </w:divBdr>
    </w:div>
    <w:div w:id="1736708544">
      <w:bodyDiv w:val="1"/>
      <w:marLeft w:val="0"/>
      <w:marRight w:val="0"/>
      <w:marTop w:val="0"/>
      <w:marBottom w:val="0"/>
      <w:divBdr>
        <w:top w:val="none" w:sz="0" w:space="0" w:color="auto"/>
        <w:left w:val="none" w:sz="0" w:space="0" w:color="auto"/>
        <w:bottom w:val="none" w:sz="0" w:space="0" w:color="auto"/>
        <w:right w:val="none" w:sz="0" w:space="0" w:color="auto"/>
      </w:divBdr>
    </w:div>
    <w:div w:id="1893496496">
      <w:bodyDiv w:val="1"/>
      <w:marLeft w:val="0"/>
      <w:marRight w:val="0"/>
      <w:marTop w:val="0"/>
      <w:marBottom w:val="0"/>
      <w:divBdr>
        <w:top w:val="none" w:sz="0" w:space="0" w:color="auto"/>
        <w:left w:val="none" w:sz="0" w:space="0" w:color="auto"/>
        <w:bottom w:val="none" w:sz="0" w:space="0" w:color="auto"/>
        <w:right w:val="none" w:sz="0" w:space="0" w:color="auto"/>
      </w:divBdr>
    </w:div>
    <w:div w:id="1895002874">
      <w:bodyDiv w:val="1"/>
      <w:marLeft w:val="0"/>
      <w:marRight w:val="0"/>
      <w:marTop w:val="0"/>
      <w:marBottom w:val="0"/>
      <w:divBdr>
        <w:top w:val="none" w:sz="0" w:space="0" w:color="auto"/>
        <w:left w:val="none" w:sz="0" w:space="0" w:color="auto"/>
        <w:bottom w:val="none" w:sz="0" w:space="0" w:color="auto"/>
        <w:right w:val="none" w:sz="0" w:space="0" w:color="auto"/>
      </w:divBdr>
      <w:divsChild>
        <w:div w:id="1926374499">
          <w:marLeft w:val="0"/>
          <w:marRight w:val="0"/>
          <w:marTop w:val="0"/>
          <w:marBottom w:val="0"/>
          <w:divBdr>
            <w:top w:val="single" w:sz="2" w:space="0" w:color="auto"/>
            <w:left w:val="single" w:sz="2" w:space="0" w:color="auto"/>
            <w:bottom w:val="single" w:sz="6" w:space="0" w:color="auto"/>
            <w:right w:val="single" w:sz="2" w:space="0" w:color="auto"/>
          </w:divBdr>
          <w:divsChild>
            <w:div w:id="5639459">
              <w:marLeft w:val="0"/>
              <w:marRight w:val="0"/>
              <w:marTop w:val="100"/>
              <w:marBottom w:val="100"/>
              <w:divBdr>
                <w:top w:val="single" w:sz="2" w:space="0" w:color="D9D9E3"/>
                <w:left w:val="single" w:sz="2" w:space="0" w:color="D9D9E3"/>
                <w:bottom w:val="single" w:sz="2" w:space="0" w:color="D9D9E3"/>
                <w:right w:val="single" w:sz="2" w:space="0" w:color="D9D9E3"/>
              </w:divBdr>
              <w:divsChild>
                <w:div w:id="538906178">
                  <w:marLeft w:val="0"/>
                  <w:marRight w:val="0"/>
                  <w:marTop w:val="0"/>
                  <w:marBottom w:val="0"/>
                  <w:divBdr>
                    <w:top w:val="single" w:sz="2" w:space="0" w:color="D9D9E3"/>
                    <w:left w:val="single" w:sz="2" w:space="0" w:color="D9D9E3"/>
                    <w:bottom w:val="single" w:sz="2" w:space="0" w:color="D9D9E3"/>
                    <w:right w:val="single" w:sz="2" w:space="0" w:color="D9D9E3"/>
                  </w:divBdr>
                  <w:divsChild>
                    <w:div w:id="39282486">
                      <w:marLeft w:val="0"/>
                      <w:marRight w:val="0"/>
                      <w:marTop w:val="0"/>
                      <w:marBottom w:val="0"/>
                      <w:divBdr>
                        <w:top w:val="single" w:sz="2" w:space="0" w:color="D9D9E3"/>
                        <w:left w:val="single" w:sz="2" w:space="0" w:color="D9D9E3"/>
                        <w:bottom w:val="single" w:sz="2" w:space="0" w:color="D9D9E3"/>
                        <w:right w:val="single" w:sz="2" w:space="0" w:color="D9D9E3"/>
                      </w:divBdr>
                      <w:divsChild>
                        <w:div w:id="1515413701">
                          <w:marLeft w:val="0"/>
                          <w:marRight w:val="0"/>
                          <w:marTop w:val="0"/>
                          <w:marBottom w:val="0"/>
                          <w:divBdr>
                            <w:top w:val="single" w:sz="2" w:space="0" w:color="D9D9E3"/>
                            <w:left w:val="single" w:sz="2" w:space="0" w:color="D9D9E3"/>
                            <w:bottom w:val="single" w:sz="2" w:space="0" w:color="D9D9E3"/>
                            <w:right w:val="single" w:sz="2" w:space="0" w:color="D9D9E3"/>
                          </w:divBdr>
                          <w:divsChild>
                            <w:div w:id="1982997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17859437">
      <w:bodyDiv w:val="1"/>
      <w:marLeft w:val="0"/>
      <w:marRight w:val="0"/>
      <w:marTop w:val="0"/>
      <w:marBottom w:val="0"/>
      <w:divBdr>
        <w:top w:val="none" w:sz="0" w:space="0" w:color="auto"/>
        <w:left w:val="none" w:sz="0" w:space="0" w:color="auto"/>
        <w:bottom w:val="none" w:sz="0" w:space="0" w:color="auto"/>
        <w:right w:val="none" w:sz="0" w:space="0" w:color="auto"/>
      </w:divBdr>
      <w:divsChild>
        <w:div w:id="888540250">
          <w:marLeft w:val="0"/>
          <w:marRight w:val="0"/>
          <w:marTop w:val="0"/>
          <w:marBottom w:val="0"/>
          <w:divBdr>
            <w:top w:val="none" w:sz="0" w:space="0" w:color="auto"/>
            <w:left w:val="none" w:sz="0" w:space="0" w:color="auto"/>
            <w:bottom w:val="none" w:sz="0" w:space="0" w:color="auto"/>
            <w:right w:val="none" w:sz="0" w:space="0" w:color="auto"/>
          </w:divBdr>
        </w:div>
      </w:divsChild>
    </w:div>
    <w:div w:id="1966422305">
      <w:bodyDiv w:val="1"/>
      <w:marLeft w:val="0"/>
      <w:marRight w:val="0"/>
      <w:marTop w:val="0"/>
      <w:marBottom w:val="0"/>
      <w:divBdr>
        <w:top w:val="none" w:sz="0" w:space="0" w:color="auto"/>
        <w:left w:val="none" w:sz="0" w:space="0" w:color="auto"/>
        <w:bottom w:val="none" w:sz="0" w:space="0" w:color="auto"/>
        <w:right w:val="none" w:sz="0" w:space="0" w:color="auto"/>
      </w:divBdr>
      <w:divsChild>
        <w:div w:id="164176191">
          <w:marLeft w:val="0"/>
          <w:marRight w:val="0"/>
          <w:marTop w:val="0"/>
          <w:marBottom w:val="0"/>
          <w:divBdr>
            <w:top w:val="single" w:sz="2" w:space="0" w:color="auto"/>
            <w:left w:val="single" w:sz="2" w:space="0" w:color="auto"/>
            <w:bottom w:val="single" w:sz="6" w:space="0" w:color="auto"/>
            <w:right w:val="single" w:sz="2" w:space="0" w:color="auto"/>
          </w:divBdr>
          <w:divsChild>
            <w:div w:id="638339307">
              <w:marLeft w:val="0"/>
              <w:marRight w:val="0"/>
              <w:marTop w:val="100"/>
              <w:marBottom w:val="100"/>
              <w:divBdr>
                <w:top w:val="single" w:sz="2" w:space="0" w:color="D9D9E3"/>
                <w:left w:val="single" w:sz="2" w:space="0" w:color="D9D9E3"/>
                <w:bottom w:val="single" w:sz="2" w:space="0" w:color="D9D9E3"/>
                <w:right w:val="single" w:sz="2" w:space="0" w:color="D9D9E3"/>
              </w:divBdr>
              <w:divsChild>
                <w:div w:id="732430804">
                  <w:marLeft w:val="0"/>
                  <w:marRight w:val="0"/>
                  <w:marTop w:val="0"/>
                  <w:marBottom w:val="0"/>
                  <w:divBdr>
                    <w:top w:val="single" w:sz="2" w:space="0" w:color="D9D9E3"/>
                    <w:left w:val="single" w:sz="2" w:space="0" w:color="D9D9E3"/>
                    <w:bottom w:val="single" w:sz="2" w:space="0" w:color="D9D9E3"/>
                    <w:right w:val="single" w:sz="2" w:space="0" w:color="D9D9E3"/>
                  </w:divBdr>
                  <w:divsChild>
                    <w:div w:id="264314830">
                      <w:marLeft w:val="0"/>
                      <w:marRight w:val="0"/>
                      <w:marTop w:val="0"/>
                      <w:marBottom w:val="0"/>
                      <w:divBdr>
                        <w:top w:val="single" w:sz="2" w:space="0" w:color="D9D9E3"/>
                        <w:left w:val="single" w:sz="2" w:space="0" w:color="D9D9E3"/>
                        <w:bottom w:val="single" w:sz="2" w:space="0" w:color="D9D9E3"/>
                        <w:right w:val="single" w:sz="2" w:space="0" w:color="D9D9E3"/>
                      </w:divBdr>
                      <w:divsChild>
                        <w:div w:id="1823308869">
                          <w:marLeft w:val="0"/>
                          <w:marRight w:val="0"/>
                          <w:marTop w:val="0"/>
                          <w:marBottom w:val="0"/>
                          <w:divBdr>
                            <w:top w:val="single" w:sz="2" w:space="0" w:color="D9D9E3"/>
                            <w:left w:val="single" w:sz="2" w:space="0" w:color="D9D9E3"/>
                            <w:bottom w:val="single" w:sz="2" w:space="0" w:color="D9D9E3"/>
                            <w:right w:val="single" w:sz="2" w:space="0" w:color="D9D9E3"/>
                          </w:divBdr>
                          <w:divsChild>
                            <w:div w:id="1259270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8725867">
      <w:bodyDiv w:val="1"/>
      <w:marLeft w:val="0"/>
      <w:marRight w:val="0"/>
      <w:marTop w:val="0"/>
      <w:marBottom w:val="0"/>
      <w:divBdr>
        <w:top w:val="none" w:sz="0" w:space="0" w:color="auto"/>
        <w:left w:val="none" w:sz="0" w:space="0" w:color="auto"/>
        <w:bottom w:val="none" w:sz="0" w:space="0" w:color="auto"/>
        <w:right w:val="none" w:sz="0" w:space="0" w:color="auto"/>
      </w:divBdr>
    </w:div>
    <w:div w:id="2013146632">
      <w:bodyDiv w:val="1"/>
      <w:marLeft w:val="0"/>
      <w:marRight w:val="0"/>
      <w:marTop w:val="0"/>
      <w:marBottom w:val="0"/>
      <w:divBdr>
        <w:top w:val="none" w:sz="0" w:space="0" w:color="auto"/>
        <w:left w:val="none" w:sz="0" w:space="0" w:color="auto"/>
        <w:bottom w:val="none" w:sz="0" w:space="0" w:color="auto"/>
        <w:right w:val="none" w:sz="0" w:space="0" w:color="auto"/>
      </w:divBdr>
    </w:div>
    <w:div w:id="2056155316">
      <w:bodyDiv w:val="1"/>
      <w:marLeft w:val="0"/>
      <w:marRight w:val="0"/>
      <w:marTop w:val="0"/>
      <w:marBottom w:val="0"/>
      <w:divBdr>
        <w:top w:val="none" w:sz="0" w:space="0" w:color="auto"/>
        <w:left w:val="none" w:sz="0" w:space="0" w:color="auto"/>
        <w:bottom w:val="none" w:sz="0" w:space="0" w:color="auto"/>
        <w:right w:val="none" w:sz="0" w:space="0" w:color="auto"/>
      </w:divBdr>
    </w:div>
    <w:div w:id="2070423565">
      <w:bodyDiv w:val="1"/>
      <w:marLeft w:val="0"/>
      <w:marRight w:val="0"/>
      <w:marTop w:val="0"/>
      <w:marBottom w:val="0"/>
      <w:divBdr>
        <w:top w:val="none" w:sz="0" w:space="0" w:color="auto"/>
        <w:left w:val="none" w:sz="0" w:space="0" w:color="auto"/>
        <w:bottom w:val="none" w:sz="0" w:space="0" w:color="auto"/>
        <w:right w:val="none" w:sz="0" w:space="0" w:color="auto"/>
      </w:divBdr>
    </w:div>
    <w:div w:id="2095395402">
      <w:bodyDiv w:val="1"/>
      <w:marLeft w:val="0"/>
      <w:marRight w:val="0"/>
      <w:marTop w:val="0"/>
      <w:marBottom w:val="0"/>
      <w:divBdr>
        <w:top w:val="none" w:sz="0" w:space="0" w:color="auto"/>
        <w:left w:val="none" w:sz="0" w:space="0" w:color="auto"/>
        <w:bottom w:val="none" w:sz="0" w:space="0" w:color="auto"/>
        <w:right w:val="none" w:sz="0" w:space="0" w:color="auto"/>
      </w:divBdr>
    </w:div>
    <w:div w:id="2103522166">
      <w:bodyDiv w:val="1"/>
      <w:marLeft w:val="0"/>
      <w:marRight w:val="0"/>
      <w:marTop w:val="0"/>
      <w:marBottom w:val="0"/>
      <w:divBdr>
        <w:top w:val="none" w:sz="0" w:space="0" w:color="auto"/>
        <w:left w:val="none" w:sz="0" w:space="0" w:color="auto"/>
        <w:bottom w:val="none" w:sz="0" w:space="0" w:color="auto"/>
        <w:right w:val="none" w:sz="0" w:space="0" w:color="auto"/>
      </w:divBdr>
    </w:div>
    <w:div w:id="2124299727">
      <w:bodyDiv w:val="1"/>
      <w:marLeft w:val="0"/>
      <w:marRight w:val="0"/>
      <w:marTop w:val="0"/>
      <w:marBottom w:val="0"/>
      <w:divBdr>
        <w:top w:val="none" w:sz="0" w:space="0" w:color="auto"/>
        <w:left w:val="none" w:sz="0" w:space="0" w:color="auto"/>
        <w:bottom w:val="none" w:sz="0" w:space="0" w:color="auto"/>
        <w:right w:val="none" w:sz="0" w:space="0" w:color="auto"/>
      </w:divBdr>
    </w:div>
    <w:div w:id="2131969703">
      <w:bodyDiv w:val="1"/>
      <w:marLeft w:val="0"/>
      <w:marRight w:val="0"/>
      <w:marTop w:val="0"/>
      <w:marBottom w:val="0"/>
      <w:divBdr>
        <w:top w:val="none" w:sz="0" w:space="0" w:color="auto"/>
        <w:left w:val="none" w:sz="0" w:space="0" w:color="auto"/>
        <w:bottom w:val="none" w:sz="0" w:space="0" w:color="auto"/>
        <w:right w:val="none" w:sz="0" w:space="0" w:color="auto"/>
      </w:divBdr>
    </w:div>
    <w:div w:id="2147114642">
      <w:bodyDiv w:val="1"/>
      <w:marLeft w:val="0"/>
      <w:marRight w:val="0"/>
      <w:marTop w:val="0"/>
      <w:marBottom w:val="0"/>
      <w:divBdr>
        <w:top w:val="none" w:sz="0" w:space="0" w:color="auto"/>
        <w:left w:val="none" w:sz="0" w:space="0" w:color="auto"/>
        <w:bottom w:val="none" w:sz="0" w:space="0" w:color="auto"/>
        <w:right w:val="none" w:sz="0" w:space="0" w:color="auto"/>
      </w:divBdr>
      <w:divsChild>
        <w:div w:id="1712456811">
          <w:marLeft w:val="0"/>
          <w:marRight w:val="0"/>
          <w:marTop w:val="0"/>
          <w:marBottom w:val="0"/>
          <w:divBdr>
            <w:top w:val="single" w:sz="2" w:space="0" w:color="auto"/>
            <w:left w:val="single" w:sz="2" w:space="0" w:color="auto"/>
            <w:bottom w:val="single" w:sz="6" w:space="0" w:color="auto"/>
            <w:right w:val="single" w:sz="2" w:space="0" w:color="auto"/>
          </w:divBdr>
          <w:divsChild>
            <w:div w:id="551040623">
              <w:marLeft w:val="0"/>
              <w:marRight w:val="0"/>
              <w:marTop w:val="100"/>
              <w:marBottom w:val="100"/>
              <w:divBdr>
                <w:top w:val="single" w:sz="2" w:space="0" w:color="D9D9E3"/>
                <w:left w:val="single" w:sz="2" w:space="0" w:color="D9D9E3"/>
                <w:bottom w:val="single" w:sz="2" w:space="0" w:color="D9D9E3"/>
                <w:right w:val="single" w:sz="2" w:space="0" w:color="D9D9E3"/>
              </w:divBdr>
              <w:divsChild>
                <w:div w:id="896014398">
                  <w:marLeft w:val="0"/>
                  <w:marRight w:val="0"/>
                  <w:marTop w:val="0"/>
                  <w:marBottom w:val="0"/>
                  <w:divBdr>
                    <w:top w:val="single" w:sz="2" w:space="0" w:color="D9D9E3"/>
                    <w:left w:val="single" w:sz="2" w:space="0" w:color="D9D9E3"/>
                    <w:bottom w:val="single" w:sz="2" w:space="0" w:color="D9D9E3"/>
                    <w:right w:val="single" w:sz="2" w:space="0" w:color="D9D9E3"/>
                  </w:divBdr>
                  <w:divsChild>
                    <w:div w:id="467938619">
                      <w:marLeft w:val="0"/>
                      <w:marRight w:val="0"/>
                      <w:marTop w:val="0"/>
                      <w:marBottom w:val="0"/>
                      <w:divBdr>
                        <w:top w:val="single" w:sz="2" w:space="0" w:color="D9D9E3"/>
                        <w:left w:val="single" w:sz="2" w:space="0" w:color="D9D9E3"/>
                        <w:bottom w:val="single" w:sz="2" w:space="0" w:color="D9D9E3"/>
                        <w:right w:val="single" w:sz="2" w:space="0" w:color="D9D9E3"/>
                      </w:divBdr>
                      <w:divsChild>
                        <w:div w:id="2046323904">
                          <w:marLeft w:val="0"/>
                          <w:marRight w:val="0"/>
                          <w:marTop w:val="0"/>
                          <w:marBottom w:val="0"/>
                          <w:divBdr>
                            <w:top w:val="single" w:sz="2" w:space="0" w:color="D9D9E3"/>
                            <w:left w:val="single" w:sz="2" w:space="0" w:color="D9D9E3"/>
                            <w:bottom w:val="single" w:sz="2" w:space="0" w:color="D9D9E3"/>
                            <w:right w:val="single" w:sz="2" w:space="0" w:color="D9D9E3"/>
                          </w:divBdr>
                          <w:divsChild>
                            <w:div w:id="7359767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sv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sv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svg"/><Relationship Id="rId16" Type="http://schemas.openxmlformats.org/officeDocument/2006/relationships/image" Target="media/image9.png"/><Relationship Id="rId11" Type="http://schemas.openxmlformats.org/officeDocument/2006/relationships/image" Target="media/image4.svg"/><Relationship Id="rId32" Type="http://schemas.openxmlformats.org/officeDocument/2006/relationships/image" Target="media/image25.png"/><Relationship Id="rId37" Type="http://schemas.openxmlformats.org/officeDocument/2006/relationships/image" Target="media/image30.svg"/><Relationship Id="rId53" Type="http://schemas.openxmlformats.org/officeDocument/2006/relationships/image" Target="media/image46.sv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sv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header" Target="header1.xml"/><Relationship Id="rId22" Type="http://schemas.openxmlformats.org/officeDocument/2006/relationships/image" Target="media/image15.png"/><Relationship Id="rId27" Type="http://schemas.openxmlformats.org/officeDocument/2006/relationships/image" Target="media/image20.sv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svg"/><Relationship Id="rId80" Type="http://schemas.openxmlformats.org/officeDocument/2006/relationships/image" Target="media/image73.png"/><Relationship Id="rId85" Type="http://schemas.openxmlformats.org/officeDocument/2006/relationships/image" Target="media/image78.sv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svg"/><Relationship Id="rId33" Type="http://schemas.openxmlformats.org/officeDocument/2006/relationships/image" Target="media/image26.svg"/><Relationship Id="rId38" Type="http://schemas.openxmlformats.org/officeDocument/2006/relationships/image" Target="media/image31.png"/><Relationship Id="rId46" Type="http://schemas.openxmlformats.org/officeDocument/2006/relationships/image" Target="media/image39.svg"/><Relationship Id="rId59" Type="http://schemas.openxmlformats.org/officeDocument/2006/relationships/image" Target="media/image52.svg"/><Relationship Id="rId67" Type="http://schemas.openxmlformats.org/officeDocument/2006/relationships/image" Target="media/image60.svg"/><Relationship Id="rId20" Type="http://schemas.openxmlformats.org/officeDocument/2006/relationships/image" Target="media/image13.png"/><Relationship Id="rId41" Type="http://schemas.openxmlformats.org/officeDocument/2006/relationships/image" Target="media/image34.sv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svg"/><Relationship Id="rId83" Type="http://schemas.openxmlformats.org/officeDocument/2006/relationships/image" Target="media/image76.svg"/><Relationship Id="rId88" Type="http://schemas.openxmlformats.org/officeDocument/2006/relationships/image" Target="media/image81.png"/><Relationship Id="rId91" Type="http://schemas.openxmlformats.org/officeDocument/2006/relationships/image" Target="media/image84.svg"/><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svg"/><Relationship Id="rId23" Type="http://schemas.openxmlformats.org/officeDocument/2006/relationships/image" Target="media/image16.sv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svg"/><Relationship Id="rId57" Type="http://schemas.openxmlformats.org/officeDocument/2006/relationships/image" Target="media/image50.sv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sv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svg"/><Relationship Id="rId73" Type="http://schemas.openxmlformats.org/officeDocument/2006/relationships/image" Target="media/image66.svg"/><Relationship Id="rId78" Type="http://schemas.openxmlformats.org/officeDocument/2006/relationships/image" Target="media/image71.png"/><Relationship Id="rId81" Type="http://schemas.openxmlformats.org/officeDocument/2006/relationships/image" Target="media/image74.sv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svg"/><Relationship Id="rId13" Type="http://schemas.openxmlformats.org/officeDocument/2006/relationships/image" Target="media/image6.svg"/><Relationship Id="rId18" Type="http://schemas.openxmlformats.org/officeDocument/2006/relationships/image" Target="media/image11.png"/><Relationship Id="rId39" Type="http://schemas.openxmlformats.org/officeDocument/2006/relationships/image" Target="media/image32.sv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svg"/><Relationship Id="rId76" Type="http://schemas.openxmlformats.org/officeDocument/2006/relationships/image" Target="media/image69.png"/><Relationship Id="rId9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64.sv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sv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svg"/><Relationship Id="rId61" Type="http://schemas.openxmlformats.org/officeDocument/2006/relationships/image" Target="media/image54.svg"/><Relationship Id="rId82" Type="http://schemas.openxmlformats.org/officeDocument/2006/relationships/image" Target="media/image75.png"/><Relationship Id="rId19" Type="http://schemas.openxmlformats.org/officeDocument/2006/relationships/image" Target="media/image12.sv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svg"/><Relationship Id="rId56" Type="http://schemas.openxmlformats.org/officeDocument/2006/relationships/image" Target="media/image49.png"/><Relationship Id="rId77" Type="http://schemas.openxmlformats.org/officeDocument/2006/relationships/image" Target="media/image70.svg"/><Relationship Id="rId8" Type="http://schemas.openxmlformats.org/officeDocument/2006/relationships/image" Target="media/image1.png"/><Relationship Id="rId51" Type="http://schemas.openxmlformats.org/officeDocument/2006/relationships/image" Target="media/image44.svg"/><Relationship Id="rId72" Type="http://schemas.openxmlformats.org/officeDocument/2006/relationships/image" Target="media/image65.png"/><Relationship Id="rId93" Type="http://schemas.openxmlformats.org/officeDocument/2006/relationships/image" Target="media/image86.svg"/><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Net13</b:Tag>
    <b:SourceType>Report</b:SourceType>
    <b:Guid>{AFC67702-8C7C-46DF-BCE2-547BCC8CB7B7}</b:Guid>
    <b:Author>
      <b:Author>
        <b:Corporate>SEE Action Financing Solutions Working Group</b:Corporate>
      </b:Author>
    </b:Author>
    <b:Title>Using Financing to Scale Up Energy Efficiency</b:Title>
    <b:Year>2013</b:Year>
    <b:URL>https://www4.eere.energy.gov/seeaction/system/files/documents/financing_workplan_recommendations.pdf</b:URL>
    <b:RefOrder>1</b:RefOrder>
  </b:Source>
  <b:Source>
    <b:Tag>Lac14</b:Tag>
    <b:SourceType>ArticleInAPeriodical</b:SourceType>
    <b:Guid>{0CA09BA4-078D-4DFD-80A9-9F4BC21EA73A}</b:Guid>
    <b:Title>Creating Investor-Ready Efficiency</b:Title>
    <b:Year>2014</b:Year>
    <b:PeriodicalTitle>Green Tech Media</b:PeriodicalTitle>
    <b:Month>May</b:Month>
    <b:Day>14</b:Day>
    <b:Author>
      <b:Author>
        <b:NameList>
          <b:Person>
            <b:Last>Lacey</b:Last>
            <b:First>Stephen</b:First>
          </b:Person>
        </b:NameList>
      </b:Author>
    </b:Author>
    <b:URL>http://www.greentechmedia.com/articles/read/ensuri-investor-ready-efficiency-the-industry-cant-just-be-a-bunch-of-cowbo</b:URL>
    <b:RefOrder>2</b:RefOrder>
  </b:Source>
  <b:Source>
    <b:Tag>Smi13</b:Tag>
    <b:SourceType>Report</b:SourceType>
    <b:Guid>{34DF6FC5-FFEE-4996-AE67-85A0C69E8D34}</b:Guid>
    <b:Title>Power Factor: Institutional Investors' Policy Priorities Can Bring Energy Efficiency to Scale</b:Title>
    <b:Year>2013</b:Year>
    <b:URL>http://www.ceres.org/resources/reports/power-factor-institutional-investors2019-policy-priorities-can-bring-energy-efficiency-to-scale</b:URL>
    <b:Publisher>Ceres</b:Publisher>
    <b:Author>
      <b:Author>
        <b:NameList>
          <b:Person>
            <b:Last>Smithwood</b:Last>
            <b:First>Brandon</b:First>
          </b:Person>
          <b:Person>
            <b:Last>Hodum</b:Last>
            <b:First>Ryan</b:First>
          </b:Person>
        </b:NameList>
      </b:Author>
    </b:Author>
    <b:RefOrder>3</b:RefOrder>
  </b:Source>
  <b:Source>
    <b:Tag>Ber14</b:Tag>
    <b:SourceType>ConferenceProceedings</b:SourceType>
    <b:Guid>{1D59A81F-1539-439D-9D76-5F769FBBBB7F}</b:Guid>
    <b:Author>
      <b:Author>
        <b:NameList>
          <b:Person>
            <b:Last>Bernard</b:Last>
            <b:First>Jack</b:First>
          </b:Person>
        </b:NameList>
      </b:Author>
    </b:Author>
    <b:Title>ACEEE Conference Lessons Learned</b:Title>
    <b:Year>2014</b:Year>
    <b:ConferenceName>ACEEE Financing Forum</b:ConferenceName>
    <b:RefOrder>4</b:RefOrder>
  </b:Source>
  <b:Source>
    <b:Tag>Phi14</b:Tag>
    <b:SourceType>Interview</b:SourceType>
    <b:Guid>{9B35FA92-1D71-464D-9D59-38C251358C96}</b:Guid>
    <b:Title>Senior Financial Policy Specialist, Natural Resources Defense Council (NRDC)</b:Title>
    <b:Year>2014</b:Year>
    <b:Author>
      <b:Interviewee>
        <b:NameList>
          <b:Person>
            <b:Last>Henderson</b:Last>
            <b:First>Philip</b:First>
          </b:Person>
        </b:NameList>
      </b:Interviewee>
    </b:Author>
    <b:Month>December</b:Month>
    <b:Day>22</b:Day>
    <b:RefOrder>5</b:RefOrder>
  </b:Source>
  <b:Source>
    <b:Tag>Adv13</b:Tag>
    <b:SourceType>Report</b:SourceType>
    <b:Guid>{19069478-C993-44C4-A2FE-29FCC9554594}</b:Guid>
    <b:Author>
      <b:Author>
        <b:Corporate>Advantus Capital</b:Corporate>
      </b:Author>
    </b:Author>
    <b:Title>Private Placement Bonds: Shedding Light on a Valuable Alternative</b:Title>
    <b:Year>2013</b:Year>
    <b:Publisher>Advantus Capital</b:Publisher>
    <b:URL>https://www.advantuscapital.com/public/acm/Private%20Placement%20Bonds-A%20Valuable%20Alternative.pdf</b:URL>
    <b:RefOrder>6</b:RefOrder>
  </b:Source>
  <b:Source>
    <b:Tag>Pit14</b:Tag>
    <b:SourceType>ConferenceProceedings</b:SourceType>
    <b:Guid>{13D6088E-DA55-4871-A3F9-D41CD5578F5D}</b:Guid>
    <b:Author>
      <b:Author>
        <b:NameList>
          <b:Person>
            <b:Last>Pitkin</b:Last>
            <b:First>Jeff</b:First>
          </b:Person>
        </b:NameList>
      </b:Author>
    </b:Author>
    <b:Title>Green Jobs Green New York Program</b:Title>
    <b:Year>2014</b:Year>
    <b:ConferenceName>Institute for Energy Economics and Financial Analysis </b:ConferenceName>
    <b:URL>http://policyintegrity.org/documents/PITKINPanel7B_2014.pdf</b:URL>
    <b:RefOrder>7</b:RefOrder>
  </b:Source>
  <b:Source>
    <b:Tag>Sta14</b:Tag>
    <b:SourceType>InternetSite</b:SourceType>
    <b:Guid>{5949951B-1710-4C75-BE8F-3D6FE85BF6C8}</b:Guid>
    <b:Title>Connecticut Statewide Energy Efficiency Dashboard</b:Title>
    <b:Year>2014</b:Year>
    <b:Author>
      <b:Author>
        <b:Corporate>State of Connecticut</b:Corporate>
      </b:Author>
    </b:Author>
    <b:Month>October </b:Month>
    <b:Day>6</b:Day>
    <b:URL>http://www.ctenergydashboard.com/Public/PublicRESLoanFinancing.aspx</b:URL>
    <b:RefOrder>8</b:RefOrder>
  </b:Source>
  <b:Source>
    <b:Tag>SEE14</b:Tag>
    <b:SourceType>Report</b:SourceType>
    <b:Guid>{686C7D49-1288-4BBE-A611-EC6A03C6E019}</b:Guid>
    <b:Author>
      <b:Author>
        <b:Corporate>SEE Action Financing Solutions Working Group</b:Corporate>
      </b:Author>
    </b:Author>
    <b:Title>Financing Energy Improvements on Utility Bills: Market Updates and Key Program Design Considerations for Policymakers and Administrators</b:Title>
    <b:Year>2014</b:Year>
    <b:Publisher>SEE Action</b:Publisher>
    <b:RefOrder>9</b:RefOrder>
  </b:Source>
  <b:Source>
    <b:Tag>Jef14</b:Tag>
    <b:SourceType>Interview</b:SourceType>
    <b:Guid>{B5F9886C-7B86-451B-BF09-A8F92BC732A5}</b:Guid>
    <b:Author>
      <b:Interviewee>
        <b:NameList>
          <b:Person>
            <b:Last>Pitkin</b:Last>
            <b:First>Jeff</b:First>
          </b:Person>
        </b:NameList>
      </b:Interviewee>
    </b:Author>
    <b:Year>2014</b:Year>
    <b:Month>February</b:Month>
    <b:Day>14</b:Day>
    <b:RefOrder>10</b:RefOrder>
  </b:Source>
  <b:Source>
    <b:Tag>Mas13</b:Tag>
    <b:SourceType>Report</b:SourceType>
    <b:Guid>{D749EEE5-D156-4E4C-949B-4B15388D748C}</b:Guid>
    <b:Title>Mass Green Bonds: Quarterly Investor Impact Report</b:Title>
    <b:Year>2013</b:Year>
    <b:URL>http://www.massbondholder.com/sites/default/files/files/QE%20August%202014%20Green%20Report(1).pdf</b:URL>
    <b:Publisher>Massachusetts Treasury</b:Publisher>
    <b:Author>
      <b:Author>
        <b:Corporate>Massachusetts Treasury</b:Corporate>
      </b:Author>
    </b:Author>
    <b:RefOrder>11</b:RefOrder>
  </b:Source>
  <b:Source>
    <b:Tag>EGI14</b:Tag>
    <b:SourceType>DocumentFromInternetSite</b:SourceType>
    <b:Guid>{60E127D5-C9D0-408A-BE3C-3DD6902081BE}</b:Guid>
    <b:Title>EGIA’s GEOSmart Sustainable Financing Solutions Surpasses $1 Billion in Funded Energy Efficiency and Solar Loans</b:Title>
    <b:Year>2014</b:Year>
    <b:Author>
      <b:Author>
        <b:Corporate>EGIA</b:Corporate>
      </b:Author>
    </b:Author>
    <b:InternetSiteTitle>EGIA</b:InternetSiteTitle>
    <b:Month>March</b:Month>
    <b:Day>3</b:Day>
    <b:URL>http://www.egia.org/downloads/pressRelease/EGIA_PressRelease20140227.pdf</b:URL>
    <b:RefOrder>12</b:RefOrder>
  </b:Source>
  <b:Source>
    <b:Tag>Phi13</b:Tag>
    <b:SourceType>ConferenceProceedings</b:SourceType>
    <b:Guid>{D5D191B2-D7A6-4AE0-B2B0-ECD1F31CB084}</b:Guid>
    <b:Author>
      <b:Author>
        <b:NameList>
          <b:Person>
            <b:Last>Phillips</b:Last>
            <b:First>Geoffrey</b:First>
          </b:Person>
        </b:NameList>
      </b:Author>
    </b:Author>
    <b:Title>Distributed Lending as a Model for Energy Efficiency Financing </b:Title>
    <b:Year>2013</b:Year>
    <b:ConferenceName>ACEEE National Conference on Energy Efficiency as a Resource</b:ConferenceName>
    <b:City>Denver</b:City>
    <b:Publisher>ACEEE</b:Publisher>
    <b:URL>http://aceee.org/files/pdf/conferences/eer/2013/6A-phillips.pdf</b:URL>
    <b:RefOrder>13</b:RefOrder>
  </b:Source>
  <b:Source>
    <b:Tag>Geo14</b:Tag>
    <b:SourceType>Interview</b:SourceType>
    <b:Guid>{030DAE41-1063-4BE5-B027-77E35134D032}</b:Guid>
    <b:Title>AESP Making Dollars and Sense of Energy Efficiency Financing</b:Title>
    <b:Year>2014</b:Year>
    <b:Author>
      <b:Interviewee>
        <b:NameList>
          <b:Person>
            <b:Last>Phillips</b:Last>
            <b:First>Geoff</b:First>
          </b:Person>
        </b:NameList>
      </b:Interviewee>
    </b:Author>
    <b:Month>September</b:Month>
    <b:Day>25</b:Day>
    <b:RefOrder>14</b:RefOrder>
  </b:Source>
  <b:Source>
    <b:Tag>Mck</b:Tag>
    <b:SourceType>Report</b:SourceType>
    <b:Guid>{09C9302A-B3D3-488C-870F-CBD6F163D8D4}</b:Guid>
    <b:Title>Unlocking Energy Efficiency in the U.S. Economy</b:Title>
    <b:Year>2009</b:Year>
    <b:Publisher>McKinsey &amp; Company</b:Publisher>
    <b:Author>
      <b:Author>
        <b:NameList>
          <b:Person>
            <b:Last>Choi Granade</b:Last>
            <b:First>Hannah</b:First>
          </b:Person>
          <b:Person>
            <b:Last>Creyts</b:Last>
            <b:First>John</b:First>
          </b:Person>
          <b:Person>
            <b:Last>Derkach</b:Last>
            <b:First>Anton</b:First>
          </b:Person>
          <b:Person>
            <b:Last>Farese</b:Last>
            <b:First>Philip</b:First>
          </b:Person>
          <b:Person>
            <b:Last>Nyquist</b:Last>
            <b:First>Scott</b:First>
          </b:Person>
          <b:Person>
            <b:Last>Ostrowski</b:Last>
            <b:First>Ken</b:First>
          </b:Person>
        </b:NameList>
      </b:Author>
    </b:Author>
    <b:RefOrder>15</b:RefOrder>
  </b:Source>
  <b:Source>
    <b:Tag>DB</b:Tag>
    <b:SourceType>Report</b:SourceType>
    <b:Guid>{56F10E1F-86BB-49EB-B77B-212556903BB0}</b:Guid>
    <b:Author>
      <b:Author>
        <b:NameList>
          <b:Person>
            <b:Last>Fulton</b:Last>
            <b:First>Mark</b:First>
          </b:Person>
          <b:Person>
            <b:Last>Brandenburg</b:Last>
            <b:First>Margot</b:First>
          </b:Person>
        </b:NameList>
      </b:Author>
    </b:Author>
    <b:Title>United States Building Energy Efficiency Retrofits: Market Sizing and Financing Models</b:Title>
    <b:Year>2012</b:Year>
    <b:Publisher>The Rockefeller Foundation and DB Climate Change Advisors</b:Publisher>
    <b:RefOrder>16</b:RefOrder>
  </b:Source>
  <b:Source>
    <b:Tag>Mil14</b:Tag>
    <b:SourceType>Report</b:SourceType>
    <b:Guid>{53129D5D-10A3-4D27-B4D7-6EBE631E86B6}</b:Guid>
    <b:Title>Clean Energy Finance Through the Bond Market: A New Option for Progress</b:Title>
    <b:Year>2014</b:Year>
    <b:Author>
      <b:Author>
        <b:NameList>
          <b:Person>
            <b:Last>Milford</b:Last>
            <b:First>Lewis</b:First>
          </b:Person>
          <b:Person>
            <b:Last>Saha</b:Last>
            <b:First>Devashree</b:First>
          </b:Person>
          <b:Person>
            <b:Last>Muro</b:Last>
            <b:First>Mark</b:First>
          </b:Person>
          <b:Person>
            <b:Last>Sanders</b:Last>
            <b:First>Robert</b:First>
          </b:Person>
          <b:Person>
            <b:Last>Rittner</b:Last>
            <b:First>Toby</b:First>
          </b:Person>
        </b:NameList>
      </b:Author>
    </b:Author>
    <b:Publisher>Brookings-Rockefeller Project on State and Metropolitan Innovation</b:Publisher>
    <b:RefOrder>17</b:RefOrder>
  </b:Source>
  <b:Source>
    <b:Tag>Ful10</b:Tag>
    <b:SourceType>Report</b:SourceType>
    <b:Guid>{61E7C428-8DC7-466B-B38C-43A5C1630A28}</b:Guid>
    <b:Title>Driving Demand for Home Energy Improvements</b:Title>
    <b:Year>2010</b:Year>
    <b:Author>
      <b:Author>
        <b:NameList>
          <b:Person>
            <b:Last>Fuller</b:Last>
            <b:First>Merrian</b:First>
          </b:Person>
          <b:Person>
            <b:Last>Kunkel</b:Last>
            <b:First>Cathy</b:First>
          </b:Person>
          <b:Person>
            <b:Last>Zimring</b:Last>
            <b:First>Mark</b:First>
          </b:Person>
          <b:Person>
            <b:Last>Hoffman</b:Last>
            <b:First>Ian</b:First>
          </b:Person>
          <b:Person>
            <b:Last>Lindgren Soroye</b:Last>
            <b:First>Katie</b:First>
          </b:Person>
          <b:Person>
            <b:Last>Goldman</b:Last>
            <b:First>Charkes</b:First>
          </b:Person>
        </b:NameList>
      </b:Author>
    </b:Author>
    <b:Publisher>Lawrence Berkeley National Lab</b:Publisher>
    <b:URL>http://drivingdemand.lbl.gov/reports/lbnl-3960e-print.pdf</b:URL>
    <b:RefOrder>18</b:RefOrder>
  </b:Source>
  <b:Source>
    <b:Tag>SIF14</b:Tag>
    <b:SourceType>InternetSite</b:SourceType>
    <b:Guid>{FB5CAB91-11E4-40FF-BD83-58D4E5A63234}</b:Guid>
    <b:Title>Statistics</b:Title>
    <b:Year>2014</b:Year>
    <b:Month>October</b:Month>
    <b:Day>6</b:Day>
    <b:Author>
      <b:Author>
        <b:Corporate>SIFMA</b:Corporate>
      </b:Author>
    </b:Author>
    <b:URL>http://www.sifma.org/research/statistics.aspx</b:URL>
    <b:RefOrder>19</b:RefOrder>
  </b:Source>
  <b:Source>
    <b:Tag>KNN12</b:Tag>
    <b:SourceType>Report</b:SourceType>
    <b:Guid>{89CA5DB8-723C-4E16-809D-F6B22534C2C1}</b:Guid>
    <b:Title>Financing Feasibility Analysis for Property Assessed Clean Energy (PACE) Programs</b:Title>
    <b:Year>2012</b:Year>
    <b:Publisher>KNN Public Finance</b:Publisher>
    <b:Author>
      <b:Author>
        <b:Corporate>KNN Public Finance</b:Corporate>
      </b:Author>
    </b:Author>
    <b:URL>http://www.drivecms.com/uploads/sonomacountyenergy.org/Municipal%20Resources/Document%20Library/Feasibility%20Studies/FeasibilityAnalysis_SecondStagePACEFinancings.pdf</b:URL>
    <b:RefOrder>20</b:RefOrder>
  </b:Source>
</b:Sources>
</file>

<file path=customXml/itemProps1.xml><?xml version="1.0" encoding="utf-8"?>
<ds:datastoreItem xmlns:ds="http://schemas.openxmlformats.org/officeDocument/2006/customXml" ds:itemID="{2D3CB837-F0F2-4C0E-8CFF-4D8524C87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45403</Words>
  <Characters>258798</Characters>
  <Application>Microsoft Office Word</Application>
  <DocSecurity>0</DocSecurity>
  <Lines>2156</Lines>
  <Paragraphs>607</Paragraphs>
  <ScaleCrop>false</ScaleCrop>
  <HeadingPairs>
    <vt:vector size="2" baseType="variant">
      <vt:variant>
        <vt:lpstr>Title</vt:lpstr>
      </vt:variant>
      <vt:variant>
        <vt:i4>1</vt:i4>
      </vt:variant>
    </vt:vector>
  </HeadingPairs>
  <TitlesOfParts>
    <vt:vector size="1" baseType="lpstr">
      <vt:lpstr/>
    </vt:vector>
  </TitlesOfParts>
  <Manager/>
  <Company>Microsoft</Company>
  <LinksUpToDate>false</LinksUpToDate>
  <CharactersWithSpaces>303594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Hoffman</dc:creator>
  <cp:keywords/>
  <dc:description/>
  <cp:lastModifiedBy>Won Young Park</cp:lastModifiedBy>
  <cp:revision>3</cp:revision>
  <cp:lastPrinted>2023-09-15T22:46:00Z</cp:lastPrinted>
  <dcterms:created xsi:type="dcterms:W3CDTF">2023-12-14T01:27:00Z</dcterms:created>
  <dcterms:modified xsi:type="dcterms:W3CDTF">2023-12-18T12:59:00Z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id="mUwyPBBm"/&gt;&lt;style id="http://www.zotero.org/styles/nature" hasBibliography="1" bibliographyStyleHasBeenSet="1"/&gt;&lt;prefs&gt;&lt;pref name="fieldType" value="Field"/&gt;&lt;/prefs&gt;&lt;/data&gt;</vt:lpwstr>
  </property>
</Properties>
</file>