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CAF8" w14:textId="6543101A" w:rsidR="00184298" w:rsidRPr="00F90368" w:rsidRDefault="00255C98" w:rsidP="00255C98">
      <w:pPr>
        <w:jc w:val="left"/>
        <w:rPr>
          <w:rFonts w:eastAsiaTheme="minorEastAsia"/>
        </w:rPr>
      </w:pPr>
      <w:r w:rsidRPr="00255C98">
        <w:rPr>
          <w:rFonts w:ascii="TimesNewRomanPS-BoldMT" w:hAnsi="TimesNewRomanPS-BoldMT"/>
          <w:b/>
          <w:bCs/>
          <w:color w:val="000000"/>
          <w:sz w:val="28"/>
          <w:szCs w:val="28"/>
        </w:rPr>
        <w:t>Supplementary Information</w:t>
      </w:r>
    </w:p>
    <w:p w14:paraId="6E2DA670" w14:textId="77777777" w:rsidR="00255C98" w:rsidRPr="008F0554" w:rsidRDefault="00255C98" w:rsidP="00255C98">
      <w:pPr>
        <w:jc w:val="left"/>
        <w:rPr>
          <w:rFonts w:eastAsiaTheme="minorEastAsia"/>
          <w:b/>
          <w:bCs/>
          <w:kern w:val="44"/>
          <w:sz w:val="28"/>
          <w:szCs w:val="44"/>
        </w:rPr>
      </w:pPr>
      <w:bookmarkStart w:id="0" w:name="_Hlk100565732"/>
      <w:bookmarkStart w:id="1" w:name="_Hlk115452015"/>
      <w:bookmarkStart w:id="2" w:name="_Hlk132281496"/>
      <w:bookmarkStart w:id="3" w:name="_Hlk108019380"/>
      <w:bookmarkEnd w:id="0"/>
      <w:bookmarkEnd w:id="1"/>
      <w:bookmarkEnd w:id="2"/>
      <w:r>
        <w:rPr>
          <w:rFonts w:eastAsiaTheme="minorEastAsia" w:cs="Times New Roman"/>
          <w:b/>
          <w:bCs/>
          <w:kern w:val="44"/>
          <w:sz w:val="28"/>
          <w:szCs w:val="44"/>
        </w:rPr>
        <w:t>E</w:t>
      </w:r>
      <w:r>
        <w:rPr>
          <w:rFonts w:eastAsiaTheme="minorEastAsia" w:cs="Times New Roman" w:hint="eastAsia"/>
          <w:b/>
          <w:bCs/>
          <w:kern w:val="44"/>
          <w:sz w:val="28"/>
          <w:szCs w:val="44"/>
        </w:rPr>
        <w:t>n</w:t>
      </w:r>
      <w:r>
        <w:rPr>
          <w:rFonts w:eastAsiaTheme="minorEastAsia" w:cs="Times New Roman"/>
          <w:b/>
          <w:bCs/>
          <w:kern w:val="44"/>
          <w:sz w:val="28"/>
          <w:szCs w:val="44"/>
        </w:rPr>
        <w:t>abling</w:t>
      </w:r>
      <w:r w:rsidRPr="00842C04">
        <w:rPr>
          <w:b/>
          <w:bCs/>
          <w:kern w:val="44"/>
          <w:sz w:val="28"/>
          <w:szCs w:val="44"/>
        </w:rPr>
        <w:t xml:space="preserve"> </w:t>
      </w:r>
      <w:r w:rsidRPr="00B86E91">
        <w:rPr>
          <w:b/>
          <w:bCs/>
          <w:kern w:val="44"/>
          <w:sz w:val="28"/>
          <w:szCs w:val="44"/>
        </w:rPr>
        <w:t xml:space="preserve">cation-exchange-based </w:t>
      </w:r>
      <w:r w:rsidRPr="00842C04">
        <w:rPr>
          <w:b/>
          <w:bCs/>
          <w:kern w:val="44"/>
          <w:sz w:val="28"/>
          <w:szCs w:val="44"/>
        </w:rPr>
        <w:t>sorbents</w:t>
      </w:r>
      <w:r>
        <w:rPr>
          <w:b/>
          <w:bCs/>
          <w:kern w:val="44"/>
          <w:sz w:val="28"/>
          <w:szCs w:val="44"/>
        </w:rPr>
        <w:t xml:space="preserve"> </w:t>
      </w:r>
      <w:r w:rsidRPr="00842C04">
        <w:rPr>
          <w:b/>
          <w:bCs/>
          <w:kern w:val="44"/>
          <w:sz w:val="28"/>
          <w:szCs w:val="44"/>
        </w:rPr>
        <w:t>for</w:t>
      </w:r>
      <w:r w:rsidRPr="008A2AA3">
        <w:rPr>
          <w:b/>
          <w:bCs/>
          <w:kern w:val="44"/>
          <w:sz w:val="28"/>
          <w:szCs w:val="44"/>
        </w:rPr>
        <w:t xml:space="preserve"> </w:t>
      </w:r>
      <w:r>
        <w:rPr>
          <w:b/>
          <w:bCs/>
          <w:kern w:val="44"/>
          <w:sz w:val="28"/>
          <w:szCs w:val="44"/>
        </w:rPr>
        <w:t xml:space="preserve">high-capacity and efficient </w:t>
      </w:r>
      <w:r w:rsidRPr="00842C04">
        <w:rPr>
          <w:b/>
          <w:bCs/>
          <w:kern w:val="44"/>
          <w:sz w:val="28"/>
          <w:szCs w:val="44"/>
        </w:rPr>
        <w:t xml:space="preserve">moisture-swing </w:t>
      </w:r>
      <w:r>
        <w:rPr>
          <w:b/>
          <w:bCs/>
          <w:kern w:val="44"/>
          <w:sz w:val="28"/>
          <w:szCs w:val="44"/>
        </w:rPr>
        <w:t xml:space="preserve">direct air </w:t>
      </w:r>
      <w:r w:rsidRPr="00842C04">
        <w:rPr>
          <w:b/>
          <w:bCs/>
          <w:kern w:val="44"/>
          <w:sz w:val="28"/>
          <w:szCs w:val="44"/>
        </w:rPr>
        <w:t>capture</w:t>
      </w:r>
      <w:r>
        <w:rPr>
          <w:b/>
          <w:bCs/>
          <w:kern w:val="44"/>
          <w:sz w:val="28"/>
          <w:szCs w:val="44"/>
        </w:rPr>
        <w:t xml:space="preserve"> of CO</w:t>
      </w:r>
      <w:r>
        <w:rPr>
          <w:b/>
          <w:bCs/>
          <w:kern w:val="44"/>
          <w:sz w:val="28"/>
          <w:szCs w:val="44"/>
          <w:vertAlign w:val="subscript"/>
        </w:rPr>
        <w:t>2</w:t>
      </w:r>
    </w:p>
    <w:p w14:paraId="68570C96" w14:textId="3110542D" w:rsidR="00255C98" w:rsidRPr="0092547B" w:rsidRDefault="00255C98" w:rsidP="00255C98">
      <w:pPr>
        <w:spacing w:afterLines="100" w:after="312"/>
        <w:rPr>
          <w:rFonts w:eastAsiaTheme="minorEastAsia"/>
          <w:sz w:val="24"/>
        </w:rPr>
      </w:pPr>
      <w:bookmarkStart w:id="4" w:name="_Hlk40445795"/>
      <w:bookmarkStart w:id="5" w:name="_Hlk108019423"/>
      <w:r w:rsidRPr="0091589C">
        <w:rPr>
          <w:sz w:val="24"/>
        </w:rPr>
        <w:t>Xueru Wang</w:t>
      </w:r>
      <w:r w:rsidRPr="0091589C">
        <w:rPr>
          <w:sz w:val="24"/>
          <w:vertAlign w:val="superscript"/>
        </w:rPr>
        <w:t xml:space="preserve"> a</w:t>
      </w:r>
      <w:r>
        <w:rPr>
          <w:sz w:val="24"/>
          <w:vertAlign w:val="superscript"/>
        </w:rPr>
        <w:t>, b</w:t>
      </w:r>
      <w:r w:rsidRPr="000772E1">
        <w:rPr>
          <w:rFonts w:cs="Times New Roman"/>
          <w:sz w:val="24"/>
        </w:rPr>
        <w:t>,</w:t>
      </w:r>
      <w:r w:rsidRPr="0091589C">
        <w:rPr>
          <w:sz w:val="24"/>
        </w:rPr>
        <w:t xml:space="preserve"> </w:t>
      </w:r>
      <w:r>
        <w:rPr>
          <w:sz w:val="24"/>
        </w:rPr>
        <w:t>Yan Chen</w:t>
      </w:r>
      <w:r w:rsidRPr="0091589C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 xml:space="preserve">a, </w:t>
      </w:r>
      <w:r w:rsidRPr="0091589C">
        <w:rPr>
          <w:rStyle w:val="ac"/>
          <w:bCs/>
          <w:kern w:val="0"/>
          <w:sz w:val="24"/>
        </w:rPr>
        <w:footnoteReference w:customMarkFollows="1" w:id="1"/>
        <w:sym w:font="Symbol" w:char="F02A"/>
      </w:r>
      <w:r w:rsidRPr="0091589C">
        <w:rPr>
          <w:rFonts w:hint="eastAsia"/>
          <w:sz w:val="24"/>
        </w:rPr>
        <w:t>,</w:t>
      </w:r>
      <w:r>
        <w:rPr>
          <w:sz w:val="24"/>
        </w:rPr>
        <w:t xml:space="preserve"> Arne</w:t>
      </w:r>
      <w:r w:rsidRPr="0070646A">
        <w:rPr>
          <w:sz w:val="24"/>
        </w:rPr>
        <w:t xml:space="preserve"> </w:t>
      </w:r>
      <w:r w:rsidRPr="00FF3FF2">
        <w:rPr>
          <w:sz w:val="24"/>
        </w:rPr>
        <w:t>Lindbråthen</w:t>
      </w:r>
      <w:r w:rsidRPr="0091589C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>b</w:t>
      </w:r>
      <w:r>
        <w:rPr>
          <w:sz w:val="24"/>
        </w:rPr>
        <w:t>, H</w:t>
      </w:r>
      <w:r w:rsidRPr="00ED5FD8">
        <w:rPr>
          <w:sz w:val="24"/>
        </w:rPr>
        <w:t>ang Xiao</w:t>
      </w:r>
      <w:r w:rsidRPr="0091589C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>c</w:t>
      </w:r>
      <w:r w:rsidRPr="0070646A">
        <w:rPr>
          <w:sz w:val="24"/>
        </w:rPr>
        <w:t>,</w:t>
      </w:r>
      <w:r>
        <w:rPr>
          <w:sz w:val="24"/>
        </w:rPr>
        <w:t xml:space="preserve"> Xi Chen </w:t>
      </w:r>
      <w:r w:rsidR="00B3137D">
        <w:rPr>
          <w:sz w:val="24"/>
          <w:vertAlign w:val="superscript"/>
        </w:rPr>
        <w:t>c</w:t>
      </w:r>
      <w:r w:rsidRPr="00C55C48">
        <w:rPr>
          <w:sz w:val="24"/>
        </w:rPr>
        <w:t>,</w:t>
      </w:r>
      <w:r>
        <w:rPr>
          <w:sz w:val="24"/>
        </w:rPr>
        <w:t xml:space="preserve"> Liyuan Deng</w:t>
      </w:r>
      <w:r w:rsidRPr="0091589C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 xml:space="preserve">b, </w:t>
      </w:r>
      <w:r w:rsidRPr="009D4233">
        <w:rPr>
          <w:bCs/>
          <w:kern w:val="0"/>
          <w:sz w:val="24"/>
          <w:vertAlign w:val="superscript"/>
        </w:rPr>
        <w:t>*</w:t>
      </w:r>
      <w:bookmarkEnd w:id="4"/>
    </w:p>
    <w:p w14:paraId="6E8ABC51" w14:textId="77777777" w:rsidR="00255C98" w:rsidRDefault="00255C98" w:rsidP="00255C98">
      <w:pPr>
        <w:rPr>
          <w:vertAlign w:val="superscript"/>
        </w:rPr>
      </w:pPr>
      <w:r>
        <w:rPr>
          <w:vertAlign w:val="superscript"/>
        </w:rPr>
        <w:t>a</w:t>
      </w:r>
      <w:r>
        <w:t xml:space="preserve"> </w:t>
      </w:r>
      <w:r w:rsidRPr="0087086F">
        <w:rPr>
          <w:kern w:val="0"/>
        </w:rPr>
        <w:t>Laboratory for multiscale mechanics and medical science, SV LAB, School of Aerospace, Xi'an Jiaotong University, Xi'an 710049, China</w:t>
      </w:r>
      <w:r w:rsidRPr="00B409CF">
        <w:t xml:space="preserve"> </w:t>
      </w:r>
    </w:p>
    <w:p w14:paraId="5B6769DB" w14:textId="28363384" w:rsidR="00255C98" w:rsidRDefault="00255C98" w:rsidP="00255C98">
      <w:pPr>
        <w:rPr>
          <w:vertAlign w:val="superscript"/>
        </w:rPr>
      </w:pPr>
      <w:r>
        <w:rPr>
          <w:vertAlign w:val="superscript"/>
        </w:rPr>
        <w:t>b</w:t>
      </w:r>
      <w:r>
        <w:rPr>
          <w:rFonts w:hint="eastAsia"/>
        </w:rPr>
        <w:t xml:space="preserve"> </w:t>
      </w:r>
      <w:r w:rsidRPr="00240F53">
        <w:t xml:space="preserve">Department of Chemical Engineering, Norwegian University of Science and Technology Trondheim, </w:t>
      </w:r>
      <w:r w:rsidR="007D183A">
        <w:t>7034</w:t>
      </w:r>
      <w:r w:rsidRPr="00240F53">
        <w:t>, Norway</w:t>
      </w:r>
      <w:r>
        <w:t xml:space="preserve"> </w:t>
      </w:r>
    </w:p>
    <w:bookmarkEnd w:id="3"/>
    <w:bookmarkEnd w:id="5"/>
    <w:p w14:paraId="0635BEEE" w14:textId="77777777" w:rsidR="007D183A" w:rsidRPr="002E1E7C" w:rsidRDefault="007D183A" w:rsidP="007D183A">
      <w:pPr>
        <w:ind w:left="142" w:hanging="142"/>
      </w:pPr>
      <w:r w:rsidRPr="002E1E7C">
        <w:rPr>
          <w:vertAlign w:val="superscript"/>
        </w:rPr>
        <w:t>c</w:t>
      </w:r>
      <w:r w:rsidRPr="002E1E7C">
        <w:t xml:space="preserve"> School of Interdisciplinary Studies</w:t>
      </w:r>
      <w:r w:rsidRPr="002E1E7C">
        <w:rPr>
          <w:rFonts w:eastAsiaTheme="minorEastAsia" w:hint="eastAsia"/>
        </w:rPr>
        <w:t>,</w:t>
      </w:r>
      <w:r w:rsidRPr="002E1E7C">
        <w:rPr>
          <w:rFonts w:eastAsiaTheme="minorEastAsia"/>
        </w:rPr>
        <w:t xml:space="preserve"> </w:t>
      </w:r>
      <w:r w:rsidRPr="002E1E7C">
        <w:t>Lingnan University</w:t>
      </w:r>
      <w:r w:rsidRPr="002E1E7C">
        <w:rPr>
          <w:rFonts w:eastAsiaTheme="minorEastAsia" w:hint="eastAsia"/>
        </w:rPr>
        <w:t>,</w:t>
      </w:r>
      <w:r w:rsidRPr="002E1E7C">
        <w:rPr>
          <w:rFonts w:eastAsiaTheme="minorEastAsia"/>
        </w:rPr>
        <w:t xml:space="preserve"> </w:t>
      </w:r>
      <w:r w:rsidRPr="002E1E7C">
        <w:t>Tuen Mun, Hong Kong</w:t>
      </w:r>
      <w:r>
        <w:t>,</w:t>
      </w:r>
      <w:r w:rsidRPr="002E1E7C">
        <w:t xml:space="preserve"> 0000, China </w:t>
      </w:r>
    </w:p>
    <w:p w14:paraId="4D3B47E7" w14:textId="77777777" w:rsidR="00011423" w:rsidRPr="00F90368" w:rsidRDefault="00011423">
      <w:pPr>
        <w:spacing w:line="288" w:lineRule="auto"/>
        <w:ind w:firstLineChars="200" w:firstLine="440"/>
        <w:rPr>
          <w:rFonts w:eastAsiaTheme="minorEastAsia"/>
          <w:b/>
          <w:bCs/>
        </w:rPr>
      </w:pPr>
      <w:r w:rsidRPr="00F90368">
        <w:rPr>
          <w:rFonts w:eastAsiaTheme="minorEastAsia"/>
          <w:b/>
          <w:bCs/>
        </w:rPr>
        <w:br w:type="page"/>
      </w:r>
    </w:p>
    <w:p w14:paraId="2CE2CE5B" w14:textId="261AEE90" w:rsidR="00556354" w:rsidRPr="00F90368" w:rsidRDefault="008D5A3A" w:rsidP="00556354">
      <w:pPr>
        <w:jc w:val="center"/>
        <w:rPr>
          <w:rFonts w:eastAsiaTheme="minorEastAsia"/>
          <w:sz w:val="21"/>
        </w:rPr>
      </w:pPr>
      <w:r>
        <w:rPr>
          <w:rFonts w:eastAsiaTheme="minorEastAsia"/>
          <w:noProof/>
          <w:sz w:val="21"/>
        </w:rPr>
        <w:lastRenderedPageBreak/>
        <w:drawing>
          <wp:inline distT="0" distB="0" distL="0" distR="0" wp14:anchorId="3EC05D90" wp14:editId="0D3E3243">
            <wp:extent cx="5505450" cy="744410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44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259EEF" w14:textId="0A2D9795" w:rsidR="00823058" w:rsidRDefault="00EA3BBD" w:rsidP="00823058">
      <w:pPr>
        <w:pStyle w:val="af5"/>
        <w:rPr>
          <w:rFonts w:eastAsiaTheme="minorEastAsia"/>
          <w:i w:val="0"/>
          <w:iCs w:val="0"/>
          <w:color w:val="auto"/>
          <w:sz w:val="22"/>
          <w:szCs w:val="22"/>
        </w:rPr>
      </w:pPr>
      <w:bookmarkStart w:id="6" w:name="_Hlk145580658"/>
      <w:r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>Supplementary F</w:t>
      </w:r>
      <w:r w:rsidRPr="0055369A">
        <w:rPr>
          <w:rFonts w:eastAsiaTheme="minorEastAsia" w:hint="eastAsia"/>
          <w:b/>
          <w:bCs/>
          <w:i w:val="0"/>
          <w:iCs w:val="0"/>
          <w:color w:val="auto"/>
          <w:sz w:val="22"/>
          <w:szCs w:val="22"/>
        </w:rPr>
        <w:t>ig</w:t>
      </w:r>
      <w:r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>. 1</w:t>
      </w:r>
      <w:bookmarkEnd w:id="6"/>
      <w:r w:rsidR="00623E62"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BF1C34" w:rsidRPr="0055369A">
        <w:rPr>
          <w:b/>
          <w:bCs/>
          <w:i w:val="0"/>
          <w:iCs w:val="0"/>
          <w:color w:val="auto"/>
          <w:sz w:val="22"/>
          <w:szCs w:val="22"/>
        </w:rPr>
        <w:t xml:space="preserve">| </w:t>
      </w:r>
      <w:r w:rsidR="00E06591"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 xml:space="preserve">The </w:t>
      </w:r>
      <w:r w:rsidR="006B47E8"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>geometrical configuration</w:t>
      </w:r>
      <w:r w:rsidR="00E06591"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 xml:space="preserve">s of the reactants and products in the </w:t>
      </w:r>
      <w:r w:rsidR="006C63CA" w:rsidRPr="0055369A">
        <w:rPr>
          <w:b/>
          <w:bCs/>
          <w:i w:val="0"/>
          <w:iCs w:val="0"/>
          <w:color w:val="auto"/>
          <w:sz w:val="22"/>
          <w:szCs w:val="22"/>
        </w:rPr>
        <w:t>reversible hydrolysis reactions</w:t>
      </w:r>
      <w:r w:rsidR="00E06591"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 xml:space="preserve"> of fundamental ions investigat</w:t>
      </w:r>
      <w:r w:rsidR="006B47E8"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>ed</w:t>
      </w:r>
      <w:r w:rsidR="00E06591"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 xml:space="preserve"> in this study.</w:t>
      </w:r>
      <w:r w:rsidR="00E06591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</w:t>
      </w:r>
      <w:r w:rsidR="006C63CA"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>a–b</w:t>
      </w:r>
      <w:r w:rsidR="00623E62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Geometrical configuration</w:t>
      </w:r>
      <w:r w:rsidR="006C63CA" w:rsidRPr="0055369A">
        <w:rPr>
          <w:rFonts w:eastAsiaTheme="minorEastAsia"/>
          <w:i w:val="0"/>
          <w:iCs w:val="0"/>
          <w:color w:val="auto"/>
          <w:sz w:val="22"/>
          <w:szCs w:val="22"/>
        </w:rPr>
        <w:t>s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</w:t>
      </w:r>
      <w:r w:rsidR="006C63CA" w:rsidRPr="0055369A">
        <w:rPr>
          <w:rFonts w:eastAsiaTheme="minorEastAsia"/>
          <w:i w:val="0"/>
          <w:iCs w:val="0"/>
          <w:color w:val="auto"/>
          <w:sz w:val="22"/>
          <w:szCs w:val="22"/>
        </w:rPr>
        <w:t>for the reactants</w:t>
      </w:r>
      <w:r w:rsidR="00DD5C56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(a)</w:t>
      </w:r>
      <w:r w:rsidR="006C63C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and products</w:t>
      </w:r>
      <w:r w:rsidR="00DD5C56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(b)</w:t>
      </w:r>
      <w:r w:rsidR="006C63C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of the reversible hydrolysis reaction</w:t>
      </w:r>
      <w:r w:rsidR="00910855" w:rsidRPr="0055369A">
        <w:rPr>
          <w:rFonts w:eastAsiaTheme="minorEastAsia"/>
          <w:i w:val="0"/>
          <w:iCs w:val="0"/>
          <w:color w:val="auto"/>
          <w:sz w:val="22"/>
          <w:szCs w:val="22"/>
        </w:rPr>
        <w:t>s</w:t>
      </w:r>
      <w:r w:rsidR="006C63C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of divalent basic ions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</w:t>
      </w:r>
      <w:r w:rsidR="006C63CA" w:rsidRPr="0055369A">
        <w:rPr>
          <w:rFonts w:eastAsiaTheme="minorEastAsia"/>
          <w:i w:val="0"/>
          <w:iCs w:val="0"/>
          <w:color w:val="auto"/>
          <w:sz w:val="22"/>
          <w:szCs w:val="22"/>
        </w:rPr>
        <w:t>(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HPO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bscript"/>
        </w:rPr>
        <w:t>3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2-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, SO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bscript"/>
        </w:rPr>
        <w:t>3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2-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. CO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bscript"/>
        </w:rPr>
        <w:t>3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2-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, and S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2-</w:t>
      </w:r>
      <w:r w:rsidR="006C63CA" w:rsidRPr="0055369A">
        <w:rPr>
          <w:rFonts w:eastAsiaTheme="minorEastAsia"/>
          <w:i w:val="0"/>
          <w:iCs w:val="0"/>
          <w:color w:val="auto"/>
          <w:sz w:val="22"/>
          <w:szCs w:val="22"/>
        </w:rPr>
        <w:t>)</w:t>
      </w:r>
      <w:bookmarkStart w:id="7" w:name="OLE_LINK14"/>
      <w:r w:rsidR="00DD5C56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when the number of water 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molecules</w:t>
      </w:r>
      <w:r w:rsidR="00DD5C56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in reactants is three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.</w:t>
      </w:r>
      <w:r w:rsidR="00DD5C56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Red, white, purple, orange, yellow, and gray balls represent </w:t>
      </w:r>
      <w:r w:rsidR="00840306" w:rsidRPr="0055369A">
        <w:rPr>
          <w:rFonts w:eastAsiaTheme="minorEastAsia"/>
          <w:i w:val="0"/>
          <w:iCs w:val="0"/>
          <w:color w:val="auto"/>
          <w:sz w:val="22"/>
          <w:szCs w:val="22"/>
        </w:rPr>
        <w:t>O</w:t>
      </w:r>
      <w:r w:rsidR="00DD5C56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, H, Na, P, S, and C atoms respectively. </w:t>
      </w:r>
      <w:r w:rsidR="00DD5C56"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>c–d</w:t>
      </w:r>
      <w:r w:rsidR="00DD5C56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Geometrical configuration</w:t>
      </w:r>
      <w:r w:rsidR="00DD5C56" w:rsidRPr="0055369A">
        <w:rPr>
          <w:rFonts w:eastAsiaTheme="minorEastAsia"/>
          <w:i w:val="0"/>
          <w:iCs w:val="0"/>
          <w:color w:val="auto"/>
          <w:sz w:val="22"/>
          <w:szCs w:val="22"/>
        </w:rPr>
        <w:t>s for the reactants (c) and products (d) of the reversible hydrolysis reaction</w:t>
      </w:r>
      <w:r w:rsidR="00910855" w:rsidRPr="0055369A">
        <w:rPr>
          <w:rFonts w:eastAsiaTheme="minorEastAsia"/>
          <w:i w:val="0"/>
          <w:iCs w:val="0"/>
          <w:color w:val="auto"/>
          <w:sz w:val="22"/>
          <w:szCs w:val="22"/>
        </w:rPr>
        <w:t>s</w:t>
      </w:r>
      <w:r w:rsidR="00DD5C56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</w:t>
      </w:r>
      <w:r w:rsidR="00DD5C56" w:rsidRPr="0055369A">
        <w:rPr>
          <w:rFonts w:eastAsiaTheme="minorEastAsia"/>
          <w:i w:val="0"/>
          <w:iCs w:val="0"/>
          <w:color w:val="auto"/>
          <w:sz w:val="22"/>
          <w:szCs w:val="22"/>
        </w:rPr>
        <w:lastRenderedPageBreak/>
        <w:t>of monovalent basic ions (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H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bscript"/>
        </w:rPr>
        <w:t>2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PO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bscript"/>
        </w:rPr>
        <w:t>2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-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, F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-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. CH3COO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-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, ClO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-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and CN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-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)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when the number of water molecules in reactants is three</w:t>
      </w:r>
      <w:r w:rsidR="00823058" w:rsidRPr="0055369A">
        <w:rPr>
          <w:rFonts w:eastAsiaTheme="minorEastAsia"/>
          <w:i w:val="0"/>
          <w:iCs w:val="0"/>
          <w:color w:val="auto"/>
          <w:sz w:val="22"/>
          <w:szCs w:val="22"/>
        </w:rPr>
        <w:t>.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Red, white, purple, orange, light blue, gray, green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,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and dark blue balls represent </w:t>
      </w:r>
      <w:r w:rsidR="00840306" w:rsidRPr="0055369A">
        <w:rPr>
          <w:rFonts w:eastAsiaTheme="minorEastAsia"/>
          <w:i w:val="0"/>
          <w:iCs w:val="0"/>
          <w:color w:val="auto"/>
          <w:sz w:val="22"/>
          <w:szCs w:val="22"/>
        </w:rPr>
        <w:t>O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, H, Na, P, F, C, </w:t>
      </w:r>
      <w:r w:rsidR="00840306" w:rsidRPr="0055369A">
        <w:rPr>
          <w:rFonts w:eastAsiaTheme="minorEastAsia"/>
          <w:i w:val="0"/>
          <w:iCs w:val="0"/>
          <w:color w:val="auto"/>
          <w:sz w:val="22"/>
          <w:szCs w:val="22"/>
        </w:rPr>
        <w:t>Cl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,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and </w:t>
      </w:r>
      <w:r w:rsidR="00840306" w:rsidRPr="0055369A">
        <w:rPr>
          <w:rFonts w:eastAsiaTheme="minorEastAsia"/>
          <w:i w:val="0"/>
          <w:iCs w:val="0"/>
          <w:color w:val="auto"/>
          <w:sz w:val="22"/>
          <w:szCs w:val="22"/>
        </w:rPr>
        <w:t>N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atoms respectively. </w:t>
      </w:r>
      <w:r w:rsidR="008D5A3A"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>e–f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Geometrical configurations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for the reactants (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e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>) and products (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f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>) of the reversible hydrolysis reaction</w:t>
      </w:r>
      <w:r w:rsidR="00910855" w:rsidRPr="0055369A">
        <w:rPr>
          <w:rFonts w:eastAsiaTheme="minorEastAsia"/>
          <w:i w:val="0"/>
          <w:iCs w:val="0"/>
          <w:color w:val="auto"/>
          <w:sz w:val="22"/>
          <w:szCs w:val="22"/>
        </w:rPr>
        <w:t>s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of CH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  <w:vertAlign w:val="subscript"/>
        </w:rPr>
        <w:t>3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>PO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  <w:vertAlign w:val="subscript"/>
        </w:rPr>
        <w:t>3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2-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with K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+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>. Na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+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>, Mg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2+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,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and Ca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  <w:vertAlign w:val="superscript"/>
        </w:rPr>
        <w:t>2+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when the number of water molecules in reactants is three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. Red, white, gray, orange, light purple, dark purple, 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dark green, 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and 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light green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balls represent </w:t>
      </w:r>
      <w:r w:rsidR="00840306" w:rsidRPr="0055369A">
        <w:rPr>
          <w:rFonts w:eastAsiaTheme="minorEastAsia"/>
          <w:i w:val="0"/>
          <w:iCs w:val="0"/>
          <w:color w:val="auto"/>
          <w:sz w:val="22"/>
          <w:szCs w:val="22"/>
        </w:rPr>
        <w:t>O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, H, 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C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, P, 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Na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, 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K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, 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Mg,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and </w:t>
      </w:r>
      <w:r w:rsidR="006B47E8" w:rsidRPr="0055369A">
        <w:rPr>
          <w:rFonts w:eastAsiaTheme="minorEastAsia"/>
          <w:i w:val="0"/>
          <w:iCs w:val="0"/>
          <w:color w:val="auto"/>
          <w:sz w:val="22"/>
          <w:szCs w:val="22"/>
        </w:rPr>
        <w:t>Ca</w:t>
      </w:r>
      <w:r w:rsidR="008D5A3A" w:rsidRPr="0055369A">
        <w:rPr>
          <w:rFonts w:eastAsiaTheme="minorEastAsia"/>
          <w:i w:val="0"/>
          <w:iCs w:val="0"/>
          <w:color w:val="auto"/>
          <w:sz w:val="22"/>
          <w:szCs w:val="22"/>
        </w:rPr>
        <w:t xml:space="preserve"> atoms respectively.</w:t>
      </w:r>
    </w:p>
    <w:p w14:paraId="7A704A98" w14:textId="69708AE6" w:rsidR="00E556F5" w:rsidRDefault="00E556F5" w:rsidP="00733A4E">
      <w:pPr>
        <w:spacing w:beforeLines="50" w:before="156" w:line="240" w:lineRule="auto"/>
      </w:pPr>
      <w:r w:rsidRPr="00646EE6">
        <w:rPr>
          <w:b/>
          <w:bCs/>
        </w:rPr>
        <w:t>Supplementary Ta</w:t>
      </w:r>
      <w:r w:rsidRPr="00143BBA">
        <w:rPr>
          <w:b/>
          <w:bCs/>
        </w:rPr>
        <w:t xml:space="preserve">ble </w:t>
      </w:r>
      <w:r>
        <w:rPr>
          <w:b/>
          <w:bCs/>
        </w:rPr>
        <w:t>1</w:t>
      </w:r>
      <w:r w:rsidRPr="00143BBA">
        <w:rPr>
          <w:b/>
          <w:bCs/>
        </w:rPr>
        <w:t xml:space="preserve"> | Elemental contents of D201 AER and D402 CER rinsed with tap water for different times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063"/>
        <w:gridCol w:w="1063"/>
        <w:gridCol w:w="1063"/>
        <w:gridCol w:w="1064"/>
        <w:gridCol w:w="1134"/>
        <w:gridCol w:w="1134"/>
        <w:gridCol w:w="1224"/>
      </w:tblGrid>
      <w:tr w:rsidR="00E556F5" w14:paraId="155171FE" w14:textId="77777777" w:rsidTr="00733A4E">
        <w:tc>
          <w:tcPr>
            <w:tcW w:w="1271" w:type="dxa"/>
            <w:tcBorders>
              <w:top w:val="single" w:sz="4" w:space="0" w:color="auto"/>
            </w:tcBorders>
          </w:tcPr>
          <w:p w14:paraId="40EAA633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B79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D</w:t>
            </w:r>
            <w:r>
              <w:rPr>
                <w:rFonts w:eastAsiaTheme="minorEastAsia"/>
              </w:rPr>
              <w:t>201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88560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D</w:t>
            </w:r>
            <w:r>
              <w:rPr>
                <w:rFonts w:eastAsiaTheme="minorEastAsia"/>
              </w:rPr>
              <w:t>402</w:t>
            </w:r>
          </w:p>
        </w:tc>
      </w:tr>
      <w:tr w:rsidR="00E556F5" w14:paraId="4CE5B790" w14:textId="77777777" w:rsidTr="00733A4E">
        <w:tc>
          <w:tcPr>
            <w:tcW w:w="1271" w:type="dxa"/>
            <w:tcBorders>
              <w:bottom w:val="single" w:sz="4" w:space="0" w:color="auto"/>
            </w:tcBorders>
          </w:tcPr>
          <w:p w14:paraId="708EE700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0E103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C (wt%)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50D3B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N (wt%)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93B70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O (wt%)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41EF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C</w:t>
            </w:r>
            <w:r>
              <w:rPr>
                <w:rFonts w:eastAsiaTheme="minorEastAsia"/>
              </w:rPr>
              <w:t>l</w:t>
            </w:r>
            <w:r w:rsidRPr="00990170">
              <w:rPr>
                <w:rFonts w:eastAsiaTheme="minorEastAsia" w:cs="Times New Roman"/>
                <w:szCs w:val="22"/>
              </w:rPr>
              <w:t xml:space="preserve"> (wt%)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0263F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Na (wt%)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8101B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Ca (wt%)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ED81E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Mg (wt%)</w:t>
            </w:r>
          </w:p>
        </w:tc>
      </w:tr>
      <w:tr w:rsidR="00E556F5" w14:paraId="3F4BD077" w14:textId="77777777" w:rsidTr="00733A4E"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23BFDFCA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0 min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12F8FF02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066A4E">
              <w:t>90.62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755BB329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C716E8">
              <w:t>1.6</w:t>
            </w:r>
            <w:r>
              <w:t>8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59F51804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6A66DE">
              <w:t>0.82</w:t>
            </w:r>
          </w:p>
        </w:tc>
        <w:tc>
          <w:tcPr>
            <w:tcW w:w="1064" w:type="dxa"/>
            <w:tcBorders>
              <w:top w:val="single" w:sz="4" w:space="0" w:color="auto"/>
              <w:right w:val="single" w:sz="4" w:space="0" w:color="auto"/>
            </w:tcBorders>
          </w:tcPr>
          <w:p w14:paraId="2AA72F7D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2A1C5C">
              <w:t>5.38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5A6AC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5.16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6813A4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6.11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vAlign w:val="center"/>
          </w:tcPr>
          <w:p w14:paraId="30C6377F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0.1</w:t>
            </w:r>
            <w:r>
              <w:rPr>
                <w:rFonts w:eastAsiaTheme="minorEastAsia" w:cs="Times New Roman"/>
                <w:szCs w:val="22"/>
              </w:rPr>
              <w:t>0</w:t>
            </w:r>
          </w:p>
        </w:tc>
      </w:tr>
      <w:tr w:rsidR="00E556F5" w14:paraId="2139475B" w14:textId="77777777" w:rsidTr="00733A4E">
        <w:tc>
          <w:tcPr>
            <w:tcW w:w="1271" w:type="dxa"/>
            <w:vAlign w:val="center"/>
          </w:tcPr>
          <w:p w14:paraId="5A892A17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1 min</w:t>
            </w:r>
          </w:p>
        </w:tc>
        <w:tc>
          <w:tcPr>
            <w:tcW w:w="1063" w:type="dxa"/>
          </w:tcPr>
          <w:p w14:paraId="5B208B6C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t>88.42</w:t>
            </w:r>
          </w:p>
        </w:tc>
        <w:tc>
          <w:tcPr>
            <w:tcW w:w="1063" w:type="dxa"/>
          </w:tcPr>
          <w:p w14:paraId="0A918AA0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C716E8">
              <w:t>3.02</w:t>
            </w:r>
          </w:p>
        </w:tc>
        <w:tc>
          <w:tcPr>
            <w:tcW w:w="1063" w:type="dxa"/>
          </w:tcPr>
          <w:p w14:paraId="0C7FCE2E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6A66DE">
              <w:t>1.4</w:t>
            </w:r>
            <w:r>
              <w:t>5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1E157B14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2A1C5C">
              <w:t>6.05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91F62DE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0.11</w:t>
            </w:r>
          </w:p>
        </w:tc>
        <w:tc>
          <w:tcPr>
            <w:tcW w:w="1134" w:type="dxa"/>
            <w:vAlign w:val="center"/>
          </w:tcPr>
          <w:p w14:paraId="0420A5C2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8.8</w:t>
            </w:r>
            <w:r>
              <w:rPr>
                <w:rFonts w:eastAsiaTheme="minorEastAsia" w:cs="Times New Roman"/>
                <w:szCs w:val="22"/>
              </w:rPr>
              <w:t>5</w:t>
            </w:r>
          </w:p>
        </w:tc>
        <w:tc>
          <w:tcPr>
            <w:tcW w:w="1224" w:type="dxa"/>
            <w:vAlign w:val="center"/>
          </w:tcPr>
          <w:p w14:paraId="7383C569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0.003</w:t>
            </w:r>
          </w:p>
        </w:tc>
      </w:tr>
      <w:tr w:rsidR="00E556F5" w14:paraId="7A924119" w14:textId="77777777" w:rsidTr="00733A4E">
        <w:tc>
          <w:tcPr>
            <w:tcW w:w="1271" w:type="dxa"/>
            <w:vAlign w:val="center"/>
          </w:tcPr>
          <w:p w14:paraId="2D732B6D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5 min</w:t>
            </w:r>
          </w:p>
        </w:tc>
        <w:tc>
          <w:tcPr>
            <w:tcW w:w="1063" w:type="dxa"/>
          </w:tcPr>
          <w:p w14:paraId="3655C55F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066A4E">
              <w:t>87.7</w:t>
            </w:r>
            <w:r>
              <w:t>9</w:t>
            </w:r>
          </w:p>
        </w:tc>
        <w:tc>
          <w:tcPr>
            <w:tcW w:w="1063" w:type="dxa"/>
          </w:tcPr>
          <w:p w14:paraId="1381A003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C716E8">
              <w:t>3.39</w:t>
            </w:r>
          </w:p>
        </w:tc>
        <w:tc>
          <w:tcPr>
            <w:tcW w:w="1063" w:type="dxa"/>
          </w:tcPr>
          <w:p w14:paraId="6EE4460A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6A66DE">
              <w:t>3.0</w:t>
            </w:r>
            <w:r>
              <w:t>1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465FDB41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2A1C5C">
              <w:t>4.28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66B1C8F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0.01</w:t>
            </w:r>
          </w:p>
        </w:tc>
        <w:tc>
          <w:tcPr>
            <w:tcW w:w="1134" w:type="dxa"/>
            <w:vAlign w:val="center"/>
          </w:tcPr>
          <w:p w14:paraId="363392E2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10.79</w:t>
            </w:r>
          </w:p>
        </w:tc>
        <w:tc>
          <w:tcPr>
            <w:tcW w:w="1224" w:type="dxa"/>
            <w:vAlign w:val="center"/>
          </w:tcPr>
          <w:p w14:paraId="7396C862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0.03</w:t>
            </w:r>
          </w:p>
        </w:tc>
      </w:tr>
      <w:tr w:rsidR="00E556F5" w14:paraId="43F82D23" w14:textId="77777777" w:rsidTr="00733A4E">
        <w:tc>
          <w:tcPr>
            <w:tcW w:w="1271" w:type="dxa"/>
            <w:vAlign w:val="center"/>
          </w:tcPr>
          <w:p w14:paraId="57D852B1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10 min</w:t>
            </w:r>
          </w:p>
        </w:tc>
        <w:tc>
          <w:tcPr>
            <w:tcW w:w="1063" w:type="dxa"/>
          </w:tcPr>
          <w:p w14:paraId="20E93ED2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066A4E">
              <w:t>85.27</w:t>
            </w:r>
          </w:p>
        </w:tc>
        <w:tc>
          <w:tcPr>
            <w:tcW w:w="1063" w:type="dxa"/>
          </w:tcPr>
          <w:p w14:paraId="2F1BD50F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C716E8">
              <w:t>5.19</w:t>
            </w:r>
          </w:p>
        </w:tc>
        <w:tc>
          <w:tcPr>
            <w:tcW w:w="1063" w:type="dxa"/>
          </w:tcPr>
          <w:p w14:paraId="59C960F6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6A66DE">
              <w:t>5.10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1D99A645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2A1C5C">
              <w:t>2.47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A8C63EF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0.</w:t>
            </w:r>
            <w:r>
              <w:rPr>
                <w:rFonts w:eastAsiaTheme="minorEastAsia" w:cs="Times New Roman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14:paraId="66E28A82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9.46</w:t>
            </w:r>
          </w:p>
        </w:tc>
        <w:tc>
          <w:tcPr>
            <w:tcW w:w="1224" w:type="dxa"/>
            <w:vAlign w:val="center"/>
          </w:tcPr>
          <w:p w14:paraId="1BE89065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0.05</w:t>
            </w:r>
          </w:p>
        </w:tc>
      </w:tr>
      <w:tr w:rsidR="00E556F5" w14:paraId="12E4C7E3" w14:textId="77777777" w:rsidTr="00733A4E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22E86545" w14:textId="764047FF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Overnight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881BB78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066A4E">
              <w:t>81.94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3401B54C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C716E8">
              <w:t>5.8</w:t>
            </w:r>
            <w:r>
              <w:t>7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095021F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6A66DE">
              <w:t>10.22</w:t>
            </w:r>
          </w:p>
        </w:tc>
        <w:tc>
          <w:tcPr>
            <w:tcW w:w="1064" w:type="dxa"/>
            <w:tcBorders>
              <w:bottom w:val="single" w:sz="4" w:space="0" w:color="auto"/>
              <w:right w:val="single" w:sz="4" w:space="0" w:color="auto"/>
            </w:tcBorders>
          </w:tcPr>
          <w:p w14:paraId="2F7F2D1D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2A1C5C">
              <w:t>0.8</w:t>
            </w: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F280CF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0.1</w:t>
            </w:r>
            <w:r>
              <w:rPr>
                <w:rFonts w:eastAsiaTheme="minorEastAsia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4465C8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10.39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610188AA" w14:textId="77777777" w:rsidR="00E556F5" w:rsidRDefault="00E556F5" w:rsidP="00557174">
            <w:pPr>
              <w:spacing w:line="288" w:lineRule="auto"/>
              <w:jc w:val="center"/>
              <w:rPr>
                <w:rFonts w:eastAsiaTheme="minorEastAsia"/>
              </w:rPr>
            </w:pPr>
            <w:r w:rsidRPr="00990170">
              <w:rPr>
                <w:rFonts w:eastAsiaTheme="minorEastAsia" w:cs="Times New Roman"/>
                <w:szCs w:val="22"/>
              </w:rPr>
              <w:t>0.30</w:t>
            </w:r>
          </w:p>
        </w:tc>
      </w:tr>
    </w:tbl>
    <w:p w14:paraId="6DD5190B" w14:textId="77777777" w:rsidR="00E556F5" w:rsidRDefault="00E556F5" w:rsidP="00E556F5">
      <w:pPr>
        <w:spacing w:line="288" w:lineRule="auto"/>
        <w:rPr>
          <w:rFonts w:eastAsiaTheme="minorEastAsia"/>
        </w:rPr>
      </w:pPr>
    </w:p>
    <w:p w14:paraId="515E150F" w14:textId="77777777" w:rsidR="00E556F5" w:rsidRPr="00E556F5" w:rsidRDefault="00E556F5" w:rsidP="00E556F5">
      <w:pPr>
        <w:rPr>
          <w:rFonts w:eastAsiaTheme="minorEastAsia"/>
        </w:rPr>
      </w:pPr>
    </w:p>
    <w:p w14:paraId="636B5437" w14:textId="253A9D6E" w:rsidR="007504AF" w:rsidRPr="0055369A" w:rsidRDefault="007504AF" w:rsidP="00646EE6">
      <w:pPr>
        <w:jc w:val="center"/>
        <w:rPr>
          <w:rFonts w:eastAsiaTheme="minorEastAsia"/>
        </w:rPr>
      </w:pPr>
      <w:r w:rsidRPr="0055369A">
        <w:rPr>
          <w:noProof/>
        </w:rPr>
        <w:drawing>
          <wp:inline distT="0" distB="0" distL="0" distR="0" wp14:anchorId="0C43708F" wp14:editId="7DF25298">
            <wp:extent cx="2631440" cy="1554480"/>
            <wp:effectExtent l="0" t="0" r="0" b="0"/>
            <wp:docPr id="20" name="Picture 20" descr="手机屏幕的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手机屏幕的截图&#10;&#10;中度可信度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728" t="-11743" r="-641" b="-2391"/>
                    <a:stretch/>
                  </pic:blipFill>
                  <pic:spPr bwMode="auto">
                    <a:xfrm>
                      <a:off x="0" y="0"/>
                      <a:ext cx="2632850" cy="155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AA0B1" w14:textId="2E8671A9" w:rsidR="007504AF" w:rsidRPr="0055369A" w:rsidRDefault="007504AF" w:rsidP="002362DA">
      <w:pPr>
        <w:pStyle w:val="af5"/>
        <w:jc w:val="center"/>
        <w:rPr>
          <w:b/>
          <w:bCs/>
          <w:i w:val="0"/>
          <w:iCs w:val="0"/>
          <w:color w:val="auto"/>
          <w:sz w:val="22"/>
          <w:szCs w:val="22"/>
        </w:rPr>
      </w:pPr>
      <w:r w:rsidRPr="0055369A">
        <w:rPr>
          <w:rFonts w:eastAsiaTheme="minorEastAsia" w:cstheme="minorBidi"/>
          <w:b/>
          <w:bCs/>
          <w:i w:val="0"/>
          <w:iCs w:val="0"/>
          <w:color w:val="auto"/>
          <w:sz w:val="22"/>
          <w:szCs w:val="22"/>
        </w:rPr>
        <w:t>Supplementary F</w:t>
      </w:r>
      <w:r w:rsidRPr="0055369A">
        <w:rPr>
          <w:rFonts w:eastAsiaTheme="minorEastAsia" w:cstheme="minorBidi" w:hint="eastAsia"/>
          <w:b/>
          <w:bCs/>
          <w:i w:val="0"/>
          <w:iCs w:val="0"/>
          <w:color w:val="auto"/>
          <w:sz w:val="22"/>
          <w:szCs w:val="22"/>
        </w:rPr>
        <w:t>ig</w:t>
      </w:r>
      <w:r w:rsidRPr="0055369A">
        <w:rPr>
          <w:rFonts w:eastAsiaTheme="minorEastAsia" w:cstheme="minorBidi"/>
          <w:b/>
          <w:bCs/>
          <w:i w:val="0"/>
          <w:iCs w:val="0"/>
          <w:color w:val="auto"/>
          <w:sz w:val="22"/>
          <w:szCs w:val="22"/>
        </w:rPr>
        <w:t xml:space="preserve">. </w:t>
      </w:r>
      <w:r w:rsidR="00646EE6">
        <w:rPr>
          <w:rFonts w:eastAsiaTheme="minorEastAsia" w:cstheme="minorBidi"/>
          <w:b/>
          <w:bCs/>
          <w:i w:val="0"/>
          <w:iCs w:val="0"/>
          <w:color w:val="auto"/>
          <w:sz w:val="22"/>
          <w:szCs w:val="22"/>
        </w:rPr>
        <w:t>2</w:t>
      </w:r>
      <w:r w:rsidRPr="0055369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Pr="0055369A">
        <w:rPr>
          <w:b/>
          <w:bCs/>
          <w:i w:val="0"/>
          <w:iCs w:val="0"/>
          <w:color w:val="auto"/>
          <w:sz w:val="22"/>
          <w:szCs w:val="22"/>
        </w:rPr>
        <w:t>|</w:t>
      </w:r>
      <w:r w:rsidRPr="0055369A">
        <w:rPr>
          <w:b/>
          <w:bCs/>
          <w:sz w:val="22"/>
          <w:szCs w:val="22"/>
        </w:rPr>
        <w:t xml:space="preserve"> </w:t>
      </w:r>
      <w:r w:rsidRPr="0055369A">
        <w:rPr>
          <w:b/>
          <w:bCs/>
          <w:i w:val="0"/>
          <w:iCs w:val="0"/>
          <w:color w:val="auto"/>
          <w:sz w:val="22"/>
          <w:szCs w:val="22"/>
        </w:rPr>
        <w:t>CO</w:t>
      </w:r>
      <w:r w:rsidRPr="0055369A">
        <w:rPr>
          <w:b/>
          <w:bCs/>
          <w:i w:val="0"/>
          <w:iCs w:val="0"/>
          <w:color w:val="auto"/>
          <w:sz w:val="22"/>
          <w:szCs w:val="22"/>
          <w:vertAlign w:val="subscript"/>
        </w:rPr>
        <w:t>2</w:t>
      </w:r>
      <w:r w:rsidRPr="0055369A">
        <w:rPr>
          <w:b/>
          <w:bCs/>
          <w:i w:val="0"/>
          <w:iCs w:val="0"/>
          <w:color w:val="auto"/>
          <w:sz w:val="22"/>
          <w:szCs w:val="22"/>
        </w:rPr>
        <w:t xml:space="preserve"> adsorption-desorption experimental system</w:t>
      </w:r>
    </w:p>
    <w:p w14:paraId="4F092368" w14:textId="5F2A1D30" w:rsidR="00E3286C" w:rsidRDefault="00E3286C" w:rsidP="00E3286C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7B349D2" w14:textId="0BBB1E21" w:rsidR="00646EE6" w:rsidRDefault="00646EE6" w:rsidP="00720548">
      <w:pPr>
        <w:pStyle w:val="2"/>
        <w:rPr>
          <w:rFonts w:eastAsiaTheme="minorEastAsia"/>
        </w:rPr>
      </w:pPr>
      <w:r w:rsidRPr="009839BF">
        <w:rPr>
          <w:rFonts w:eastAsiaTheme="minorEastAsia"/>
        </w:rPr>
        <w:lastRenderedPageBreak/>
        <w:t xml:space="preserve">Supplementary Note </w:t>
      </w:r>
      <w:r>
        <w:rPr>
          <w:rFonts w:eastAsiaTheme="minorEastAsia"/>
        </w:rPr>
        <w:t>1</w:t>
      </w:r>
      <w:r w:rsidRPr="009839BF">
        <w:t xml:space="preserve">: </w:t>
      </w:r>
      <w:r>
        <w:t>Q</w:t>
      </w:r>
      <w:r w:rsidRPr="009B449D">
        <w:t xml:space="preserve">uantum chemical </w:t>
      </w:r>
      <w:r w:rsidRPr="002E2C27">
        <w:rPr>
          <w:color w:val="auto"/>
          <w:szCs w:val="22"/>
        </w:rPr>
        <w:t>calculations</w:t>
      </w:r>
    </w:p>
    <w:p w14:paraId="12401C57" w14:textId="1234D369" w:rsidR="00646EE6" w:rsidRPr="009B449D" w:rsidRDefault="00646EE6" w:rsidP="00646EE6">
      <w:pPr>
        <w:ind w:firstLine="420"/>
      </w:pPr>
      <w:r w:rsidRPr="009B449D">
        <w:t xml:space="preserve">We conducted quantum chemical </w:t>
      </w:r>
      <w:r w:rsidRPr="002E2C27">
        <w:rPr>
          <w:color w:val="auto"/>
          <w:szCs w:val="22"/>
        </w:rPr>
        <w:t>calculations</w:t>
      </w:r>
      <w:r w:rsidRPr="009B449D">
        <w:t xml:space="preserve"> to explore the effect of different cations on the CO</w:t>
      </w:r>
      <w:r w:rsidRPr="009B449D">
        <w:rPr>
          <w:vertAlign w:val="subscript"/>
        </w:rPr>
        <w:t>2</w:t>
      </w:r>
      <w:r w:rsidRPr="009B449D">
        <w:t xml:space="preserve"> adsorption performance of CERs. Specifically, we focused on changes in </w:t>
      </w:r>
      <w:r>
        <w:t xml:space="preserve">the </w:t>
      </w:r>
      <w:r w:rsidRPr="009B449D">
        <w:t>Δ</w:t>
      </w:r>
      <w:r w:rsidRPr="009B449D">
        <w:rPr>
          <w:i/>
          <w:iCs/>
        </w:rPr>
        <w:t>G</w:t>
      </w:r>
      <w:r w:rsidRPr="009B449D">
        <w:t xml:space="preserve"> for reversible hydrolysis reactions of the D402 CER with various cations (</w:t>
      </w:r>
      <w:r w:rsidRPr="009B449D">
        <w:rPr>
          <w:rFonts w:eastAsiaTheme="minorEastAsia"/>
          <w:color w:val="auto"/>
          <w:szCs w:val="22"/>
        </w:rPr>
        <w:t>Na</w:t>
      </w:r>
      <w:r w:rsidRPr="009B449D">
        <w:rPr>
          <w:rFonts w:eastAsiaTheme="minorEastAsia"/>
          <w:color w:val="auto"/>
          <w:szCs w:val="22"/>
          <w:vertAlign w:val="superscript"/>
        </w:rPr>
        <w:t>+</w:t>
      </w:r>
      <w:r w:rsidRPr="009B449D">
        <w:rPr>
          <w:rFonts w:eastAsiaTheme="minorEastAsia"/>
          <w:color w:val="auto"/>
          <w:szCs w:val="22"/>
        </w:rPr>
        <w:t>, K</w:t>
      </w:r>
      <w:r w:rsidRPr="009B449D">
        <w:rPr>
          <w:rFonts w:eastAsiaTheme="minorEastAsia"/>
          <w:color w:val="auto"/>
          <w:szCs w:val="22"/>
          <w:vertAlign w:val="superscript"/>
        </w:rPr>
        <w:t>+</w:t>
      </w:r>
      <w:r w:rsidRPr="009B449D">
        <w:rPr>
          <w:rFonts w:eastAsiaTheme="minorEastAsia"/>
          <w:color w:val="auto"/>
          <w:szCs w:val="22"/>
        </w:rPr>
        <w:t>, Mg</w:t>
      </w:r>
      <w:r w:rsidRPr="009B449D">
        <w:rPr>
          <w:rFonts w:eastAsiaTheme="minorEastAsia"/>
          <w:color w:val="auto"/>
          <w:szCs w:val="22"/>
          <w:vertAlign w:val="superscript"/>
        </w:rPr>
        <w:t>2+</w:t>
      </w:r>
      <w:r w:rsidRPr="009B449D">
        <w:rPr>
          <w:rFonts w:eastAsiaTheme="minorEastAsia"/>
          <w:color w:val="auto"/>
          <w:szCs w:val="22"/>
        </w:rPr>
        <w:t>, and Ca</w:t>
      </w:r>
      <w:r w:rsidRPr="009B449D">
        <w:rPr>
          <w:rFonts w:eastAsiaTheme="minorEastAsia"/>
          <w:color w:val="auto"/>
          <w:szCs w:val="22"/>
          <w:vertAlign w:val="superscript"/>
        </w:rPr>
        <w:t>2+</w:t>
      </w:r>
      <w:r w:rsidRPr="009B449D">
        <w:t>). Replacing the polymer substrate material with a methyl group can reduce computational costs</w:t>
      </w:r>
      <w:r w:rsidRPr="009B449D">
        <w:rPr>
          <w:rFonts w:eastAsiaTheme="minorEastAsia"/>
          <w:color w:val="00B0F0"/>
          <w:szCs w:val="22"/>
        </w:rPr>
        <w:fldChar w:fldCharType="begin"/>
      </w:r>
      <w:r w:rsidR="008E297B">
        <w:rPr>
          <w:rFonts w:eastAsiaTheme="minorEastAsia"/>
          <w:color w:val="00B0F0"/>
          <w:szCs w:val="22"/>
        </w:rPr>
        <w:instrText xml:space="preserve"> ADDIN EN.CITE &lt;EndNote&gt;&lt;Cite&gt;&lt;Author&gt;Wang&lt;/Author&gt;&lt;Year&gt;2016&lt;/Year&gt;&lt;RecNum&gt;89&lt;/RecNum&gt;&lt;DisplayText&gt;&lt;style face="superscript"&gt;1&lt;/style&gt;&lt;/DisplayText&gt;&lt;record&gt;&lt;rec-number&gt;89&lt;/rec-number&gt;&lt;foreign-keys&gt;&lt;key app="EN" db-id="sefvfdve1ssez9e9pvr5tz9q2rsvtf2rzrza" timestamp="1675009041"&gt;89&lt;/key&gt;&lt;/foreign-keys&gt;&lt;ref-type name="Journal Article"&gt;17&lt;/ref-type&gt;&lt;contributors&gt;&lt;authors&gt;&lt;author&gt;Wang, Tao&lt;/author&gt;&lt;author&gt;Ge, Kun&lt;/author&gt;&lt;author&gt;Chen, Kexian&lt;/author&gt;&lt;author&gt;Hou, Chenglong&lt;/author&gt;&lt;author&gt;Fang, Mengxiang&lt;/author&gt;&lt;/authors&gt;&lt;/contributors&gt;&lt;auth-address&gt;State Key Laboratory of Clean Energy Utilization, Zhejiang University, Hangzhou, 310027, P. R. China. oatgnaw@zju.edu.cn.&lt;/auth-address&gt;&lt;titles&gt;&lt;title&gt;Theoretical studies on CO2 capture behavior of quaternary ammonium-based polymeric ionic liquids&lt;/title&gt;&lt;secondary-title&gt;Physical Chemistry Chemical Physics&lt;/secondary-title&gt;&lt;/titles&gt;&lt;periodical&gt;&lt;full-title&gt;Physical Chemistry Chemical Physics&lt;/full-title&gt;&lt;/periodical&gt;&lt;pages&gt;13084-13091&lt;/pages&gt;&lt;volume&gt;18&lt;/volume&gt;&lt;number&gt;18&lt;/number&gt;&lt;edition&gt;20160426&lt;/edition&gt;&lt;dates&gt;&lt;year&gt;2016&lt;/year&gt;&lt;pub-dates&gt;&lt;date&gt;May 14&lt;/date&gt;&lt;/pub-dates&gt;&lt;/dates&gt;&lt;isbn&gt;1463-9084 (Electronic)&amp;#xD;1463-9076 (Linking)&lt;/isbn&gt;&lt;accession-num&gt;27115032&lt;/accession-num&gt;&lt;urls&gt;&lt;related-urls&gt;&lt;url&gt;https://www.ncbi.nlm.nih.gov/pubmed/27115032&lt;/url&gt;&lt;/related-urls&gt;&lt;/urls&gt;&lt;electronic-resource-num&gt;10.1039/c5cp07229h&lt;/electronic-resource-num&gt;&lt;remote-database-name&gt;PubMed-not-MEDLINE&lt;/remote-database-name&gt;&lt;remote-database-provider&gt;NLM&lt;/remote-database-provider&gt;&lt;/record&gt;&lt;/Cite&gt;&lt;/EndNote&gt;</w:instrText>
      </w:r>
      <w:r w:rsidRPr="009B449D">
        <w:rPr>
          <w:rFonts w:eastAsiaTheme="minorEastAsia"/>
          <w:color w:val="00B0F0"/>
          <w:szCs w:val="22"/>
        </w:rPr>
        <w:fldChar w:fldCharType="separate"/>
      </w:r>
      <w:r w:rsidR="008E297B" w:rsidRPr="008E297B">
        <w:rPr>
          <w:rFonts w:eastAsiaTheme="minorEastAsia"/>
          <w:noProof/>
          <w:color w:val="00B0F0"/>
          <w:szCs w:val="22"/>
          <w:vertAlign w:val="superscript"/>
        </w:rPr>
        <w:t>1</w:t>
      </w:r>
      <w:r w:rsidRPr="009B449D">
        <w:rPr>
          <w:rFonts w:eastAsiaTheme="minorEastAsia"/>
          <w:color w:val="00B0F0"/>
          <w:szCs w:val="22"/>
        </w:rPr>
        <w:fldChar w:fldCharType="end"/>
      </w:r>
      <w:r w:rsidRPr="009B449D">
        <w:t>, effectively simplifying the model while preserving the key characteristics of the resin's functional group.</w:t>
      </w:r>
      <w:r w:rsidRPr="009B449D">
        <w:rPr>
          <w:rFonts w:eastAsiaTheme="minorEastAsia" w:hint="eastAsia"/>
        </w:rPr>
        <w:t xml:space="preserve"> </w:t>
      </w:r>
      <w:r w:rsidRPr="009B449D">
        <w:t xml:space="preserve">The computational model structures of the reactants and products corresponding to different cations are summarized in </w:t>
      </w:r>
      <w:r w:rsidRPr="009B449D">
        <w:rPr>
          <w:rFonts w:eastAsiaTheme="minorEastAsia"/>
          <w:color w:val="auto"/>
        </w:rPr>
        <w:t>Supplementary Fig. 1</w:t>
      </w:r>
      <w:r>
        <w:rPr>
          <w:rFonts w:eastAsiaTheme="minorEastAsia"/>
          <w:color w:val="auto"/>
        </w:rPr>
        <w:t>e-f</w:t>
      </w:r>
      <w:r w:rsidRPr="009B449D">
        <w:t>. The Δ</w:t>
      </w:r>
      <w:r w:rsidRPr="002B2214">
        <w:rPr>
          <w:i/>
          <w:iCs/>
        </w:rPr>
        <w:t>G</w:t>
      </w:r>
      <w:r w:rsidRPr="009B449D">
        <w:t xml:space="preserve"> changes shown in </w:t>
      </w:r>
      <w:r w:rsidR="002362DA" w:rsidRPr="002362DA">
        <w:t>Supplementary Fig. 3</w:t>
      </w:r>
      <w:r w:rsidRPr="009B449D">
        <w:t xml:space="preserve"> reveal that CERs loaded with different cations </w:t>
      </w:r>
      <w:r>
        <w:t xml:space="preserve">can </w:t>
      </w:r>
      <w:r w:rsidRPr="009B449D">
        <w:t>effectively regulat</w:t>
      </w:r>
      <w:r>
        <w:t>e</w:t>
      </w:r>
      <w:r w:rsidRPr="009B449D">
        <w:t xml:space="preserve"> the transition of </w:t>
      </w:r>
      <w:r>
        <w:t xml:space="preserve">the </w:t>
      </w:r>
      <w:r w:rsidRPr="009B449D">
        <w:t>Δ</w:t>
      </w:r>
      <w:r w:rsidRPr="002B2214">
        <w:rPr>
          <w:i/>
          <w:iCs/>
        </w:rPr>
        <w:t>G</w:t>
      </w:r>
      <w:r w:rsidRPr="009B449D">
        <w:t xml:space="preserve"> from negative to positive, indicating their ability to control CO</w:t>
      </w:r>
      <w:r w:rsidRPr="009B449D">
        <w:rPr>
          <w:vertAlign w:val="subscript"/>
        </w:rPr>
        <w:t>2</w:t>
      </w:r>
      <w:r w:rsidRPr="009B449D">
        <w:t xml:space="preserve"> adsorption and desorption via the manipulation of humidity. In particular, the Δ</w:t>
      </w:r>
      <w:r w:rsidRPr="009B449D">
        <w:rPr>
          <w:i/>
          <w:iCs/>
        </w:rPr>
        <w:t>G</w:t>
      </w:r>
      <w:r w:rsidRPr="009B449D">
        <w:t xml:space="preserve"> of K</w:t>
      </w:r>
      <w:r w:rsidRPr="009B449D">
        <w:rPr>
          <w:vertAlign w:val="superscript"/>
        </w:rPr>
        <w:t>+</w:t>
      </w:r>
      <w:r w:rsidRPr="009B449D">
        <w:t xml:space="preserve"> changed from negative to positive when </w:t>
      </w:r>
      <w:r w:rsidRPr="009B449D">
        <w:rPr>
          <w:i/>
          <w:iCs/>
        </w:rPr>
        <w:t>n</w:t>
      </w:r>
      <w:r w:rsidRPr="009B449D">
        <w:t xml:space="preserve"> increased from 1 to 2</w:t>
      </w:r>
      <w:r>
        <w:t xml:space="preserve">, </w:t>
      </w:r>
      <w:r w:rsidRPr="008207AC">
        <w:t xml:space="preserve">requiring a lower </w:t>
      </w:r>
      <w:r w:rsidRPr="008207AC">
        <w:rPr>
          <w:i/>
          <w:iCs/>
        </w:rPr>
        <w:t>n</w:t>
      </w:r>
      <w:r w:rsidRPr="008207AC">
        <w:t xml:space="preserve"> to achieve adsorption-desorption equilibrium</w:t>
      </w:r>
      <w:r w:rsidRPr="009B449D">
        <w:t>. This finding indicates that the reversible hydrolysis reaction of K</w:t>
      </w:r>
      <w:r w:rsidRPr="009B449D">
        <w:rPr>
          <w:vertAlign w:val="superscript"/>
        </w:rPr>
        <w:t>+</w:t>
      </w:r>
      <w:r w:rsidRPr="009B449D">
        <w:t xml:space="preserve"> requires an extremely dry environment to be spontaneous and positive, which also explains the lowest CO</w:t>
      </w:r>
      <w:r w:rsidRPr="009B449D">
        <w:rPr>
          <w:vertAlign w:val="subscript"/>
        </w:rPr>
        <w:t>2</w:t>
      </w:r>
      <w:r w:rsidRPr="009B449D">
        <w:t xml:space="preserve"> desorption performance of the K</w:t>
      </w:r>
      <w:r w:rsidRPr="009B449D">
        <w:rPr>
          <w:vertAlign w:val="superscript"/>
        </w:rPr>
        <w:t>+</w:t>
      </w:r>
      <w:r w:rsidRPr="009B449D">
        <w:rPr>
          <w:rFonts w:eastAsiaTheme="minorEastAsia"/>
          <w:color w:val="auto"/>
          <w:szCs w:val="22"/>
        </w:rPr>
        <w:t>-type</w:t>
      </w:r>
      <w:r w:rsidRPr="009B449D">
        <w:t xml:space="preserve"> CER. This finding is consistent with our experimental results.</w:t>
      </w:r>
    </w:p>
    <w:p w14:paraId="4E41ACCD" w14:textId="7703C721" w:rsidR="00646EE6" w:rsidRDefault="00646EE6" w:rsidP="00646EE6">
      <w:pPr>
        <w:jc w:val="center"/>
        <w:rPr>
          <w:rFonts w:eastAsiaTheme="minorEastAsia"/>
        </w:rPr>
      </w:pPr>
      <w:r>
        <w:rPr>
          <w:rFonts w:eastAsiaTheme="minorEastAsia" w:hint="eastAsia"/>
          <w:noProof/>
        </w:rPr>
        <w:drawing>
          <wp:inline distT="0" distB="0" distL="0" distR="0" wp14:anchorId="41BF6C3C" wp14:editId="43C85222">
            <wp:extent cx="2788920" cy="2156460"/>
            <wp:effectExtent l="0" t="0" r="0" b="0"/>
            <wp:docPr id="7735474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4060" w14:textId="6C1997BB" w:rsidR="00646EE6" w:rsidRDefault="00646EE6" w:rsidP="002362DA">
      <w:pPr>
        <w:pStyle w:val="af5"/>
        <w:jc w:val="center"/>
        <w:rPr>
          <w:b/>
          <w:bCs/>
          <w:i w:val="0"/>
          <w:iCs w:val="0"/>
          <w:color w:val="auto"/>
          <w:sz w:val="22"/>
          <w:szCs w:val="22"/>
        </w:rPr>
      </w:pPr>
      <w:r w:rsidRPr="0055369A">
        <w:rPr>
          <w:rFonts w:eastAsiaTheme="minorEastAsia" w:cstheme="minorBidi"/>
          <w:b/>
          <w:bCs/>
          <w:i w:val="0"/>
          <w:iCs w:val="0"/>
          <w:color w:val="auto"/>
          <w:sz w:val="22"/>
          <w:szCs w:val="22"/>
        </w:rPr>
        <w:t>Supplemen</w:t>
      </w:r>
      <w:r w:rsidRPr="002362DA">
        <w:rPr>
          <w:rFonts w:eastAsiaTheme="minorEastAsia" w:cstheme="minorBidi"/>
          <w:b/>
          <w:bCs/>
          <w:i w:val="0"/>
          <w:iCs w:val="0"/>
          <w:color w:val="auto"/>
          <w:sz w:val="22"/>
          <w:szCs w:val="22"/>
        </w:rPr>
        <w:t>tary F</w:t>
      </w:r>
      <w:r w:rsidRPr="002362DA">
        <w:rPr>
          <w:rFonts w:eastAsiaTheme="minorEastAsia" w:cstheme="minorBidi" w:hint="eastAsia"/>
          <w:b/>
          <w:bCs/>
          <w:i w:val="0"/>
          <w:iCs w:val="0"/>
          <w:color w:val="auto"/>
          <w:sz w:val="22"/>
          <w:szCs w:val="22"/>
        </w:rPr>
        <w:t>ig</w:t>
      </w:r>
      <w:r w:rsidRPr="002362DA">
        <w:rPr>
          <w:rFonts w:eastAsiaTheme="minorEastAsia" w:cstheme="minorBidi"/>
          <w:b/>
          <w:bCs/>
          <w:i w:val="0"/>
          <w:iCs w:val="0"/>
          <w:color w:val="auto"/>
          <w:sz w:val="22"/>
          <w:szCs w:val="22"/>
        </w:rPr>
        <w:t>. 3</w:t>
      </w:r>
      <w:r w:rsidRPr="002362DA">
        <w:rPr>
          <w:rFonts w:eastAsiaTheme="minorEastAsia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Pr="002362DA">
        <w:rPr>
          <w:b/>
          <w:bCs/>
          <w:i w:val="0"/>
          <w:iCs w:val="0"/>
          <w:color w:val="auto"/>
          <w:sz w:val="22"/>
          <w:szCs w:val="22"/>
        </w:rPr>
        <w:t>|</w:t>
      </w:r>
      <w:r w:rsidRPr="002362DA">
        <w:rPr>
          <w:b/>
          <w:bCs/>
          <w:sz w:val="22"/>
          <w:szCs w:val="22"/>
        </w:rPr>
        <w:t xml:space="preserve"> </w:t>
      </w:r>
      <w:r w:rsidR="002362DA" w:rsidRPr="002362DA">
        <w:rPr>
          <w:b/>
          <w:bCs/>
          <w:i w:val="0"/>
          <w:iCs w:val="0"/>
          <w:color w:val="auto"/>
          <w:sz w:val="22"/>
          <w:szCs w:val="22"/>
        </w:rPr>
        <w:t>Changes of the Δ</w:t>
      </w:r>
      <w:r w:rsidR="002362DA" w:rsidRPr="002362DA">
        <w:rPr>
          <w:b/>
          <w:bCs/>
          <w:color w:val="auto"/>
          <w:sz w:val="22"/>
          <w:szCs w:val="22"/>
        </w:rPr>
        <w:t>G</w:t>
      </w:r>
      <w:r w:rsidR="002362DA" w:rsidRPr="002362DA">
        <w:rPr>
          <w:b/>
          <w:bCs/>
          <w:i w:val="0"/>
          <w:iCs w:val="0"/>
          <w:color w:val="auto"/>
          <w:sz w:val="22"/>
          <w:szCs w:val="22"/>
        </w:rPr>
        <w:t xml:space="preserve"> of the reversible hydrolysis reactions of CH</w:t>
      </w:r>
      <w:r w:rsidR="002362DA" w:rsidRPr="002362DA">
        <w:rPr>
          <w:b/>
          <w:bCs/>
          <w:i w:val="0"/>
          <w:iCs w:val="0"/>
          <w:color w:val="auto"/>
          <w:sz w:val="22"/>
          <w:szCs w:val="22"/>
          <w:vertAlign w:val="subscript"/>
        </w:rPr>
        <w:t>3</w:t>
      </w:r>
      <w:r w:rsidR="002362DA" w:rsidRPr="002362DA">
        <w:rPr>
          <w:b/>
          <w:bCs/>
          <w:i w:val="0"/>
          <w:iCs w:val="0"/>
          <w:color w:val="auto"/>
          <w:sz w:val="22"/>
          <w:szCs w:val="22"/>
        </w:rPr>
        <w:t>PO</w:t>
      </w:r>
      <w:r w:rsidR="002362DA" w:rsidRPr="002362DA">
        <w:rPr>
          <w:b/>
          <w:bCs/>
          <w:i w:val="0"/>
          <w:iCs w:val="0"/>
          <w:color w:val="auto"/>
          <w:sz w:val="22"/>
          <w:szCs w:val="22"/>
          <w:vertAlign w:val="subscript"/>
        </w:rPr>
        <w:t>3</w:t>
      </w:r>
      <w:r w:rsidR="002362DA" w:rsidRPr="002362DA">
        <w:rPr>
          <w:b/>
          <w:bCs/>
          <w:i w:val="0"/>
          <w:iCs w:val="0"/>
          <w:color w:val="auto"/>
          <w:sz w:val="22"/>
          <w:szCs w:val="22"/>
          <w:vertAlign w:val="superscript"/>
        </w:rPr>
        <w:t>2-</w:t>
      </w:r>
      <w:r w:rsidR="002362DA" w:rsidRPr="002362DA">
        <w:rPr>
          <w:b/>
          <w:bCs/>
          <w:i w:val="0"/>
          <w:iCs w:val="0"/>
          <w:color w:val="auto"/>
          <w:sz w:val="22"/>
          <w:szCs w:val="22"/>
        </w:rPr>
        <w:t xml:space="preserve"> with four cations under different humidity</w:t>
      </w:r>
    </w:p>
    <w:p w14:paraId="2CE1810F" w14:textId="77E95087" w:rsidR="005A0FBA" w:rsidRDefault="005A0FBA">
      <w:pPr>
        <w:spacing w:line="288" w:lineRule="auto"/>
        <w:ind w:firstLineChars="200" w:firstLine="440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6754F154" w14:textId="46D5AF92" w:rsidR="00EE7DF4" w:rsidRDefault="00281E93" w:rsidP="00720548">
      <w:pPr>
        <w:pStyle w:val="2"/>
      </w:pPr>
      <w:r w:rsidRPr="009839BF">
        <w:rPr>
          <w:rFonts w:eastAsiaTheme="minorEastAsia"/>
        </w:rPr>
        <w:lastRenderedPageBreak/>
        <w:t xml:space="preserve">Supplementary Note </w:t>
      </w:r>
      <w:r w:rsidR="005A0FBA">
        <w:rPr>
          <w:rFonts w:eastAsiaTheme="minorEastAsia"/>
        </w:rPr>
        <w:t>2</w:t>
      </w:r>
      <w:r w:rsidRPr="009839BF">
        <w:t xml:space="preserve">: </w:t>
      </w:r>
      <w:r w:rsidR="00720548">
        <w:rPr>
          <w:rFonts w:eastAsiaTheme="minorEastAsia"/>
        </w:rPr>
        <w:t>T</w:t>
      </w:r>
      <w:r w:rsidR="00720548" w:rsidRPr="00D0373B">
        <w:rPr>
          <w:rFonts w:eastAsiaTheme="minorEastAsia"/>
        </w:rPr>
        <w:t>hermal behavior of resins</w:t>
      </w:r>
    </w:p>
    <w:bookmarkEnd w:id="7"/>
    <w:p w14:paraId="072E7F21" w14:textId="2D62B231" w:rsidR="002961E1" w:rsidRPr="002961E1" w:rsidRDefault="002961E1" w:rsidP="002961E1">
      <w:pPr>
        <w:ind w:firstLine="440"/>
        <w:rPr>
          <w:rFonts w:eastAsiaTheme="minorEastAsia" w:cs="Times New Roman"/>
          <w:szCs w:val="22"/>
        </w:rPr>
      </w:pPr>
      <w:r w:rsidRPr="002961E1">
        <w:rPr>
          <w:rFonts w:eastAsiaTheme="minorEastAsia" w:cs="Times New Roman"/>
          <w:szCs w:val="22"/>
        </w:rPr>
        <w:t xml:space="preserve">We investigated the thermal behavior of all resins used in this study using thermogravimetric analysis (TGA) (Supplementary Fig. 4). The TGA curves of the D201, ACD-100, D402, and D152 resins are shown in blue, purple, green, and </w:t>
      </w:r>
      <w:r w:rsidRPr="002961E1">
        <w:rPr>
          <w:rFonts w:eastAsiaTheme="minorEastAsia" w:cs="Times New Roman"/>
          <w:color w:val="auto"/>
          <w:szCs w:val="22"/>
        </w:rPr>
        <w:t>orange</w:t>
      </w:r>
      <w:r w:rsidRPr="002961E1">
        <w:rPr>
          <w:rFonts w:eastAsiaTheme="minorEastAsia" w:cs="Times New Roman"/>
          <w:szCs w:val="22"/>
        </w:rPr>
        <w:t xml:space="preserve"> solid lines, respectively. The results reveal pronounced weight loss for all the resins before the temperature reach 100</w:t>
      </w:r>
      <w:r w:rsidR="00EC524B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>°C. This phenomenon can be attributed to the presence of hydrophilic functional groups</w:t>
      </w:r>
      <w:r w:rsidR="00A60EE0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>-N</w:t>
      </w:r>
      <w:r w:rsidRPr="002961E1">
        <w:rPr>
          <w:rFonts w:eastAsiaTheme="minorEastAsia" w:cs="Times New Roman"/>
          <w:szCs w:val="22"/>
          <w:vertAlign w:val="superscript"/>
        </w:rPr>
        <w:t>+</w:t>
      </w:r>
      <w:r w:rsidRPr="002961E1">
        <w:rPr>
          <w:rFonts w:eastAsiaTheme="minorEastAsia" w:cs="Times New Roman"/>
          <w:szCs w:val="22"/>
        </w:rPr>
        <w:t>(CH</w:t>
      </w:r>
      <w:r w:rsidRPr="002961E1">
        <w:rPr>
          <w:rFonts w:eastAsiaTheme="minorEastAsia" w:cs="Times New Roman"/>
          <w:szCs w:val="22"/>
          <w:vertAlign w:val="subscript"/>
        </w:rPr>
        <w:t>3</w:t>
      </w:r>
      <w:r w:rsidRPr="002961E1">
        <w:rPr>
          <w:rFonts w:eastAsiaTheme="minorEastAsia" w:cs="Times New Roman"/>
          <w:szCs w:val="22"/>
        </w:rPr>
        <w:t>)</w:t>
      </w:r>
      <w:r w:rsidRPr="002961E1">
        <w:rPr>
          <w:rFonts w:eastAsiaTheme="minorEastAsia" w:cs="Times New Roman"/>
          <w:szCs w:val="22"/>
          <w:vertAlign w:val="subscript"/>
        </w:rPr>
        <w:t>3</w:t>
      </w:r>
      <w:r w:rsidRPr="002961E1">
        <w:rPr>
          <w:rFonts w:eastAsiaTheme="minorEastAsia" w:cs="Times New Roman"/>
          <w:szCs w:val="22"/>
        </w:rPr>
        <w:t>, -CH</w:t>
      </w:r>
      <w:r w:rsidRPr="002961E1">
        <w:rPr>
          <w:rFonts w:eastAsiaTheme="minorEastAsia" w:cs="Times New Roman"/>
          <w:szCs w:val="22"/>
          <w:vertAlign w:val="subscript"/>
        </w:rPr>
        <w:t>2</w:t>
      </w:r>
      <w:r w:rsidRPr="002961E1">
        <w:rPr>
          <w:rFonts w:eastAsiaTheme="minorEastAsia" w:cs="Times New Roman"/>
          <w:szCs w:val="22"/>
        </w:rPr>
        <w:t>NHCH</w:t>
      </w:r>
      <w:r w:rsidRPr="002961E1">
        <w:rPr>
          <w:rFonts w:eastAsiaTheme="minorEastAsia" w:cs="Times New Roman"/>
          <w:szCs w:val="22"/>
          <w:vertAlign w:val="subscript"/>
        </w:rPr>
        <w:t>2</w:t>
      </w:r>
      <w:r w:rsidRPr="002961E1">
        <w:rPr>
          <w:rFonts w:eastAsiaTheme="minorEastAsia" w:cs="Times New Roman"/>
          <w:szCs w:val="22"/>
        </w:rPr>
        <w:t>PO</w:t>
      </w:r>
      <w:r w:rsidRPr="002961E1">
        <w:rPr>
          <w:rFonts w:eastAsiaTheme="minorEastAsia" w:cs="Times New Roman"/>
          <w:szCs w:val="22"/>
          <w:vertAlign w:val="subscript"/>
        </w:rPr>
        <w:t>3</w:t>
      </w:r>
      <w:r w:rsidR="00A60EE0" w:rsidRPr="00A60EE0">
        <w:rPr>
          <w:rFonts w:eastAsiaTheme="minorEastAsia" w:cs="Times New Roman"/>
          <w:szCs w:val="22"/>
          <w:vertAlign w:val="superscript"/>
        </w:rPr>
        <w:t>2</w:t>
      </w:r>
      <w:r w:rsidRPr="002961E1">
        <w:rPr>
          <w:rFonts w:eastAsiaTheme="minorEastAsia" w:cs="Times New Roman"/>
          <w:szCs w:val="22"/>
          <w:vertAlign w:val="superscript"/>
        </w:rPr>
        <w:t>-</w:t>
      </w:r>
      <w:r w:rsidRPr="002961E1">
        <w:rPr>
          <w:rFonts w:eastAsiaTheme="minorEastAsia" w:cs="Times New Roman"/>
          <w:szCs w:val="22"/>
        </w:rPr>
        <w:t xml:space="preserve">, </w:t>
      </w:r>
      <w:r w:rsidR="00A60EE0" w:rsidRPr="002961E1">
        <w:rPr>
          <w:rFonts w:eastAsiaTheme="minorEastAsia" w:cs="Times New Roman"/>
          <w:szCs w:val="22"/>
        </w:rPr>
        <w:t>-COO</w:t>
      </w:r>
      <w:r w:rsidR="00A60EE0" w:rsidRPr="002961E1">
        <w:rPr>
          <w:rFonts w:eastAsiaTheme="minorEastAsia" w:cs="Times New Roman"/>
          <w:szCs w:val="22"/>
          <w:vertAlign w:val="superscript"/>
        </w:rPr>
        <w:t>-</w:t>
      </w:r>
      <w:r w:rsidR="00A60EE0">
        <w:rPr>
          <w:rFonts w:eastAsiaTheme="minorEastAsia" w:cs="Times New Roman"/>
          <w:szCs w:val="22"/>
        </w:rPr>
        <w:t>,</w:t>
      </w:r>
      <w:r w:rsidR="00A60EE0" w:rsidRPr="00A60EE0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 xml:space="preserve">and </w:t>
      </w:r>
      <w:r w:rsidR="00A60EE0" w:rsidRPr="002961E1">
        <w:rPr>
          <w:rFonts w:eastAsiaTheme="minorEastAsia" w:cs="Times New Roman"/>
          <w:szCs w:val="22"/>
        </w:rPr>
        <w:t>-CH</w:t>
      </w:r>
      <w:r w:rsidR="00A60EE0" w:rsidRPr="002961E1">
        <w:rPr>
          <w:rFonts w:eastAsiaTheme="minorEastAsia" w:cs="Times New Roman"/>
          <w:szCs w:val="22"/>
          <w:vertAlign w:val="subscript"/>
        </w:rPr>
        <w:t>2</w:t>
      </w:r>
      <w:r w:rsidR="00A60EE0" w:rsidRPr="002961E1">
        <w:rPr>
          <w:rFonts w:eastAsiaTheme="minorEastAsia" w:cs="Times New Roman"/>
          <w:szCs w:val="22"/>
        </w:rPr>
        <w:t>N(CH</w:t>
      </w:r>
      <w:r w:rsidR="00A60EE0" w:rsidRPr="002961E1">
        <w:rPr>
          <w:rFonts w:eastAsiaTheme="minorEastAsia" w:cs="Times New Roman"/>
          <w:szCs w:val="22"/>
          <w:vertAlign w:val="subscript"/>
        </w:rPr>
        <w:t>2</w:t>
      </w:r>
      <w:r w:rsidR="00A60EE0" w:rsidRPr="002961E1">
        <w:rPr>
          <w:rFonts w:eastAsiaTheme="minorEastAsia" w:cs="Times New Roman"/>
          <w:szCs w:val="22"/>
        </w:rPr>
        <w:t>COO</w:t>
      </w:r>
      <w:r w:rsidR="00A60EE0" w:rsidRPr="002961E1">
        <w:rPr>
          <w:rFonts w:eastAsiaTheme="minorEastAsia" w:cs="Times New Roman"/>
          <w:szCs w:val="22"/>
          <w:vertAlign w:val="superscript"/>
        </w:rPr>
        <w:t>-</w:t>
      </w:r>
      <w:r w:rsidR="00A60EE0" w:rsidRPr="002961E1">
        <w:rPr>
          <w:rFonts w:eastAsiaTheme="minorEastAsia" w:cs="Times New Roman"/>
          <w:szCs w:val="22"/>
        </w:rPr>
        <w:t>)</w:t>
      </w:r>
      <w:r w:rsidR="00A60EE0" w:rsidRPr="002961E1">
        <w:rPr>
          <w:rFonts w:eastAsiaTheme="minorEastAsia" w:cs="Times New Roman"/>
          <w:szCs w:val="22"/>
          <w:vertAlign w:val="subscript"/>
        </w:rPr>
        <w:t>2</w:t>
      </w:r>
      <w:r w:rsidRPr="002961E1">
        <w:rPr>
          <w:rFonts w:eastAsiaTheme="minorEastAsia" w:cs="Times New Roman"/>
          <w:szCs w:val="22"/>
        </w:rPr>
        <w:t>, that adsorb water molecules. For the D201 resin, previous research has revealed that the degradation of its functional group typically takes place around 200</w:t>
      </w:r>
      <w:r w:rsidR="00EC524B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>°C; the release of carbonaceous substances occurs at approximately 350</w:t>
      </w:r>
      <w:r w:rsidR="00EC524B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>°C</w:t>
      </w:r>
      <w:r w:rsidRPr="002961E1">
        <w:rPr>
          <w:rFonts w:cs="Times New Roman"/>
          <w:color w:val="00B0F0"/>
          <w:szCs w:val="22"/>
        </w:rPr>
        <w:fldChar w:fldCharType="begin">
          <w:fldData xml:space="preserve">PEVuZE5vdGU+PENpdGU+PEF1dGhvcj5NYXRzdWRhPC9BdXRob3I+PFllYXI+MTk4NjwvWWVhcj48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</w:fldData>
        </w:fldChar>
      </w:r>
      <w:r w:rsidR="008E297B">
        <w:rPr>
          <w:rFonts w:cs="Times New Roman"/>
          <w:color w:val="00B0F0"/>
          <w:szCs w:val="22"/>
        </w:rPr>
        <w:instrText xml:space="preserve"> ADDIN EN.CITE </w:instrText>
      </w:r>
      <w:r w:rsidR="008E297B">
        <w:rPr>
          <w:rFonts w:cs="Times New Roman"/>
          <w:color w:val="00B0F0"/>
          <w:szCs w:val="22"/>
        </w:rPr>
        <w:fldChar w:fldCharType="begin">
          <w:fldData xml:space="preserve">PEVuZE5vdGU+PENpdGU+PEF1dGhvcj5NYXRzdWRhPC9BdXRob3I+PFllYXI+MTk4NjwvWWVhcj48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</w:fldData>
        </w:fldChar>
      </w:r>
      <w:r w:rsidR="008E297B">
        <w:rPr>
          <w:rFonts w:cs="Times New Roman"/>
          <w:color w:val="00B0F0"/>
          <w:szCs w:val="22"/>
        </w:rPr>
        <w:instrText xml:space="preserve"> ADDIN EN.CITE.DATA </w:instrText>
      </w:r>
      <w:r w:rsidR="008E297B">
        <w:rPr>
          <w:rFonts w:cs="Times New Roman"/>
          <w:color w:val="00B0F0"/>
          <w:szCs w:val="22"/>
        </w:rPr>
      </w:r>
      <w:r w:rsidR="008E297B">
        <w:rPr>
          <w:rFonts w:cs="Times New Roman"/>
          <w:color w:val="00B0F0"/>
          <w:szCs w:val="22"/>
        </w:rPr>
        <w:fldChar w:fldCharType="end"/>
      </w:r>
      <w:r w:rsidRPr="002961E1">
        <w:rPr>
          <w:rFonts w:cs="Times New Roman"/>
          <w:color w:val="00B0F0"/>
          <w:szCs w:val="22"/>
        </w:rPr>
      </w:r>
      <w:r w:rsidRPr="002961E1">
        <w:rPr>
          <w:rFonts w:cs="Times New Roman"/>
          <w:color w:val="00B0F0"/>
          <w:szCs w:val="22"/>
        </w:rPr>
        <w:fldChar w:fldCharType="separate"/>
      </w:r>
      <w:r w:rsidR="008E297B" w:rsidRPr="008E297B">
        <w:rPr>
          <w:rFonts w:cs="Times New Roman"/>
          <w:noProof/>
          <w:color w:val="00B0F0"/>
          <w:szCs w:val="22"/>
          <w:vertAlign w:val="superscript"/>
        </w:rPr>
        <w:t>2, 3</w:t>
      </w:r>
      <w:r w:rsidRPr="002961E1">
        <w:rPr>
          <w:rFonts w:cs="Times New Roman"/>
          <w:color w:val="00B0F0"/>
          <w:szCs w:val="22"/>
        </w:rPr>
        <w:fldChar w:fldCharType="end"/>
      </w:r>
      <w:r w:rsidRPr="002961E1">
        <w:rPr>
          <w:rFonts w:eastAsiaTheme="minorEastAsia" w:cs="Times New Roman"/>
          <w:szCs w:val="22"/>
        </w:rPr>
        <w:t>. Consequently, the 30</w:t>
      </w:r>
      <w:r w:rsidRPr="002961E1">
        <w:rPr>
          <w:rFonts w:cs="Times New Roman"/>
          <w:szCs w:val="22"/>
        </w:rPr>
        <w:t>–</w:t>
      </w:r>
      <w:r w:rsidRPr="002961E1">
        <w:rPr>
          <w:rFonts w:eastAsiaTheme="minorEastAsia" w:cs="Times New Roman"/>
          <w:szCs w:val="22"/>
        </w:rPr>
        <w:t>40% weight loss observed between 130</w:t>
      </w:r>
      <w:r w:rsidRPr="002961E1">
        <w:rPr>
          <w:rFonts w:cs="Times New Roman"/>
          <w:szCs w:val="22"/>
        </w:rPr>
        <w:t>–</w:t>
      </w:r>
      <w:r w:rsidRPr="002961E1">
        <w:rPr>
          <w:rFonts w:eastAsiaTheme="minorEastAsia" w:cs="Times New Roman"/>
          <w:szCs w:val="22"/>
        </w:rPr>
        <w:t>260</w:t>
      </w:r>
      <w:r w:rsidR="00EC524B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>°C and between 330</w:t>
      </w:r>
      <w:r w:rsidRPr="002961E1">
        <w:rPr>
          <w:rFonts w:cs="Times New Roman"/>
          <w:szCs w:val="22"/>
        </w:rPr>
        <w:t>–</w:t>
      </w:r>
      <w:r w:rsidRPr="002961E1">
        <w:rPr>
          <w:rFonts w:eastAsiaTheme="minorEastAsia" w:cs="Times New Roman"/>
          <w:szCs w:val="22"/>
        </w:rPr>
        <w:t>460</w:t>
      </w:r>
      <w:r w:rsidR="00EC524B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>°C can be attributed to the degradation of -N</w:t>
      </w:r>
      <w:r w:rsidRPr="002961E1">
        <w:rPr>
          <w:rFonts w:eastAsiaTheme="minorEastAsia" w:cs="Times New Roman"/>
          <w:szCs w:val="22"/>
          <w:vertAlign w:val="superscript"/>
        </w:rPr>
        <w:t>+</w:t>
      </w:r>
      <w:r w:rsidRPr="002961E1">
        <w:rPr>
          <w:rFonts w:eastAsiaTheme="minorEastAsia" w:cs="Times New Roman"/>
          <w:szCs w:val="22"/>
        </w:rPr>
        <w:t>(CH</w:t>
      </w:r>
      <w:r w:rsidRPr="002961E1">
        <w:rPr>
          <w:rFonts w:eastAsiaTheme="minorEastAsia" w:cs="Times New Roman"/>
          <w:szCs w:val="22"/>
          <w:vertAlign w:val="subscript"/>
        </w:rPr>
        <w:t>3</w:t>
      </w:r>
      <w:r w:rsidRPr="002961E1">
        <w:rPr>
          <w:rFonts w:eastAsiaTheme="minorEastAsia" w:cs="Times New Roman"/>
          <w:szCs w:val="22"/>
        </w:rPr>
        <w:t>)</w:t>
      </w:r>
      <w:r w:rsidRPr="002961E1">
        <w:rPr>
          <w:rFonts w:eastAsiaTheme="minorEastAsia" w:cs="Times New Roman"/>
          <w:szCs w:val="22"/>
          <w:vertAlign w:val="subscript"/>
        </w:rPr>
        <w:t>3</w:t>
      </w:r>
      <w:r w:rsidRPr="002961E1">
        <w:rPr>
          <w:rFonts w:eastAsiaTheme="minorEastAsia" w:cs="Times New Roman"/>
          <w:szCs w:val="22"/>
        </w:rPr>
        <w:t xml:space="preserve"> groups and carbonaceous species, respectively. For ACD-100 resin, there is a continuous and extremely heavy weight loss process (about 83.2%) when the temperature rises from 180</w:t>
      </w:r>
      <w:r w:rsidR="00EC524B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>°C to 500</w:t>
      </w:r>
      <w:r w:rsidR="00EC524B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>°C, which is mainly caused by the simultaneous degradation of the functional group (-CH</w:t>
      </w:r>
      <w:r w:rsidRPr="002961E1">
        <w:rPr>
          <w:rFonts w:eastAsiaTheme="minorEastAsia" w:cs="Times New Roman"/>
          <w:szCs w:val="22"/>
          <w:vertAlign w:val="subscript"/>
        </w:rPr>
        <w:t>2</w:t>
      </w:r>
      <w:r w:rsidRPr="002961E1">
        <w:rPr>
          <w:rFonts w:eastAsiaTheme="minorEastAsia" w:cs="Times New Roman"/>
          <w:szCs w:val="22"/>
        </w:rPr>
        <w:t>N(CH</w:t>
      </w:r>
      <w:r w:rsidRPr="002961E1">
        <w:rPr>
          <w:rFonts w:eastAsiaTheme="minorEastAsia" w:cs="Times New Roman"/>
          <w:szCs w:val="22"/>
          <w:vertAlign w:val="subscript"/>
        </w:rPr>
        <w:t>2</w:t>
      </w:r>
      <w:r w:rsidRPr="002961E1">
        <w:rPr>
          <w:rFonts w:eastAsiaTheme="minorEastAsia" w:cs="Times New Roman"/>
          <w:szCs w:val="22"/>
        </w:rPr>
        <w:t>COO</w:t>
      </w:r>
      <w:r w:rsidRPr="002961E1">
        <w:rPr>
          <w:rFonts w:eastAsiaTheme="minorEastAsia" w:cs="Times New Roman"/>
          <w:szCs w:val="22"/>
          <w:vertAlign w:val="superscript"/>
        </w:rPr>
        <w:t>-</w:t>
      </w:r>
      <w:r w:rsidRPr="002961E1">
        <w:rPr>
          <w:rFonts w:eastAsiaTheme="minorEastAsia" w:cs="Times New Roman"/>
          <w:szCs w:val="22"/>
        </w:rPr>
        <w:t>)</w:t>
      </w:r>
      <w:r w:rsidRPr="002961E1">
        <w:rPr>
          <w:rFonts w:eastAsiaTheme="minorEastAsia" w:cs="Times New Roman"/>
          <w:szCs w:val="22"/>
          <w:vertAlign w:val="subscript"/>
        </w:rPr>
        <w:t>2</w:t>
      </w:r>
      <w:r w:rsidRPr="002961E1">
        <w:rPr>
          <w:rFonts w:eastAsiaTheme="minorEastAsia" w:cs="Times New Roman"/>
          <w:szCs w:val="22"/>
        </w:rPr>
        <w:t xml:space="preserve">) and </w:t>
      </w:r>
      <w:r w:rsidRPr="002961E1">
        <w:rPr>
          <w:rFonts w:cs="Times New Roman"/>
          <w:iCs/>
          <w:szCs w:val="22"/>
        </w:rPr>
        <w:t>benzyl</w:t>
      </w:r>
      <w:r w:rsidRPr="002961E1">
        <w:rPr>
          <w:rFonts w:eastAsiaTheme="minorEastAsia" w:cs="Times New Roman"/>
          <w:szCs w:val="22"/>
        </w:rPr>
        <w:t>.</w:t>
      </w:r>
    </w:p>
    <w:p w14:paraId="49E980B4" w14:textId="20069229" w:rsidR="002961E1" w:rsidRPr="002961E1" w:rsidRDefault="002961E1" w:rsidP="002961E1">
      <w:pPr>
        <w:ind w:firstLine="440"/>
        <w:rPr>
          <w:rFonts w:eastAsiaTheme="minorEastAsia" w:cs="Times New Roman"/>
          <w:szCs w:val="22"/>
        </w:rPr>
      </w:pPr>
      <w:r w:rsidRPr="002961E1">
        <w:rPr>
          <w:rFonts w:eastAsiaTheme="minorEastAsia" w:cs="Times New Roman"/>
          <w:szCs w:val="22"/>
        </w:rPr>
        <w:t>In the case of the D402 CER, significant weight loss of approximately 50% occurred a temperature range of 340</w:t>
      </w:r>
      <w:r w:rsidRPr="002961E1">
        <w:rPr>
          <w:rFonts w:cs="Times New Roman"/>
          <w:szCs w:val="22"/>
        </w:rPr>
        <w:t>–</w:t>
      </w:r>
      <w:r w:rsidRPr="002961E1">
        <w:rPr>
          <w:rFonts w:eastAsiaTheme="minorEastAsia" w:cs="Times New Roman"/>
          <w:szCs w:val="22"/>
        </w:rPr>
        <w:t>460</w:t>
      </w:r>
      <w:r w:rsidR="00EC524B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 xml:space="preserve">°C. The </w:t>
      </w:r>
      <w:r w:rsidR="00A60EE0" w:rsidRPr="002961E1">
        <w:rPr>
          <w:rFonts w:eastAsiaTheme="minorEastAsia" w:cs="Times New Roman"/>
          <w:szCs w:val="22"/>
        </w:rPr>
        <w:t>-CH</w:t>
      </w:r>
      <w:r w:rsidR="00A60EE0" w:rsidRPr="002961E1">
        <w:rPr>
          <w:rFonts w:eastAsiaTheme="minorEastAsia" w:cs="Times New Roman"/>
          <w:szCs w:val="22"/>
          <w:vertAlign w:val="subscript"/>
        </w:rPr>
        <w:t>2</w:t>
      </w:r>
      <w:r w:rsidR="00A60EE0" w:rsidRPr="002961E1">
        <w:rPr>
          <w:rFonts w:eastAsiaTheme="minorEastAsia" w:cs="Times New Roman"/>
          <w:szCs w:val="22"/>
        </w:rPr>
        <w:t>NHCH</w:t>
      </w:r>
      <w:r w:rsidR="00A60EE0" w:rsidRPr="002961E1">
        <w:rPr>
          <w:rFonts w:eastAsiaTheme="minorEastAsia" w:cs="Times New Roman"/>
          <w:szCs w:val="22"/>
          <w:vertAlign w:val="subscript"/>
        </w:rPr>
        <w:t>2</w:t>
      </w:r>
      <w:r w:rsidR="00A60EE0" w:rsidRPr="002961E1">
        <w:rPr>
          <w:rFonts w:eastAsiaTheme="minorEastAsia" w:cs="Times New Roman"/>
          <w:szCs w:val="22"/>
        </w:rPr>
        <w:t>PO</w:t>
      </w:r>
      <w:r w:rsidR="00A60EE0" w:rsidRPr="002961E1">
        <w:rPr>
          <w:rFonts w:eastAsiaTheme="minorEastAsia" w:cs="Times New Roman"/>
          <w:szCs w:val="22"/>
          <w:vertAlign w:val="subscript"/>
        </w:rPr>
        <w:t>3</w:t>
      </w:r>
      <w:r w:rsidR="00A60EE0" w:rsidRPr="00A60EE0">
        <w:rPr>
          <w:rFonts w:eastAsiaTheme="minorEastAsia" w:cs="Times New Roman"/>
          <w:szCs w:val="22"/>
          <w:vertAlign w:val="superscript"/>
        </w:rPr>
        <w:t>2</w:t>
      </w:r>
      <w:r w:rsidR="00A60EE0" w:rsidRPr="002961E1">
        <w:rPr>
          <w:rFonts w:eastAsiaTheme="minorEastAsia" w:cs="Times New Roman"/>
          <w:szCs w:val="22"/>
          <w:vertAlign w:val="superscript"/>
        </w:rPr>
        <w:t>-</w:t>
      </w:r>
      <w:r w:rsidRPr="002961E1">
        <w:rPr>
          <w:rFonts w:eastAsiaTheme="minorEastAsia" w:cs="Times New Roman"/>
          <w:szCs w:val="22"/>
        </w:rPr>
        <w:t xml:space="preserve"> grafted on the polymer typically degrades at 400</w:t>
      </w:r>
      <w:r w:rsidR="00EC524B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>°C</w:t>
      </w:r>
      <w:r w:rsidRPr="002961E1">
        <w:rPr>
          <w:rFonts w:eastAsiaTheme="minorEastAsia" w:cs="Times New Roman"/>
          <w:color w:val="00B0F0"/>
          <w:szCs w:val="22"/>
        </w:rPr>
        <w:fldChar w:fldCharType="begin">
          <w:fldData xml:space="preserve">PEVuZE5vdGU+PENpdGU+PEF1dGhvcj5HYWxob3VtPC9BdXRob3I+PFllYXI+MjAxOTwvWWVhcj48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</w:fldData>
        </w:fldChar>
      </w:r>
      <w:r w:rsidR="008E297B">
        <w:rPr>
          <w:rFonts w:eastAsiaTheme="minorEastAsia" w:cs="Times New Roman"/>
          <w:color w:val="00B0F0"/>
          <w:szCs w:val="22"/>
        </w:rPr>
        <w:instrText xml:space="preserve"> ADDIN EN.CITE </w:instrText>
      </w:r>
      <w:r w:rsidR="008E297B">
        <w:rPr>
          <w:rFonts w:eastAsiaTheme="minorEastAsia" w:cs="Times New Roman"/>
          <w:color w:val="00B0F0"/>
          <w:szCs w:val="22"/>
        </w:rPr>
        <w:fldChar w:fldCharType="begin">
          <w:fldData xml:space="preserve">PEVuZE5vdGU+PENpdGU+PEF1dGhvcj5HYWxob3VtPC9BdXRob3I+PFllYXI+MjAxOTwvWWVhcj48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</w:fldData>
        </w:fldChar>
      </w:r>
      <w:r w:rsidR="008E297B">
        <w:rPr>
          <w:rFonts w:eastAsiaTheme="minorEastAsia" w:cs="Times New Roman"/>
          <w:color w:val="00B0F0"/>
          <w:szCs w:val="22"/>
        </w:rPr>
        <w:instrText xml:space="preserve"> ADDIN EN.CITE.DATA </w:instrText>
      </w:r>
      <w:r w:rsidR="008E297B">
        <w:rPr>
          <w:rFonts w:eastAsiaTheme="minorEastAsia" w:cs="Times New Roman"/>
          <w:color w:val="00B0F0"/>
          <w:szCs w:val="22"/>
        </w:rPr>
      </w:r>
      <w:r w:rsidR="008E297B">
        <w:rPr>
          <w:rFonts w:eastAsiaTheme="minorEastAsia" w:cs="Times New Roman"/>
          <w:color w:val="00B0F0"/>
          <w:szCs w:val="22"/>
        </w:rPr>
        <w:fldChar w:fldCharType="end"/>
      </w:r>
      <w:r w:rsidRPr="002961E1">
        <w:rPr>
          <w:rFonts w:eastAsiaTheme="minorEastAsia" w:cs="Times New Roman"/>
          <w:color w:val="00B0F0"/>
          <w:szCs w:val="22"/>
        </w:rPr>
      </w:r>
      <w:r w:rsidRPr="002961E1">
        <w:rPr>
          <w:rFonts w:eastAsiaTheme="minorEastAsia" w:cs="Times New Roman"/>
          <w:color w:val="00B0F0"/>
          <w:szCs w:val="22"/>
        </w:rPr>
        <w:fldChar w:fldCharType="separate"/>
      </w:r>
      <w:r w:rsidR="008E297B" w:rsidRPr="008E297B">
        <w:rPr>
          <w:rFonts w:eastAsiaTheme="minorEastAsia" w:cs="Times New Roman"/>
          <w:noProof/>
          <w:color w:val="00B0F0"/>
          <w:szCs w:val="22"/>
          <w:vertAlign w:val="superscript"/>
        </w:rPr>
        <w:t>4</w:t>
      </w:r>
      <w:r w:rsidRPr="002961E1">
        <w:rPr>
          <w:rFonts w:eastAsiaTheme="minorEastAsia" w:cs="Times New Roman"/>
          <w:color w:val="00B0F0"/>
          <w:szCs w:val="22"/>
        </w:rPr>
        <w:fldChar w:fldCharType="end"/>
      </w:r>
      <w:r w:rsidRPr="002961E1">
        <w:rPr>
          <w:rFonts w:eastAsiaTheme="minorEastAsia" w:cs="Times New Roman"/>
          <w:szCs w:val="22"/>
        </w:rPr>
        <w:t xml:space="preserve">. Considering the resin's ion exchange capacity and the relative molecular mass of each substance components (e.g., </w:t>
      </w:r>
      <w:r w:rsidR="00A60EE0" w:rsidRPr="002961E1">
        <w:rPr>
          <w:rFonts w:eastAsiaTheme="minorEastAsia" w:cs="Times New Roman"/>
          <w:szCs w:val="22"/>
        </w:rPr>
        <w:t>-CH</w:t>
      </w:r>
      <w:r w:rsidR="00A60EE0" w:rsidRPr="002961E1">
        <w:rPr>
          <w:rFonts w:eastAsiaTheme="minorEastAsia" w:cs="Times New Roman"/>
          <w:szCs w:val="22"/>
          <w:vertAlign w:val="subscript"/>
        </w:rPr>
        <w:t>2</w:t>
      </w:r>
      <w:r w:rsidR="00A60EE0" w:rsidRPr="002961E1">
        <w:rPr>
          <w:rFonts w:eastAsiaTheme="minorEastAsia" w:cs="Times New Roman"/>
          <w:szCs w:val="22"/>
        </w:rPr>
        <w:t>NHCH</w:t>
      </w:r>
      <w:r w:rsidR="00A60EE0" w:rsidRPr="002961E1">
        <w:rPr>
          <w:rFonts w:eastAsiaTheme="minorEastAsia" w:cs="Times New Roman"/>
          <w:szCs w:val="22"/>
          <w:vertAlign w:val="subscript"/>
        </w:rPr>
        <w:t>2</w:t>
      </w:r>
      <w:r w:rsidR="00A60EE0" w:rsidRPr="002961E1">
        <w:rPr>
          <w:rFonts w:eastAsiaTheme="minorEastAsia" w:cs="Times New Roman"/>
          <w:szCs w:val="22"/>
        </w:rPr>
        <w:t>PO</w:t>
      </w:r>
      <w:r w:rsidR="00A60EE0" w:rsidRPr="002961E1">
        <w:rPr>
          <w:rFonts w:eastAsiaTheme="minorEastAsia" w:cs="Times New Roman"/>
          <w:szCs w:val="22"/>
          <w:vertAlign w:val="subscript"/>
        </w:rPr>
        <w:t>3</w:t>
      </w:r>
      <w:r w:rsidR="00A60EE0" w:rsidRPr="00A60EE0">
        <w:rPr>
          <w:rFonts w:eastAsiaTheme="minorEastAsia" w:cs="Times New Roman"/>
          <w:szCs w:val="22"/>
          <w:vertAlign w:val="superscript"/>
        </w:rPr>
        <w:t>2</w:t>
      </w:r>
      <w:r w:rsidR="00A60EE0" w:rsidRPr="002961E1">
        <w:rPr>
          <w:rFonts w:eastAsiaTheme="minorEastAsia" w:cs="Times New Roman"/>
          <w:szCs w:val="22"/>
          <w:vertAlign w:val="superscript"/>
        </w:rPr>
        <w:t>-</w:t>
      </w:r>
      <w:r w:rsidRPr="002961E1">
        <w:rPr>
          <w:rFonts w:eastAsiaTheme="minorEastAsia" w:cs="Times New Roman"/>
          <w:szCs w:val="22"/>
        </w:rPr>
        <w:t>, b</w:t>
      </w:r>
      <w:r w:rsidRPr="002961E1">
        <w:rPr>
          <w:rFonts w:cs="Times New Roman"/>
          <w:iCs/>
          <w:szCs w:val="22"/>
        </w:rPr>
        <w:t>enzyl</w:t>
      </w:r>
      <w:r w:rsidRPr="002961E1">
        <w:rPr>
          <w:rFonts w:eastAsiaTheme="minorEastAsia" w:cs="Times New Roman"/>
          <w:szCs w:val="22"/>
        </w:rPr>
        <w:t xml:space="preserve">), it is possible to infer the mass proportion of each component. We concluded that the weight loss was primarily caused by the simultaneous degradation of the </w:t>
      </w:r>
      <w:r w:rsidR="00A60EE0" w:rsidRPr="002961E1">
        <w:rPr>
          <w:rFonts w:eastAsiaTheme="minorEastAsia" w:cs="Times New Roman"/>
          <w:szCs w:val="22"/>
        </w:rPr>
        <w:t>-CH</w:t>
      </w:r>
      <w:r w:rsidR="00A60EE0" w:rsidRPr="002961E1">
        <w:rPr>
          <w:rFonts w:eastAsiaTheme="minorEastAsia" w:cs="Times New Roman"/>
          <w:szCs w:val="22"/>
          <w:vertAlign w:val="subscript"/>
        </w:rPr>
        <w:t>2</w:t>
      </w:r>
      <w:r w:rsidR="00A60EE0" w:rsidRPr="002961E1">
        <w:rPr>
          <w:rFonts w:eastAsiaTheme="minorEastAsia" w:cs="Times New Roman"/>
          <w:szCs w:val="22"/>
        </w:rPr>
        <w:t>NHCH</w:t>
      </w:r>
      <w:r w:rsidR="00A60EE0" w:rsidRPr="002961E1">
        <w:rPr>
          <w:rFonts w:eastAsiaTheme="minorEastAsia" w:cs="Times New Roman"/>
          <w:szCs w:val="22"/>
          <w:vertAlign w:val="subscript"/>
        </w:rPr>
        <w:t>2</w:t>
      </w:r>
      <w:r w:rsidR="00A60EE0" w:rsidRPr="002961E1">
        <w:rPr>
          <w:rFonts w:eastAsiaTheme="minorEastAsia" w:cs="Times New Roman"/>
          <w:szCs w:val="22"/>
        </w:rPr>
        <w:t>PO</w:t>
      </w:r>
      <w:r w:rsidR="00A60EE0" w:rsidRPr="002961E1">
        <w:rPr>
          <w:rFonts w:eastAsiaTheme="minorEastAsia" w:cs="Times New Roman"/>
          <w:szCs w:val="22"/>
          <w:vertAlign w:val="subscript"/>
        </w:rPr>
        <w:t>3</w:t>
      </w:r>
      <w:r w:rsidR="00A60EE0" w:rsidRPr="00A60EE0">
        <w:rPr>
          <w:rFonts w:eastAsiaTheme="minorEastAsia" w:cs="Times New Roman"/>
          <w:szCs w:val="22"/>
          <w:vertAlign w:val="superscript"/>
        </w:rPr>
        <w:t>2</w:t>
      </w:r>
      <w:r w:rsidR="00A60EE0" w:rsidRPr="002961E1">
        <w:rPr>
          <w:rFonts w:eastAsiaTheme="minorEastAsia" w:cs="Times New Roman"/>
          <w:szCs w:val="22"/>
          <w:vertAlign w:val="superscript"/>
        </w:rPr>
        <w:t>-</w:t>
      </w:r>
      <w:r w:rsidRPr="002961E1">
        <w:rPr>
          <w:rFonts w:eastAsiaTheme="minorEastAsia" w:cs="Times New Roman"/>
          <w:szCs w:val="22"/>
        </w:rPr>
        <w:t xml:space="preserve"> and </w:t>
      </w:r>
      <w:r w:rsidRPr="002961E1">
        <w:rPr>
          <w:rFonts w:cs="Times New Roman"/>
          <w:iCs/>
          <w:szCs w:val="22"/>
        </w:rPr>
        <w:t>benzyl</w:t>
      </w:r>
      <w:r w:rsidRPr="002961E1">
        <w:rPr>
          <w:rFonts w:eastAsiaTheme="minorEastAsia" w:cs="Times New Roman"/>
          <w:szCs w:val="22"/>
        </w:rPr>
        <w:t>. Given that the D152 CER is prepared based on an acrylic acid copolymer, its TGA curve closely aligns with the TGA results of polyacrylic acid reported in other studies</w:t>
      </w:r>
      <w:r w:rsidRPr="002961E1">
        <w:rPr>
          <w:rFonts w:eastAsiaTheme="minorEastAsia" w:cs="Times New Roman"/>
          <w:color w:val="00B0F0"/>
          <w:szCs w:val="22"/>
        </w:rPr>
        <w:fldChar w:fldCharType="begin">
          <w:fldData xml:space="preserve">PEVuZE5vdGU+PENpdGU+PEF1dGhvcj5DaGVuPC9BdXRob3I+PFllYXI+MjAxMzwvWWVhcj48UmVj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</w:fldData>
        </w:fldChar>
      </w:r>
      <w:r w:rsidR="008E297B">
        <w:rPr>
          <w:rFonts w:eastAsiaTheme="minorEastAsia" w:cs="Times New Roman"/>
          <w:color w:val="00B0F0"/>
          <w:szCs w:val="22"/>
        </w:rPr>
        <w:instrText xml:space="preserve"> ADDIN EN.CITE </w:instrText>
      </w:r>
      <w:r w:rsidR="008E297B">
        <w:rPr>
          <w:rFonts w:eastAsiaTheme="minorEastAsia" w:cs="Times New Roman"/>
          <w:color w:val="00B0F0"/>
          <w:szCs w:val="22"/>
        </w:rPr>
        <w:fldChar w:fldCharType="begin">
          <w:fldData xml:space="preserve">PEVuZE5vdGU+PENpdGU+PEF1dGhvcj5DaGVuPC9BdXRob3I+PFllYXI+MjAxMzwvWWVhcj48UmVj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</w:fldData>
        </w:fldChar>
      </w:r>
      <w:r w:rsidR="008E297B">
        <w:rPr>
          <w:rFonts w:eastAsiaTheme="minorEastAsia" w:cs="Times New Roman"/>
          <w:color w:val="00B0F0"/>
          <w:szCs w:val="22"/>
        </w:rPr>
        <w:instrText xml:space="preserve"> ADDIN EN.CITE.DATA </w:instrText>
      </w:r>
      <w:r w:rsidR="008E297B">
        <w:rPr>
          <w:rFonts w:eastAsiaTheme="minorEastAsia" w:cs="Times New Roman"/>
          <w:color w:val="00B0F0"/>
          <w:szCs w:val="22"/>
        </w:rPr>
      </w:r>
      <w:r w:rsidR="008E297B">
        <w:rPr>
          <w:rFonts w:eastAsiaTheme="minorEastAsia" w:cs="Times New Roman"/>
          <w:color w:val="00B0F0"/>
          <w:szCs w:val="22"/>
        </w:rPr>
        <w:fldChar w:fldCharType="end"/>
      </w:r>
      <w:r w:rsidRPr="002961E1">
        <w:rPr>
          <w:rFonts w:eastAsiaTheme="minorEastAsia" w:cs="Times New Roman"/>
          <w:color w:val="00B0F0"/>
          <w:szCs w:val="22"/>
        </w:rPr>
      </w:r>
      <w:r w:rsidRPr="002961E1">
        <w:rPr>
          <w:rFonts w:eastAsiaTheme="minorEastAsia" w:cs="Times New Roman"/>
          <w:color w:val="00B0F0"/>
          <w:szCs w:val="22"/>
        </w:rPr>
        <w:fldChar w:fldCharType="separate"/>
      </w:r>
      <w:r w:rsidR="008E297B" w:rsidRPr="008E297B">
        <w:rPr>
          <w:rFonts w:eastAsiaTheme="minorEastAsia" w:cs="Times New Roman"/>
          <w:noProof/>
          <w:color w:val="00B0F0"/>
          <w:szCs w:val="22"/>
          <w:vertAlign w:val="superscript"/>
        </w:rPr>
        <w:t>5, 6</w:t>
      </w:r>
      <w:r w:rsidRPr="002961E1">
        <w:rPr>
          <w:rFonts w:eastAsiaTheme="minorEastAsia" w:cs="Times New Roman"/>
          <w:color w:val="00B0F0"/>
          <w:szCs w:val="22"/>
        </w:rPr>
        <w:fldChar w:fldCharType="end"/>
      </w:r>
      <w:r w:rsidRPr="002961E1">
        <w:rPr>
          <w:rFonts w:eastAsiaTheme="minorEastAsia" w:cs="Times New Roman"/>
          <w:szCs w:val="22"/>
        </w:rPr>
        <w:t>. The initial ~40% weight loss of the D152 CER occurs over the temperature range of 390</w:t>
      </w:r>
      <w:r w:rsidRPr="002961E1">
        <w:rPr>
          <w:rFonts w:cs="Times New Roman"/>
          <w:szCs w:val="22"/>
        </w:rPr>
        <w:t>–</w:t>
      </w:r>
      <w:r w:rsidRPr="002961E1">
        <w:rPr>
          <w:rFonts w:eastAsiaTheme="minorEastAsia" w:cs="Times New Roman"/>
          <w:szCs w:val="22"/>
        </w:rPr>
        <w:t>490</w:t>
      </w:r>
      <w:r w:rsidR="00EC524B">
        <w:rPr>
          <w:rFonts w:eastAsiaTheme="minorEastAsia" w:cs="Times New Roman"/>
          <w:szCs w:val="22"/>
        </w:rPr>
        <w:t xml:space="preserve"> </w:t>
      </w:r>
      <w:r w:rsidRPr="002961E1">
        <w:rPr>
          <w:rFonts w:eastAsiaTheme="minorEastAsia" w:cs="Times New Roman"/>
          <w:szCs w:val="22"/>
        </w:rPr>
        <w:t xml:space="preserve">°C, which corresponds to the degradation of oxygen-containing groups. Furthermore, the carbonaceous materials of resins decomposed as the temperature continued to rise above 750℃, which triggered a second round of weight loss. Compared with the D201 AER, the two D402 and D152 CERs exhibited increased thermal stability, which rendered them more suitable for operation in high-temperature environments. </w:t>
      </w:r>
      <w:r w:rsidRPr="002961E1">
        <w:rPr>
          <w:rFonts w:cs="Times New Roman"/>
          <w:color w:val="auto"/>
          <w:szCs w:val="22"/>
        </w:rPr>
        <w:t xml:space="preserve">The weight loss of each stage for the above resins as well as ACD-500 (green </w:t>
      </w:r>
      <w:r w:rsidR="00A60EE0">
        <w:rPr>
          <w:rFonts w:cs="Times New Roman"/>
          <w:color w:val="auto"/>
          <w:szCs w:val="22"/>
        </w:rPr>
        <w:t>solid</w:t>
      </w:r>
      <w:r w:rsidRPr="002961E1">
        <w:rPr>
          <w:rFonts w:cs="Times New Roman"/>
          <w:color w:val="auto"/>
          <w:szCs w:val="22"/>
        </w:rPr>
        <w:t xml:space="preserve"> line) and D113 (</w:t>
      </w:r>
      <w:r w:rsidRPr="002961E1">
        <w:rPr>
          <w:rFonts w:eastAsiaTheme="minorEastAsia" w:cs="Times New Roman"/>
          <w:color w:val="auto"/>
          <w:szCs w:val="22"/>
        </w:rPr>
        <w:t>orange</w:t>
      </w:r>
      <w:r w:rsidRPr="002961E1">
        <w:rPr>
          <w:rFonts w:cs="Times New Roman"/>
          <w:color w:val="auto"/>
          <w:szCs w:val="22"/>
        </w:rPr>
        <w:t xml:space="preserve"> </w:t>
      </w:r>
      <w:r w:rsidR="00A60EE0">
        <w:rPr>
          <w:rFonts w:cs="Times New Roman"/>
          <w:color w:val="auto"/>
          <w:szCs w:val="22"/>
        </w:rPr>
        <w:t>solid</w:t>
      </w:r>
      <w:r w:rsidRPr="002961E1">
        <w:rPr>
          <w:rFonts w:cs="Times New Roman"/>
          <w:color w:val="auto"/>
          <w:szCs w:val="22"/>
        </w:rPr>
        <w:t xml:space="preserve"> line) resins is summarized in </w:t>
      </w:r>
      <w:r w:rsidRPr="002961E1">
        <w:rPr>
          <w:rFonts w:eastAsiaTheme="minorEastAsia" w:cs="Times New Roman"/>
          <w:szCs w:val="22"/>
        </w:rPr>
        <w:t>Supplementary Table 1</w:t>
      </w:r>
      <w:r w:rsidRPr="002961E1">
        <w:rPr>
          <w:rFonts w:cs="Times New Roman"/>
          <w:color w:val="auto"/>
          <w:szCs w:val="22"/>
        </w:rPr>
        <w:t>.</w:t>
      </w:r>
    </w:p>
    <w:p w14:paraId="1DFB62C8" w14:textId="77777777" w:rsidR="002961E1" w:rsidRPr="002961E1" w:rsidRDefault="002961E1" w:rsidP="002961E1">
      <w:pPr>
        <w:jc w:val="center"/>
        <w:rPr>
          <w:rFonts w:eastAsiaTheme="minorEastAsia" w:cs="Times New Roman"/>
          <w:szCs w:val="22"/>
        </w:rPr>
      </w:pPr>
      <w:r w:rsidRPr="002961E1">
        <w:rPr>
          <w:rFonts w:eastAsiaTheme="minorEastAsia" w:cs="Times New Roman"/>
          <w:noProof/>
          <w:szCs w:val="22"/>
        </w:rPr>
        <w:lastRenderedPageBreak/>
        <w:drawing>
          <wp:inline distT="0" distB="0" distL="0" distR="0" wp14:anchorId="0AA6AF9A" wp14:editId="343A3CDE">
            <wp:extent cx="2784170" cy="2154653"/>
            <wp:effectExtent l="0" t="0" r="0" b="0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4D87040E-45B1-B9AA-AB80-DC9FEE6AF5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4D87040E-45B1-B9AA-AB80-DC9FEE6AF5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170" cy="215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9454F" w14:textId="621B7122" w:rsidR="002961E1" w:rsidRPr="002961E1" w:rsidRDefault="002961E1" w:rsidP="00733A4E">
      <w:pPr>
        <w:spacing w:line="240" w:lineRule="auto"/>
        <w:jc w:val="center"/>
        <w:rPr>
          <w:rFonts w:eastAsiaTheme="minorEastAsia" w:cs="Times New Roman"/>
          <w:szCs w:val="22"/>
        </w:rPr>
      </w:pPr>
      <w:r w:rsidRPr="002961E1">
        <w:rPr>
          <w:rFonts w:eastAsiaTheme="minorEastAsia" w:cs="Times New Roman"/>
          <w:b/>
          <w:bCs/>
          <w:color w:val="auto"/>
          <w:szCs w:val="22"/>
        </w:rPr>
        <w:t xml:space="preserve">Supplementary Fig. 4 </w:t>
      </w:r>
      <w:r w:rsidRPr="002961E1">
        <w:rPr>
          <w:rFonts w:cs="Times New Roman"/>
          <w:b/>
          <w:bCs/>
          <w:color w:val="auto"/>
          <w:szCs w:val="22"/>
        </w:rPr>
        <w:t xml:space="preserve">| </w:t>
      </w:r>
      <w:r w:rsidRPr="002961E1">
        <w:rPr>
          <w:rFonts w:eastAsiaTheme="minorEastAsia" w:cs="Times New Roman"/>
          <w:b/>
          <w:bCs/>
          <w:color w:val="auto"/>
          <w:szCs w:val="22"/>
        </w:rPr>
        <w:t xml:space="preserve">Thermal stabilities of </w:t>
      </w:r>
      <w:r w:rsidR="00772BEE" w:rsidRPr="002961E1">
        <w:rPr>
          <w:rFonts w:cs="Times New Roman"/>
          <w:b/>
          <w:bCs/>
          <w:iCs/>
          <w:kern w:val="0"/>
          <w:szCs w:val="22"/>
        </w:rPr>
        <w:t>D201, ACD-100, D402, ACD-500, D152, and D113</w:t>
      </w:r>
      <w:r w:rsidRPr="002961E1">
        <w:rPr>
          <w:rFonts w:eastAsiaTheme="minorEastAsia" w:cs="Times New Roman"/>
          <w:b/>
          <w:bCs/>
          <w:color w:val="auto"/>
          <w:szCs w:val="22"/>
        </w:rPr>
        <w:t xml:space="preserve"> resins</w:t>
      </w:r>
    </w:p>
    <w:p w14:paraId="0EB4B973" w14:textId="77777777" w:rsidR="002961E1" w:rsidRPr="002961E1" w:rsidRDefault="002961E1" w:rsidP="002961E1">
      <w:pPr>
        <w:spacing w:before="240" w:line="240" w:lineRule="auto"/>
        <w:rPr>
          <w:rFonts w:cs="Times New Roman"/>
          <w:b/>
          <w:bCs/>
          <w:iCs/>
          <w:szCs w:val="22"/>
        </w:rPr>
      </w:pPr>
      <w:bookmarkStart w:id="8" w:name="_Hlk136802452"/>
      <w:r w:rsidRPr="002961E1">
        <w:rPr>
          <w:rFonts w:cs="Times New Roman"/>
          <w:b/>
          <w:bCs/>
          <w:iCs/>
          <w:szCs w:val="22"/>
        </w:rPr>
        <w:t xml:space="preserve">Supplementary Table 1 | </w:t>
      </w:r>
      <w:r w:rsidRPr="002961E1">
        <w:rPr>
          <w:rFonts w:cs="Times New Roman"/>
          <w:b/>
          <w:bCs/>
          <w:iCs/>
          <w:kern w:val="0"/>
          <w:szCs w:val="22"/>
        </w:rPr>
        <w:t xml:space="preserve">The decomposition temperature and weight loss during the thermogravimetric analysis of D201, ACD-100, D402, ACD-500, D152, and D113 </w:t>
      </w:r>
      <w:r w:rsidRPr="002961E1">
        <w:rPr>
          <w:rFonts w:cs="Times New Roman"/>
          <w:b/>
          <w:bCs/>
          <w:iCs/>
          <w:szCs w:val="22"/>
        </w:rPr>
        <w:t>resins</w:t>
      </w:r>
    </w:p>
    <w:tbl>
      <w:tblPr>
        <w:tblW w:w="9027" w:type="dxa"/>
        <w:tblLook w:val="04A0" w:firstRow="1" w:lastRow="0" w:firstColumn="1" w:lastColumn="0" w:noHBand="0" w:noVBand="1"/>
      </w:tblPr>
      <w:tblGrid>
        <w:gridCol w:w="1463"/>
        <w:gridCol w:w="2448"/>
        <w:gridCol w:w="1861"/>
        <w:gridCol w:w="3255"/>
      </w:tblGrid>
      <w:tr w:rsidR="002961E1" w:rsidRPr="002961E1" w14:paraId="7929F9CA" w14:textId="77777777" w:rsidTr="002961E1">
        <w:trPr>
          <w:trHeight w:val="300"/>
        </w:trPr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463B2AC6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color w:val="000000"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Sample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66E4B808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 xml:space="preserve">Temperature range </w:t>
            </w:r>
          </w:p>
          <w:p w14:paraId="6F74FD65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(</w:t>
            </w:r>
            <m:oMath>
              <m:r>
                <m:rPr>
                  <m:nor/>
                </m:rPr>
                <w:rPr>
                  <w:rFonts w:eastAsiaTheme="minorEastAsia" w:cs="Times New Roman"/>
                  <w:i/>
                  <w:iCs/>
                  <w:szCs w:val="22"/>
                </w:rPr>
                <m:t>∆T</m:t>
              </m:r>
              <m:r>
                <m:rPr>
                  <m:nor/>
                </m:rPr>
                <w:rPr>
                  <w:rFonts w:eastAsiaTheme="minorEastAsia" w:cs="Times New Roman"/>
                  <w:szCs w:val="22"/>
                </w:rPr>
                <m:t>, ℃</m:t>
              </m:r>
            </m:oMath>
            <w:r w:rsidRPr="002961E1">
              <w:rPr>
                <w:rFonts w:eastAsiaTheme="minorEastAsia" w:cs="Times New Roman"/>
                <w:iCs/>
                <w:szCs w:val="22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629FA82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 xml:space="preserve">Weight loss </w:t>
            </w:r>
          </w:p>
          <w:p w14:paraId="437C3FF1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(</w:t>
            </w:r>
            <m:oMath>
              <m:r>
                <m:rPr>
                  <m:nor/>
                </m:rPr>
                <w:rPr>
                  <w:rFonts w:eastAsiaTheme="minorEastAsia" w:cs="Times New Roman"/>
                  <w:i/>
                  <w:iCs/>
                  <w:szCs w:val="22"/>
                </w:rPr>
                <m:t>∆W</m:t>
              </m:r>
              <m:r>
                <m:rPr>
                  <m:nor/>
                </m:rPr>
                <w:rPr>
                  <w:rFonts w:eastAsiaTheme="minorEastAsia" w:cs="Times New Roman"/>
                  <w:szCs w:val="22"/>
                </w:rPr>
                <m:t>, %</m:t>
              </m:r>
            </m:oMath>
            <w:r w:rsidRPr="002961E1">
              <w:rPr>
                <w:rFonts w:eastAsiaTheme="minorEastAsia" w:cs="Times New Roman"/>
                <w:iCs/>
                <w:szCs w:val="22"/>
              </w:rPr>
              <w:t>)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14:paraId="10ADDDFD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Degradation</w:t>
            </w:r>
          </w:p>
        </w:tc>
      </w:tr>
      <w:tr w:rsidR="002961E1" w:rsidRPr="002961E1" w14:paraId="4B62F3A1" w14:textId="77777777" w:rsidTr="002961E1">
        <w:trPr>
          <w:trHeight w:val="300"/>
        </w:trPr>
        <w:tc>
          <w:tcPr>
            <w:tcW w:w="14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0B424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color w:val="000000"/>
                <w:szCs w:val="22"/>
              </w:rPr>
              <w:t>D201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4AEBA95C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25-100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14:paraId="4DCD17EC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8.8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vAlign w:val="center"/>
          </w:tcPr>
          <w:p w14:paraId="501B88FB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Water</w:t>
            </w:r>
          </w:p>
        </w:tc>
      </w:tr>
      <w:tr w:rsidR="002961E1" w:rsidRPr="002961E1" w14:paraId="259D94B4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2E29374A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7E3AD683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130-260</w:t>
            </w:r>
          </w:p>
        </w:tc>
        <w:tc>
          <w:tcPr>
            <w:tcW w:w="1861" w:type="dxa"/>
            <w:vAlign w:val="center"/>
          </w:tcPr>
          <w:p w14:paraId="32446E7B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28.9</w:t>
            </w:r>
          </w:p>
        </w:tc>
        <w:tc>
          <w:tcPr>
            <w:tcW w:w="3255" w:type="dxa"/>
            <w:vAlign w:val="center"/>
          </w:tcPr>
          <w:p w14:paraId="064F2726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color w:val="auto"/>
                <w:szCs w:val="22"/>
              </w:rPr>
              <w:t>Functional amine groups</w:t>
            </w:r>
          </w:p>
        </w:tc>
      </w:tr>
      <w:tr w:rsidR="002961E1" w:rsidRPr="002961E1" w14:paraId="6EB0D323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295E8433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2A0264F5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330-460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8E7C8F8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41.5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2F15B440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Benzyl and carbon matrix</w:t>
            </w:r>
          </w:p>
        </w:tc>
      </w:tr>
      <w:tr w:rsidR="002961E1" w:rsidRPr="002961E1" w14:paraId="05CD53BC" w14:textId="77777777" w:rsidTr="002961E1">
        <w:trPr>
          <w:trHeight w:val="300"/>
        </w:trPr>
        <w:tc>
          <w:tcPr>
            <w:tcW w:w="1463" w:type="dxa"/>
            <w:vMerge w:val="restart"/>
            <w:tcBorders>
              <w:bottom w:val="single" w:sz="4" w:space="0" w:color="auto"/>
            </w:tcBorders>
            <w:vAlign w:val="center"/>
          </w:tcPr>
          <w:p w14:paraId="10A0E865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ACD-100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080015C7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25-100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14:paraId="065037C8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0.8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vAlign w:val="center"/>
          </w:tcPr>
          <w:p w14:paraId="4E78A7E1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Water</w:t>
            </w:r>
          </w:p>
        </w:tc>
      </w:tr>
      <w:tr w:rsidR="002961E1" w:rsidRPr="002961E1" w14:paraId="18E07C1D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3112037A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B1C314B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180-500</w:t>
            </w:r>
          </w:p>
        </w:tc>
        <w:tc>
          <w:tcPr>
            <w:tcW w:w="1861" w:type="dxa"/>
            <w:vAlign w:val="center"/>
          </w:tcPr>
          <w:p w14:paraId="239BD926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83.2</w:t>
            </w:r>
          </w:p>
        </w:tc>
        <w:tc>
          <w:tcPr>
            <w:tcW w:w="3255" w:type="dxa"/>
            <w:vAlign w:val="center"/>
          </w:tcPr>
          <w:p w14:paraId="2CE6448C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color w:val="auto"/>
                <w:szCs w:val="22"/>
              </w:rPr>
              <w:t xml:space="preserve">Functional groups and </w:t>
            </w:r>
            <w:r w:rsidRPr="002961E1">
              <w:rPr>
                <w:rFonts w:cs="Times New Roman"/>
                <w:iCs/>
                <w:szCs w:val="22"/>
              </w:rPr>
              <w:t>benzyl</w:t>
            </w:r>
          </w:p>
        </w:tc>
      </w:tr>
      <w:tr w:rsidR="002961E1" w:rsidRPr="002961E1" w14:paraId="11727855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7706226C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41638AC9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500-1100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2D01D1C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2.4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24F977B7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carbon matrix</w:t>
            </w:r>
          </w:p>
        </w:tc>
      </w:tr>
      <w:tr w:rsidR="002961E1" w:rsidRPr="002961E1" w14:paraId="516BD2E8" w14:textId="77777777" w:rsidTr="002961E1">
        <w:trPr>
          <w:trHeight w:val="300"/>
        </w:trPr>
        <w:tc>
          <w:tcPr>
            <w:tcW w:w="1463" w:type="dxa"/>
            <w:vMerge w:val="restart"/>
            <w:tcBorders>
              <w:bottom w:val="single" w:sz="4" w:space="0" w:color="auto"/>
            </w:tcBorders>
            <w:vAlign w:val="center"/>
          </w:tcPr>
          <w:p w14:paraId="6F7F07FA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D402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7761FD60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25-100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14:paraId="054239F3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5.0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vAlign w:val="center"/>
          </w:tcPr>
          <w:p w14:paraId="58B5CC4F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Water</w:t>
            </w:r>
          </w:p>
        </w:tc>
      </w:tr>
      <w:tr w:rsidR="002961E1" w:rsidRPr="002961E1" w14:paraId="021DDFD0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3086F0D0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43D12FEF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340-460</w:t>
            </w:r>
          </w:p>
        </w:tc>
        <w:tc>
          <w:tcPr>
            <w:tcW w:w="1861" w:type="dxa"/>
            <w:vAlign w:val="center"/>
          </w:tcPr>
          <w:p w14:paraId="4B28AB88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46.9</w:t>
            </w:r>
          </w:p>
        </w:tc>
        <w:tc>
          <w:tcPr>
            <w:tcW w:w="3255" w:type="dxa"/>
            <w:vAlign w:val="center"/>
          </w:tcPr>
          <w:p w14:paraId="724953B9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color w:val="auto"/>
                <w:szCs w:val="22"/>
              </w:rPr>
              <w:t xml:space="preserve">Functional groups and </w:t>
            </w:r>
            <w:r w:rsidRPr="002961E1">
              <w:rPr>
                <w:rFonts w:cs="Times New Roman"/>
                <w:iCs/>
                <w:szCs w:val="22"/>
              </w:rPr>
              <w:t>benzyl</w:t>
            </w:r>
          </w:p>
        </w:tc>
      </w:tr>
      <w:tr w:rsidR="002961E1" w:rsidRPr="002961E1" w14:paraId="760F8ED6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4F1FEEED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171DD511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840-1100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E83A4EB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27.3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4B5AD0F8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carbon matrix</w:t>
            </w:r>
          </w:p>
        </w:tc>
      </w:tr>
      <w:tr w:rsidR="002961E1" w:rsidRPr="002961E1" w14:paraId="214C4809" w14:textId="77777777" w:rsidTr="002961E1">
        <w:trPr>
          <w:trHeight w:val="300"/>
        </w:trPr>
        <w:tc>
          <w:tcPr>
            <w:tcW w:w="1463" w:type="dxa"/>
            <w:vMerge w:val="restart"/>
            <w:tcBorders>
              <w:bottom w:val="single" w:sz="4" w:space="0" w:color="auto"/>
            </w:tcBorders>
            <w:vAlign w:val="center"/>
          </w:tcPr>
          <w:p w14:paraId="4DE7924A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ACD-500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47E4061C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25-100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14:paraId="11CB4939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6.4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vAlign w:val="center"/>
          </w:tcPr>
          <w:p w14:paraId="3EC4DC82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Water</w:t>
            </w:r>
          </w:p>
        </w:tc>
      </w:tr>
      <w:tr w:rsidR="002961E1" w:rsidRPr="002961E1" w14:paraId="0870FC0C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06744ED3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3700A80E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180-470</w:t>
            </w:r>
          </w:p>
        </w:tc>
        <w:tc>
          <w:tcPr>
            <w:tcW w:w="1861" w:type="dxa"/>
            <w:vAlign w:val="center"/>
          </w:tcPr>
          <w:p w14:paraId="2F3BEBCA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39.6</w:t>
            </w:r>
          </w:p>
        </w:tc>
        <w:tc>
          <w:tcPr>
            <w:tcW w:w="3255" w:type="dxa"/>
            <w:vAlign w:val="center"/>
          </w:tcPr>
          <w:p w14:paraId="28D181E5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color w:val="auto"/>
                <w:szCs w:val="22"/>
              </w:rPr>
              <w:t xml:space="preserve">Functional groups and </w:t>
            </w:r>
            <w:r w:rsidRPr="002961E1">
              <w:rPr>
                <w:rFonts w:cs="Times New Roman"/>
                <w:iCs/>
                <w:szCs w:val="22"/>
              </w:rPr>
              <w:t>benzyl</w:t>
            </w:r>
          </w:p>
        </w:tc>
      </w:tr>
      <w:tr w:rsidR="002961E1" w:rsidRPr="002961E1" w14:paraId="5BB2DD45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71820144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237794A7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880-1100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D8E8364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28.7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1F535A10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carbon matrix</w:t>
            </w:r>
          </w:p>
        </w:tc>
      </w:tr>
      <w:tr w:rsidR="002961E1" w:rsidRPr="002961E1" w14:paraId="539DA3F3" w14:textId="77777777" w:rsidTr="002961E1">
        <w:trPr>
          <w:trHeight w:val="300"/>
        </w:trPr>
        <w:tc>
          <w:tcPr>
            <w:tcW w:w="1463" w:type="dxa"/>
            <w:vMerge w:val="restart"/>
            <w:tcBorders>
              <w:bottom w:val="single" w:sz="4" w:space="0" w:color="auto"/>
            </w:tcBorders>
            <w:vAlign w:val="center"/>
          </w:tcPr>
          <w:p w14:paraId="77DF8883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D152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558511BC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25-100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14:paraId="6D0634C8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6.4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vAlign w:val="center"/>
          </w:tcPr>
          <w:p w14:paraId="2223D48B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Water</w:t>
            </w:r>
          </w:p>
        </w:tc>
      </w:tr>
      <w:tr w:rsidR="002961E1" w:rsidRPr="002961E1" w14:paraId="55130896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61A777BE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70A9A563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390-490</w:t>
            </w:r>
          </w:p>
        </w:tc>
        <w:tc>
          <w:tcPr>
            <w:tcW w:w="1861" w:type="dxa"/>
            <w:vAlign w:val="center"/>
          </w:tcPr>
          <w:p w14:paraId="373AC059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36.5</w:t>
            </w:r>
          </w:p>
        </w:tc>
        <w:tc>
          <w:tcPr>
            <w:tcW w:w="3255" w:type="dxa"/>
            <w:vAlign w:val="center"/>
          </w:tcPr>
          <w:p w14:paraId="63F1FA0F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color w:val="auto"/>
                <w:szCs w:val="22"/>
              </w:rPr>
              <w:t>Functional groups</w:t>
            </w:r>
          </w:p>
        </w:tc>
      </w:tr>
      <w:tr w:rsidR="002961E1" w:rsidRPr="002961E1" w14:paraId="4F2650EE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563D34FD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0526A73B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750-1100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6EA2354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44.3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4F5A1D63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carbon matrix</w:t>
            </w:r>
          </w:p>
        </w:tc>
      </w:tr>
      <w:tr w:rsidR="002961E1" w:rsidRPr="002961E1" w14:paraId="3019FB97" w14:textId="77777777" w:rsidTr="002961E1">
        <w:trPr>
          <w:trHeight w:val="300"/>
        </w:trPr>
        <w:tc>
          <w:tcPr>
            <w:tcW w:w="1463" w:type="dxa"/>
            <w:vMerge w:val="restart"/>
            <w:tcBorders>
              <w:bottom w:val="single" w:sz="4" w:space="0" w:color="auto"/>
            </w:tcBorders>
            <w:vAlign w:val="center"/>
          </w:tcPr>
          <w:p w14:paraId="0BFB9EDE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D113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4F0A6D69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25-100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14:paraId="5E1428EA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4.9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vAlign w:val="center"/>
          </w:tcPr>
          <w:p w14:paraId="467275B2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Water</w:t>
            </w:r>
          </w:p>
        </w:tc>
      </w:tr>
      <w:tr w:rsidR="002961E1" w:rsidRPr="002961E1" w14:paraId="42B1C8F5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6FD5A618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7251E98A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190-470</w:t>
            </w:r>
          </w:p>
        </w:tc>
        <w:tc>
          <w:tcPr>
            <w:tcW w:w="1861" w:type="dxa"/>
            <w:vAlign w:val="center"/>
          </w:tcPr>
          <w:p w14:paraId="4B795908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57.2</w:t>
            </w:r>
          </w:p>
        </w:tc>
        <w:tc>
          <w:tcPr>
            <w:tcW w:w="3255" w:type="dxa"/>
            <w:vAlign w:val="center"/>
          </w:tcPr>
          <w:p w14:paraId="0959522A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color w:val="auto"/>
                <w:szCs w:val="22"/>
              </w:rPr>
              <w:t xml:space="preserve">Functional groups and </w:t>
            </w:r>
            <w:r w:rsidRPr="002961E1">
              <w:rPr>
                <w:rFonts w:cs="Times New Roman"/>
                <w:iCs/>
                <w:szCs w:val="22"/>
              </w:rPr>
              <w:t>benzyl</w:t>
            </w:r>
          </w:p>
        </w:tc>
      </w:tr>
      <w:tr w:rsidR="002961E1" w:rsidRPr="002961E1" w14:paraId="3057A3C6" w14:textId="77777777" w:rsidTr="002961E1">
        <w:trPr>
          <w:trHeight w:val="300"/>
        </w:trPr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39774595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2FB53228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670-1100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551F7E1" w14:textId="77777777" w:rsidR="002961E1" w:rsidRPr="002961E1" w:rsidRDefault="002961E1" w:rsidP="00006E45">
            <w:pPr>
              <w:spacing w:line="240" w:lineRule="auto"/>
              <w:rPr>
                <w:rFonts w:eastAsiaTheme="minorEastAsia" w:cs="Times New Roman"/>
                <w:iCs/>
                <w:szCs w:val="22"/>
              </w:rPr>
            </w:pPr>
            <w:r w:rsidRPr="002961E1">
              <w:rPr>
                <w:rFonts w:eastAsiaTheme="minorEastAsia" w:cs="Times New Roman"/>
                <w:iCs/>
                <w:szCs w:val="22"/>
              </w:rPr>
              <w:t>21.9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449F5A4A" w14:textId="77777777" w:rsidR="002961E1" w:rsidRPr="002961E1" w:rsidRDefault="002961E1" w:rsidP="00006E45">
            <w:pPr>
              <w:spacing w:line="240" w:lineRule="auto"/>
              <w:rPr>
                <w:rFonts w:cs="Times New Roman"/>
                <w:iCs/>
                <w:szCs w:val="22"/>
              </w:rPr>
            </w:pPr>
            <w:r w:rsidRPr="002961E1">
              <w:rPr>
                <w:rFonts w:cs="Times New Roman"/>
                <w:iCs/>
                <w:szCs w:val="22"/>
              </w:rPr>
              <w:t>carbon matrix</w:t>
            </w:r>
          </w:p>
        </w:tc>
      </w:tr>
      <w:bookmarkEnd w:id="8"/>
    </w:tbl>
    <w:p w14:paraId="2D32A312" w14:textId="77777777" w:rsidR="002961E1" w:rsidRDefault="002961E1" w:rsidP="002961E1">
      <w:pPr>
        <w:spacing w:line="288" w:lineRule="auto"/>
        <w:rPr>
          <w:rFonts w:eastAsiaTheme="minorEastAsia"/>
        </w:rPr>
      </w:pPr>
    </w:p>
    <w:p w14:paraId="6896DFCE" w14:textId="77777777" w:rsidR="00CF7F11" w:rsidRDefault="00CF7F11">
      <w:pPr>
        <w:spacing w:line="288" w:lineRule="auto"/>
        <w:ind w:firstLineChars="200" w:firstLine="440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3BB668EC" w14:textId="18774877" w:rsidR="002961E1" w:rsidRPr="002961E1" w:rsidRDefault="002961E1" w:rsidP="008E297B">
      <w:pPr>
        <w:pStyle w:val="2"/>
      </w:pPr>
      <w:r w:rsidRPr="002961E1">
        <w:rPr>
          <w:rFonts w:hint="eastAsia"/>
        </w:rPr>
        <w:lastRenderedPageBreak/>
        <w:t>R</w:t>
      </w:r>
      <w:r w:rsidRPr="002961E1">
        <w:t>eference</w:t>
      </w:r>
    </w:p>
    <w:p w14:paraId="10F9FFBF" w14:textId="20A7B195" w:rsidR="00F84F98" w:rsidRPr="00F84F98" w:rsidRDefault="002961E1" w:rsidP="00F84F98">
      <w:pPr>
        <w:pStyle w:val="EndNoteBibliography"/>
        <w:ind w:left="720" w:hanging="720"/>
        <w:rPr>
          <w:rFonts w:eastAsiaTheme="minorEastAsia"/>
        </w:rPr>
      </w:pP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ADDIN EN.REFLIST </w:instrText>
      </w:r>
      <w:r>
        <w:rPr>
          <w:rFonts w:eastAsiaTheme="minorEastAsia"/>
        </w:rPr>
        <w:fldChar w:fldCharType="separate"/>
      </w:r>
      <w:r w:rsidR="00F84F98" w:rsidRPr="00F84F98">
        <w:t>1.</w:t>
      </w:r>
      <w:r w:rsidR="00F84F98" w:rsidRPr="00F84F98">
        <w:tab/>
        <w:t xml:space="preserve">Wang T, Ge K, Chen K, Hou C, Fang M. Theoretical studies on CO2 capture behavior of quaternary ammonium-based polymeric ionic liquids. </w:t>
      </w:r>
      <w:r w:rsidR="00F84F98" w:rsidRPr="00F84F98">
        <w:rPr>
          <w:i/>
        </w:rPr>
        <w:t>Physical Chemistry Chemical Physics</w:t>
      </w:r>
      <w:r w:rsidR="00F84F98" w:rsidRPr="00F84F98">
        <w:t xml:space="preserve"> </w:t>
      </w:r>
      <w:r w:rsidR="00F84F98" w:rsidRPr="00F84F98">
        <w:rPr>
          <w:b/>
        </w:rPr>
        <w:t>18</w:t>
      </w:r>
      <w:r w:rsidR="00F84F98" w:rsidRPr="00F84F98">
        <w:t>, 13084-13091 (2016).</w:t>
      </w:r>
    </w:p>
    <w:p w14:paraId="34282AC1" w14:textId="768826D4" w:rsidR="00F84F98" w:rsidRPr="00F84F98" w:rsidRDefault="00F84F98" w:rsidP="00F84F98">
      <w:pPr>
        <w:pStyle w:val="EndNoteBibliography"/>
        <w:ind w:left="720" w:hanging="720"/>
        <w:rPr>
          <w:rFonts w:eastAsiaTheme="minorEastAsia"/>
        </w:rPr>
      </w:pPr>
      <w:r w:rsidRPr="00F84F98">
        <w:t>2.</w:t>
      </w:r>
      <w:r w:rsidRPr="00F84F98">
        <w:tab/>
        <w:t xml:space="preserve">Matsuda M, Funabashi K, Nishi T, Yusa H, Kikuchi M. Decomposition of ion exchange resins by pyrolysis. </w:t>
      </w:r>
      <w:r w:rsidRPr="00F84F98">
        <w:rPr>
          <w:i/>
        </w:rPr>
        <w:t>Nuclear Technology</w:t>
      </w:r>
      <w:r w:rsidRPr="00F84F98">
        <w:t xml:space="preserve"> </w:t>
      </w:r>
      <w:r w:rsidRPr="00F84F98">
        <w:rPr>
          <w:b/>
        </w:rPr>
        <w:t>75</w:t>
      </w:r>
      <w:r w:rsidRPr="00F84F98">
        <w:t>, 187-192 (1986).</w:t>
      </w:r>
    </w:p>
    <w:p w14:paraId="39F27747" w14:textId="38C66249" w:rsidR="00F84F98" w:rsidRPr="00F84F98" w:rsidRDefault="00F84F98" w:rsidP="00F84F98">
      <w:pPr>
        <w:pStyle w:val="EndNoteBibliography"/>
        <w:ind w:left="720" w:hanging="720"/>
        <w:rPr>
          <w:rFonts w:eastAsiaTheme="minorEastAsia"/>
        </w:rPr>
      </w:pPr>
      <w:r w:rsidRPr="00F84F98">
        <w:t>3.</w:t>
      </w:r>
      <w:r w:rsidRPr="00F84F98">
        <w:tab/>
        <w:t xml:space="preserve">Amphlett JT, Ogden MD, Foster RI, Syna N, Soldenhoff K, Sharrad CA. Polyamine functionalised ion exchange resins: Synthesis, characterisation and uranyl uptake. </w:t>
      </w:r>
      <w:r w:rsidRPr="00F84F98">
        <w:rPr>
          <w:i/>
        </w:rPr>
        <w:t>Chemical Engineering Journal</w:t>
      </w:r>
      <w:r w:rsidRPr="00F84F98">
        <w:t xml:space="preserve"> </w:t>
      </w:r>
      <w:r w:rsidRPr="00F84F98">
        <w:rPr>
          <w:b/>
        </w:rPr>
        <w:t>334</w:t>
      </w:r>
      <w:r w:rsidRPr="00F84F98">
        <w:t>, 1361-1370 (2018).</w:t>
      </w:r>
    </w:p>
    <w:p w14:paraId="17CBFFA2" w14:textId="4CCEDEDE" w:rsidR="00F84F98" w:rsidRPr="00F84F98" w:rsidRDefault="00F84F98" w:rsidP="00F84F98">
      <w:pPr>
        <w:pStyle w:val="EndNoteBibliography"/>
        <w:ind w:left="720" w:hanging="720"/>
        <w:rPr>
          <w:rFonts w:eastAsiaTheme="minorEastAsia"/>
        </w:rPr>
      </w:pPr>
      <w:r w:rsidRPr="00F84F98">
        <w:t>4.</w:t>
      </w:r>
      <w:r w:rsidRPr="00F84F98">
        <w:tab/>
        <w:t>Galhoum AA</w:t>
      </w:r>
      <w:r w:rsidRPr="00F84F98">
        <w:rPr>
          <w:i/>
        </w:rPr>
        <w:t>, et al.</w:t>
      </w:r>
      <w:r w:rsidRPr="00F84F98">
        <w:t xml:space="preserve"> Synthesis of polyaminophosphonic acid-functionalized poly (glycidyl methacrylate) for the efficient sorption of La (III) and Y (III). </w:t>
      </w:r>
      <w:r w:rsidRPr="00F84F98">
        <w:rPr>
          <w:i/>
        </w:rPr>
        <w:t>Chemical Engineering Journal</w:t>
      </w:r>
      <w:r w:rsidRPr="00F84F98">
        <w:t xml:space="preserve"> </w:t>
      </w:r>
      <w:r w:rsidRPr="00F84F98">
        <w:rPr>
          <w:b/>
        </w:rPr>
        <w:t>375</w:t>
      </w:r>
      <w:r w:rsidRPr="00F84F98">
        <w:t>, 121932 (2019).</w:t>
      </w:r>
    </w:p>
    <w:p w14:paraId="0B8B08F4" w14:textId="1B1CBF4F" w:rsidR="00F84F98" w:rsidRPr="00F84F98" w:rsidRDefault="00F84F98" w:rsidP="00F84F98">
      <w:pPr>
        <w:pStyle w:val="EndNoteBibliography"/>
        <w:ind w:left="720" w:hanging="720"/>
        <w:rPr>
          <w:rFonts w:eastAsiaTheme="minorEastAsia"/>
        </w:rPr>
      </w:pPr>
      <w:r w:rsidRPr="00F84F98">
        <w:t>5.</w:t>
      </w:r>
      <w:r w:rsidRPr="00F84F98">
        <w:tab/>
        <w:t xml:space="preserve">Chen Y, Qi Y, Liu B. Polyacrylic acid functionalized nanographene as a nanocarrier for loading and controlled release of doxorubicin hydrochloride. </w:t>
      </w:r>
      <w:r w:rsidRPr="00F84F98">
        <w:rPr>
          <w:i/>
        </w:rPr>
        <w:t>Journal of Nanomaterials</w:t>
      </w:r>
      <w:r w:rsidRPr="00F84F98">
        <w:t xml:space="preserve"> </w:t>
      </w:r>
      <w:r w:rsidRPr="00F84F98">
        <w:rPr>
          <w:b/>
        </w:rPr>
        <w:t>2013</w:t>
      </w:r>
      <w:r w:rsidRPr="00F84F98">
        <w:t>, 16-16 (2013).</w:t>
      </w:r>
    </w:p>
    <w:p w14:paraId="4761D54E" w14:textId="77777777" w:rsidR="00F84F98" w:rsidRPr="00F84F98" w:rsidRDefault="00F84F98" w:rsidP="00F84F98">
      <w:pPr>
        <w:pStyle w:val="EndNoteBibliography"/>
        <w:ind w:left="720" w:hanging="720"/>
      </w:pPr>
      <w:r w:rsidRPr="00F84F98">
        <w:t>6.</w:t>
      </w:r>
      <w:r w:rsidRPr="00F84F98">
        <w:tab/>
        <w:t xml:space="preserve">Tai Z, Yang J, Qi Y, Yan X, Xue Q. Synthesis of a graphene oxide–polyacrylic acid nanocomposite hydrogel and its swelling and electroresponsive properties. </w:t>
      </w:r>
      <w:r w:rsidRPr="00F84F98">
        <w:rPr>
          <w:i/>
        </w:rPr>
        <w:t>Rsc Advances</w:t>
      </w:r>
      <w:r w:rsidRPr="00F84F98">
        <w:t xml:space="preserve"> </w:t>
      </w:r>
      <w:r w:rsidRPr="00F84F98">
        <w:rPr>
          <w:b/>
        </w:rPr>
        <w:t>3</w:t>
      </w:r>
      <w:r w:rsidRPr="00F84F98">
        <w:t>, 12751-12757 (2013).</w:t>
      </w:r>
    </w:p>
    <w:p w14:paraId="49E99F3E" w14:textId="77777777" w:rsidR="00F84F98" w:rsidRPr="00F84F98" w:rsidRDefault="00F84F98" w:rsidP="00F84F98">
      <w:pPr>
        <w:pStyle w:val="EndNoteBibliography"/>
      </w:pPr>
    </w:p>
    <w:p w14:paraId="54038B98" w14:textId="0F40F452" w:rsidR="00E3286C" w:rsidRDefault="002961E1" w:rsidP="00E3286C">
      <w:pPr>
        <w:spacing w:line="288" w:lineRule="auto"/>
        <w:rPr>
          <w:rFonts w:eastAsiaTheme="minorEastAsia"/>
        </w:rPr>
      </w:pPr>
      <w:r>
        <w:rPr>
          <w:rFonts w:eastAsiaTheme="minorEastAsia"/>
        </w:rPr>
        <w:fldChar w:fldCharType="end"/>
      </w:r>
    </w:p>
    <w:sectPr w:rsidR="00E3286C" w:rsidSect="00DC6B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DFE7" w14:textId="77777777" w:rsidR="00C4210C" w:rsidRDefault="00C4210C" w:rsidP="00184298">
      <w:pPr>
        <w:spacing w:line="240" w:lineRule="auto"/>
        <w:ind w:firstLine="207"/>
      </w:pPr>
      <w:r>
        <w:separator/>
      </w:r>
    </w:p>
  </w:endnote>
  <w:endnote w:type="continuationSeparator" w:id="0">
    <w:p w14:paraId="1F3B916C" w14:textId="77777777" w:rsidR="00C4210C" w:rsidRDefault="00C4210C" w:rsidP="00184298">
      <w:pPr>
        <w:spacing w:line="240" w:lineRule="auto"/>
        <w:ind w:firstLine="2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liverBL">
    <w:altName w:val="Cambria"/>
    <w:panose1 w:val="00000000000000000000"/>
    <w:charset w:val="00"/>
    <w:family w:val="roman"/>
    <w:notTrueType/>
    <w:pitch w:val="default"/>
  </w:font>
  <w:font w:name="GulliverRM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F33D" w14:textId="77777777" w:rsidR="00184298" w:rsidRDefault="00184298">
    <w:pPr>
      <w:pStyle w:val="a7"/>
      <w:ind w:firstLine="16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905722"/>
      <w:docPartObj>
        <w:docPartGallery w:val="Page Numbers (Bottom of Page)"/>
        <w:docPartUnique/>
      </w:docPartObj>
    </w:sdtPr>
    <w:sdtContent>
      <w:p w14:paraId="31C2C84F" w14:textId="671E3AF0" w:rsidR="00140D97" w:rsidRDefault="00140D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21FDAF" w14:textId="77777777" w:rsidR="00184298" w:rsidRDefault="00184298">
    <w:pPr>
      <w:pStyle w:val="a7"/>
      <w:ind w:firstLine="16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953F" w14:textId="77777777" w:rsidR="00184298" w:rsidRDefault="00184298">
    <w:pPr>
      <w:pStyle w:val="a7"/>
      <w:ind w:firstLine="1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223E" w14:textId="77777777" w:rsidR="00C4210C" w:rsidRDefault="00C4210C" w:rsidP="00184298">
      <w:pPr>
        <w:spacing w:line="240" w:lineRule="auto"/>
        <w:ind w:firstLine="207"/>
      </w:pPr>
      <w:r>
        <w:separator/>
      </w:r>
    </w:p>
  </w:footnote>
  <w:footnote w:type="continuationSeparator" w:id="0">
    <w:p w14:paraId="22E24811" w14:textId="77777777" w:rsidR="00C4210C" w:rsidRDefault="00C4210C" w:rsidP="00184298">
      <w:pPr>
        <w:spacing w:line="240" w:lineRule="auto"/>
        <w:ind w:firstLine="207"/>
      </w:pPr>
      <w:r>
        <w:continuationSeparator/>
      </w:r>
    </w:p>
  </w:footnote>
  <w:footnote w:id="1">
    <w:p w14:paraId="5AB3E5E9" w14:textId="4ADA656A" w:rsidR="00255C98" w:rsidRPr="008F71AB" w:rsidRDefault="00255C98" w:rsidP="00255C98">
      <w:pPr>
        <w:pStyle w:val="aa"/>
        <w:ind w:firstLine="188"/>
        <w:rPr>
          <w:rFonts w:eastAsiaTheme="minorEastAsia"/>
          <w:sz w:val="20"/>
        </w:rPr>
      </w:pPr>
      <w:r w:rsidRPr="00EA1784">
        <w:rPr>
          <w:rStyle w:val="ac"/>
          <w:sz w:val="20"/>
        </w:rPr>
        <w:sym w:font="Symbol" w:char="F02A"/>
      </w:r>
      <w:r w:rsidRPr="00EA1784">
        <w:rPr>
          <w:sz w:val="20"/>
        </w:rPr>
        <w:t xml:space="preserve"> </w:t>
      </w:r>
      <w:r>
        <w:rPr>
          <w:sz w:val="20"/>
        </w:rPr>
        <w:t>Corresponding author.</w:t>
      </w:r>
      <w:r w:rsidRPr="00F25595">
        <w:rPr>
          <w:sz w:val="20"/>
        </w:rPr>
        <w:t xml:space="preserve"> </w:t>
      </w:r>
      <w:hyperlink r:id="rId1" w:history="1">
        <w:r w:rsidR="003A6475" w:rsidRPr="00B507F2">
          <w:rPr>
            <w:rStyle w:val="a9"/>
            <w:sz w:val="20"/>
          </w:rPr>
          <w:t>yanchen@xjtu.edu.cn</w:t>
        </w:r>
      </w:hyperlink>
      <w:r w:rsidRPr="008F71AB">
        <w:rPr>
          <w:color w:val="0000FF"/>
          <w:sz w:val="20"/>
          <w:szCs w:val="20"/>
        </w:rPr>
        <w:t xml:space="preserve"> (Y. Chen)</w:t>
      </w:r>
      <w:r w:rsidRPr="008F71AB">
        <w:rPr>
          <w:sz w:val="20"/>
        </w:rPr>
        <w:t>;</w:t>
      </w:r>
      <w:r w:rsidRPr="008F71AB">
        <w:t xml:space="preserve"> </w:t>
      </w:r>
      <w:hyperlink r:id="rId2" w:history="1">
        <w:r w:rsidRPr="008F71AB">
          <w:rPr>
            <w:rStyle w:val="a9"/>
            <w:sz w:val="20"/>
            <w:szCs w:val="20"/>
          </w:rPr>
          <w:t>Liyuan.Deng@ntnu.no</w:t>
        </w:r>
      </w:hyperlink>
      <w:r w:rsidRPr="008F71AB">
        <w:rPr>
          <w:color w:val="0000FF"/>
          <w:sz w:val="20"/>
          <w:szCs w:val="20"/>
        </w:rPr>
        <w:t xml:space="preserve"> (L. Deng)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B59A" w14:textId="77777777" w:rsidR="00184298" w:rsidRDefault="00184298">
    <w:pPr>
      <w:pStyle w:val="a5"/>
      <w:ind w:firstLine="1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CEA4" w14:textId="77777777" w:rsidR="00184298" w:rsidRPr="00184298" w:rsidRDefault="00184298" w:rsidP="00184298">
    <w:pPr>
      <w:ind w:left="20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2E97" w14:textId="77777777" w:rsidR="00184298" w:rsidRDefault="00184298">
    <w:pPr>
      <w:pStyle w:val="a5"/>
      <w:ind w:firstLine="16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1CC7"/>
    <w:multiLevelType w:val="multilevel"/>
    <w:tmpl w:val="064AC872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418" w:hanging="418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5750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NDc1MTaxNDc0MzZS0lEKTi0uzszPAykwrgUAY4qFNCwAAAA="/>
    <w:docVar w:name="EN.Layout" w:val="&lt;ENLayout&gt;&lt;Style&gt;Nature Communications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efvfdve1ssez9e9pvr5tz9q2rsvtf2rzrza&quot;&gt;allwxr&lt;record-ids&gt;&lt;item&gt;89&lt;/item&gt;&lt;item&gt;434&lt;/item&gt;&lt;item&gt;435&lt;/item&gt;&lt;item&gt;439&lt;/item&gt;&lt;item&gt;456&lt;/item&gt;&lt;item&gt;457&lt;/item&gt;&lt;/record-ids&gt;&lt;/item&gt;&lt;/Libraries&gt;"/>
  </w:docVars>
  <w:rsids>
    <w:rsidRoot w:val="004A4033"/>
    <w:rsid w:val="0000147A"/>
    <w:rsid w:val="00006292"/>
    <w:rsid w:val="000075AB"/>
    <w:rsid w:val="00011423"/>
    <w:rsid w:val="00016EA4"/>
    <w:rsid w:val="00017EF9"/>
    <w:rsid w:val="00027794"/>
    <w:rsid w:val="00030B5C"/>
    <w:rsid w:val="0003527F"/>
    <w:rsid w:val="00056E95"/>
    <w:rsid w:val="0006465C"/>
    <w:rsid w:val="000A0967"/>
    <w:rsid w:val="000A6368"/>
    <w:rsid w:val="000C5091"/>
    <w:rsid w:val="000D078B"/>
    <w:rsid w:val="000E6FAD"/>
    <w:rsid w:val="001116DE"/>
    <w:rsid w:val="00120B34"/>
    <w:rsid w:val="001253C7"/>
    <w:rsid w:val="00140D97"/>
    <w:rsid w:val="00143BBA"/>
    <w:rsid w:val="001616A3"/>
    <w:rsid w:val="00162A31"/>
    <w:rsid w:val="001663FE"/>
    <w:rsid w:val="001808FC"/>
    <w:rsid w:val="00184298"/>
    <w:rsid w:val="00186FFD"/>
    <w:rsid w:val="00195455"/>
    <w:rsid w:val="001A1D6C"/>
    <w:rsid w:val="001A3828"/>
    <w:rsid w:val="001C48E9"/>
    <w:rsid w:val="001D2292"/>
    <w:rsid w:val="001D6EDA"/>
    <w:rsid w:val="001F3E7F"/>
    <w:rsid w:val="0020157E"/>
    <w:rsid w:val="002147D1"/>
    <w:rsid w:val="00215D71"/>
    <w:rsid w:val="00230598"/>
    <w:rsid w:val="002362DA"/>
    <w:rsid w:val="00255C98"/>
    <w:rsid w:val="00281E93"/>
    <w:rsid w:val="002961E1"/>
    <w:rsid w:val="002C38EF"/>
    <w:rsid w:val="002C7DE1"/>
    <w:rsid w:val="002D6EFA"/>
    <w:rsid w:val="002E1E79"/>
    <w:rsid w:val="002E3755"/>
    <w:rsid w:val="002E799A"/>
    <w:rsid w:val="00320B0C"/>
    <w:rsid w:val="00334762"/>
    <w:rsid w:val="003419B3"/>
    <w:rsid w:val="00345582"/>
    <w:rsid w:val="003607DB"/>
    <w:rsid w:val="003956F3"/>
    <w:rsid w:val="003A5506"/>
    <w:rsid w:val="003A6475"/>
    <w:rsid w:val="003B2110"/>
    <w:rsid w:val="003B4CEF"/>
    <w:rsid w:val="003B596B"/>
    <w:rsid w:val="003D36AF"/>
    <w:rsid w:val="00402208"/>
    <w:rsid w:val="00410577"/>
    <w:rsid w:val="00423141"/>
    <w:rsid w:val="00465EE7"/>
    <w:rsid w:val="0048269C"/>
    <w:rsid w:val="00482C14"/>
    <w:rsid w:val="004905F9"/>
    <w:rsid w:val="00491872"/>
    <w:rsid w:val="0049470D"/>
    <w:rsid w:val="004A4033"/>
    <w:rsid w:val="004B053F"/>
    <w:rsid w:val="004B70D5"/>
    <w:rsid w:val="004C08B3"/>
    <w:rsid w:val="004C3963"/>
    <w:rsid w:val="004E69D0"/>
    <w:rsid w:val="00506CA8"/>
    <w:rsid w:val="00516AD7"/>
    <w:rsid w:val="0055369A"/>
    <w:rsid w:val="00556354"/>
    <w:rsid w:val="00573DFF"/>
    <w:rsid w:val="00577904"/>
    <w:rsid w:val="00581781"/>
    <w:rsid w:val="005917E1"/>
    <w:rsid w:val="005A0FBA"/>
    <w:rsid w:val="005A6F2E"/>
    <w:rsid w:val="005B3C6A"/>
    <w:rsid w:val="005C7432"/>
    <w:rsid w:val="005F6906"/>
    <w:rsid w:val="00607DC7"/>
    <w:rsid w:val="00623E62"/>
    <w:rsid w:val="00634B71"/>
    <w:rsid w:val="0063582C"/>
    <w:rsid w:val="00646EE6"/>
    <w:rsid w:val="00650F9B"/>
    <w:rsid w:val="006530F9"/>
    <w:rsid w:val="006553F9"/>
    <w:rsid w:val="00657FD1"/>
    <w:rsid w:val="00661ED4"/>
    <w:rsid w:val="0067154E"/>
    <w:rsid w:val="00680D07"/>
    <w:rsid w:val="00683088"/>
    <w:rsid w:val="0068315E"/>
    <w:rsid w:val="0069148D"/>
    <w:rsid w:val="006A1C21"/>
    <w:rsid w:val="006B1E7E"/>
    <w:rsid w:val="006B3F67"/>
    <w:rsid w:val="006B47E8"/>
    <w:rsid w:val="006C11CE"/>
    <w:rsid w:val="006C63CA"/>
    <w:rsid w:val="006D77DB"/>
    <w:rsid w:val="006E0528"/>
    <w:rsid w:val="006F0DB9"/>
    <w:rsid w:val="006F6783"/>
    <w:rsid w:val="006F6E44"/>
    <w:rsid w:val="006F7CBF"/>
    <w:rsid w:val="00720548"/>
    <w:rsid w:val="00733A4E"/>
    <w:rsid w:val="007504AF"/>
    <w:rsid w:val="0076794E"/>
    <w:rsid w:val="00772BEE"/>
    <w:rsid w:val="0078228F"/>
    <w:rsid w:val="0078375B"/>
    <w:rsid w:val="00794847"/>
    <w:rsid w:val="007B4054"/>
    <w:rsid w:val="007D183A"/>
    <w:rsid w:val="008155F2"/>
    <w:rsid w:val="0082225D"/>
    <w:rsid w:val="00823058"/>
    <w:rsid w:val="00831AAF"/>
    <w:rsid w:val="00832A4C"/>
    <w:rsid w:val="00835A3E"/>
    <w:rsid w:val="00840306"/>
    <w:rsid w:val="00856B08"/>
    <w:rsid w:val="00857EBB"/>
    <w:rsid w:val="00862B39"/>
    <w:rsid w:val="008862AB"/>
    <w:rsid w:val="00892533"/>
    <w:rsid w:val="008D2211"/>
    <w:rsid w:val="008D5A3A"/>
    <w:rsid w:val="008E297B"/>
    <w:rsid w:val="008E2D2F"/>
    <w:rsid w:val="008F518B"/>
    <w:rsid w:val="008F6CA8"/>
    <w:rsid w:val="0090232D"/>
    <w:rsid w:val="00910855"/>
    <w:rsid w:val="00921813"/>
    <w:rsid w:val="0092449E"/>
    <w:rsid w:val="00932AA8"/>
    <w:rsid w:val="009345E9"/>
    <w:rsid w:val="009400D4"/>
    <w:rsid w:val="00943DAA"/>
    <w:rsid w:val="00967698"/>
    <w:rsid w:val="00972F37"/>
    <w:rsid w:val="00973759"/>
    <w:rsid w:val="009839BF"/>
    <w:rsid w:val="009A26A8"/>
    <w:rsid w:val="009B04DC"/>
    <w:rsid w:val="009B1438"/>
    <w:rsid w:val="009B64D1"/>
    <w:rsid w:val="009F1A36"/>
    <w:rsid w:val="009F1FBC"/>
    <w:rsid w:val="00A02AB1"/>
    <w:rsid w:val="00A05D67"/>
    <w:rsid w:val="00A07771"/>
    <w:rsid w:val="00A25811"/>
    <w:rsid w:val="00A50CA9"/>
    <w:rsid w:val="00A530CE"/>
    <w:rsid w:val="00A60EE0"/>
    <w:rsid w:val="00A80E2F"/>
    <w:rsid w:val="00A9017B"/>
    <w:rsid w:val="00AA03E4"/>
    <w:rsid w:val="00AA199E"/>
    <w:rsid w:val="00AA4B58"/>
    <w:rsid w:val="00AB2FA1"/>
    <w:rsid w:val="00AB6ACC"/>
    <w:rsid w:val="00AD3B81"/>
    <w:rsid w:val="00AD5211"/>
    <w:rsid w:val="00AF223A"/>
    <w:rsid w:val="00B02F12"/>
    <w:rsid w:val="00B07269"/>
    <w:rsid w:val="00B101BD"/>
    <w:rsid w:val="00B3137D"/>
    <w:rsid w:val="00B47B6A"/>
    <w:rsid w:val="00B526F3"/>
    <w:rsid w:val="00B54E19"/>
    <w:rsid w:val="00B61A86"/>
    <w:rsid w:val="00B66709"/>
    <w:rsid w:val="00B70A5D"/>
    <w:rsid w:val="00B9437C"/>
    <w:rsid w:val="00BA4AB8"/>
    <w:rsid w:val="00BF1C34"/>
    <w:rsid w:val="00BF1FAC"/>
    <w:rsid w:val="00C006C6"/>
    <w:rsid w:val="00C0740F"/>
    <w:rsid w:val="00C32DF1"/>
    <w:rsid w:val="00C4210C"/>
    <w:rsid w:val="00C4675C"/>
    <w:rsid w:val="00C63595"/>
    <w:rsid w:val="00C81680"/>
    <w:rsid w:val="00CA03A3"/>
    <w:rsid w:val="00CA4284"/>
    <w:rsid w:val="00CC59FB"/>
    <w:rsid w:val="00CD1987"/>
    <w:rsid w:val="00CD2A46"/>
    <w:rsid w:val="00CE05A8"/>
    <w:rsid w:val="00CE5D09"/>
    <w:rsid w:val="00CF7F11"/>
    <w:rsid w:val="00D1175A"/>
    <w:rsid w:val="00D1263C"/>
    <w:rsid w:val="00D17BD2"/>
    <w:rsid w:val="00D236CA"/>
    <w:rsid w:val="00D3585E"/>
    <w:rsid w:val="00D54D4F"/>
    <w:rsid w:val="00D62092"/>
    <w:rsid w:val="00D62B4A"/>
    <w:rsid w:val="00D65295"/>
    <w:rsid w:val="00D758D4"/>
    <w:rsid w:val="00D92FD6"/>
    <w:rsid w:val="00DA2481"/>
    <w:rsid w:val="00DA3CAC"/>
    <w:rsid w:val="00DA40FA"/>
    <w:rsid w:val="00DC64FE"/>
    <w:rsid w:val="00DC6BE7"/>
    <w:rsid w:val="00DD5C56"/>
    <w:rsid w:val="00DE131A"/>
    <w:rsid w:val="00E06591"/>
    <w:rsid w:val="00E21E76"/>
    <w:rsid w:val="00E271C9"/>
    <w:rsid w:val="00E32185"/>
    <w:rsid w:val="00E3286C"/>
    <w:rsid w:val="00E35351"/>
    <w:rsid w:val="00E45989"/>
    <w:rsid w:val="00E46667"/>
    <w:rsid w:val="00E47188"/>
    <w:rsid w:val="00E5124C"/>
    <w:rsid w:val="00E533ED"/>
    <w:rsid w:val="00E5566A"/>
    <w:rsid w:val="00E556F5"/>
    <w:rsid w:val="00E752FC"/>
    <w:rsid w:val="00E82EEB"/>
    <w:rsid w:val="00E9200C"/>
    <w:rsid w:val="00EA3BBD"/>
    <w:rsid w:val="00EA48B9"/>
    <w:rsid w:val="00EA67FE"/>
    <w:rsid w:val="00EB7BB9"/>
    <w:rsid w:val="00EC524B"/>
    <w:rsid w:val="00ED609B"/>
    <w:rsid w:val="00ED6263"/>
    <w:rsid w:val="00EE4A73"/>
    <w:rsid w:val="00EE7DF4"/>
    <w:rsid w:val="00F00C4C"/>
    <w:rsid w:val="00F0152A"/>
    <w:rsid w:val="00F10A01"/>
    <w:rsid w:val="00F147CE"/>
    <w:rsid w:val="00F200D2"/>
    <w:rsid w:val="00F25678"/>
    <w:rsid w:val="00F37ADE"/>
    <w:rsid w:val="00F542DB"/>
    <w:rsid w:val="00F84F98"/>
    <w:rsid w:val="00F90368"/>
    <w:rsid w:val="00F92F2A"/>
    <w:rsid w:val="00FA22FF"/>
    <w:rsid w:val="00FB17B8"/>
    <w:rsid w:val="00FB2C76"/>
    <w:rsid w:val="00FC2392"/>
    <w:rsid w:val="00FE1A45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5C0A1"/>
  <w15:chartTrackingRefBased/>
  <w15:docId w15:val="{F4E189AB-CE02-4B6D-A616-073430B7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color w:val="000000" w:themeColor="text1"/>
        <w:kern w:val="2"/>
        <w:sz w:val="24"/>
        <w:szCs w:val="24"/>
        <w:lang w:val="en-US" w:eastAsia="zh-CN" w:bidi="ar-SA"/>
      </w:rPr>
    </w:rPrDefault>
    <w:pPrDefault>
      <w:pPr>
        <w:spacing w:line="288" w:lineRule="auto"/>
        <w:ind w:firstLineChars="200" w:firstLine="19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298"/>
    <w:pPr>
      <w:spacing w:line="360" w:lineRule="auto"/>
      <w:ind w:firstLineChars="0" w:firstLine="0"/>
    </w:pPr>
    <w:rPr>
      <w:rFonts w:eastAsia="Times New Roman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6368"/>
    <w:pPr>
      <w:keepNext/>
      <w:keepLines/>
      <w:outlineLvl w:val="1"/>
    </w:pPr>
    <w:rPr>
      <w:rFonts w:eastAsiaTheme="majorEastAsia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236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ormal2"/>
    <w:uiPriority w:val="1"/>
    <w:qFormat/>
    <w:rsid w:val="00345582"/>
  </w:style>
  <w:style w:type="table" w:styleId="a4">
    <w:name w:val="Table Grid"/>
    <w:basedOn w:val="a1"/>
    <w:uiPriority w:val="39"/>
    <w:rsid w:val="007948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4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4298"/>
    <w:rPr>
      <w:rFonts w:eastAsia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8429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4298"/>
    <w:rPr>
      <w:rFonts w:eastAsia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184298"/>
    <w:rPr>
      <w:color w:val="0000FF"/>
      <w:u w:val="single"/>
    </w:rPr>
  </w:style>
  <w:style w:type="paragraph" w:styleId="aa">
    <w:name w:val="footnote text"/>
    <w:basedOn w:val="a"/>
    <w:link w:val="ab"/>
    <w:uiPriority w:val="99"/>
    <w:unhideWhenUsed/>
    <w:rsid w:val="00184298"/>
    <w:pPr>
      <w:widowControl w:val="0"/>
      <w:snapToGrid w:val="0"/>
      <w:spacing w:line="240" w:lineRule="auto"/>
      <w:jc w:val="left"/>
    </w:pPr>
    <w:rPr>
      <w:rFonts w:cs="Times New Roman"/>
      <w:color w:val="000000"/>
      <w:sz w:val="18"/>
      <w:szCs w:val="18"/>
    </w:rPr>
  </w:style>
  <w:style w:type="character" w:customStyle="1" w:styleId="ab">
    <w:name w:val="脚注文本 字符"/>
    <w:basedOn w:val="a0"/>
    <w:link w:val="aa"/>
    <w:uiPriority w:val="99"/>
    <w:rsid w:val="00184298"/>
    <w:rPr>
      <w:rFonts w:eastAsia="Times New Roman" w:cs="Times New Roman"/>
      <w:color w:val="000000"/>
      <w:sz w:val="18"/>
      <w:szCs w:val="18"/>
    </w:rPr>
  </w:style>
  <w:style w:type="character" w:styleId="ac">
    <w:name w:val="footnote reference"/>
    <w:uiPriority w:val="99"/>
    <w:semiHidden/>
    <w:unhideWhenUsed/>
    <w:rsid w:val="00184298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5F6906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5F6906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5F6906"/>
    <w:rPr>
      <w:rFonts w:eastAsia="Times New Roman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906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F6906"/>
    <w:rPr>
      <w:rFonts w:eastAsia="Times New Roman"/>
      <w:b/>
      <w:bCs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5F6906"/>
    <w:pPr>
      <w:spacing w:line="240" w:lineRule="auto"/>
    </w:pPr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5F6906"/>
    <w:rPr>
      <w:rFonts w:eastAsia="Times New Roman"/>
      <w:sz w:val="18"/>
      <w:szCs w:val="18"/>
    </w:rPr>
  </w:style>
  <w:style w:type="character" w:customStyle="1" w:styleId="fontstyle01">
    <w:name w:val="fontstyle01"/>
    <w:basedOn w:val="a0"/>
    <w:rsid w:val="00E35351"/>
    <w:rPr>
      <w:rFonts w:ascii="GulliverBL" w:hAnsi="GulliverBL" w:hint="default"/>
      <w:b/>
      <w:bCs/>
      <w:i w:val="0"/>
      <w:iCs w:val="0"/>
      <w:color w:val="000000"/>
      <w:sz w:val="14"/>
      <w:szCs w:val="14"/>
    </w:rPr>
  </w:style>
  <w:style w:type="paragraph" w:styleId="af4">
    <w:name w:val="Revision"/>
    <w:hidden/>
    <w:uiPriority w:val="99"/>
    <w:semiHidden/>
    <w:rsid w:val="001663FE"/>
    <w:pPr>
      <w:spacing w:line="240" w:lineRule="auto"/>
      <w:ind w:firstLineChars="0" w:firstLine="0"/>
      <w:jc w:val="left"/>
    </w:pPr>
    <w:rPr>
      <w:rFonts w:eastAsia="Times New Roman"/>
      <w:sz w:val="22"/>
    </w:rPr>
  </w:style>
  <w:style w:type="paragraph" w:customStyle="1" w:styleId="EndNoteBibliographyTitle">
    <w:name w:val="EndNote Bibliography Title"/>
    <w:basedOn w:val="a"/>
    <w:link w:val="EndNoteBibliographyTitleChar"/>
    <w:rsid w:val="00320B0C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320B0C"/>
    <w:rPr>
      <w:rFonts w:eastAsia="Times New Roman" w:cs="Times New Roman"/>
      <w:noProof/>
      <w:sz w:val="22"/>
    </w:rPr>
  </w:style>
  <w:style w:type="paragraph" w:customStyle="1" w:styleId="EndNoteBibliography">
    <w:name w:val="EndNote Bibliography"/>
    <w:basedOn w:val="a"/>
    <w:link w:val="EndNoteBibliographyChar"/>
    <w:rsid w:val="00320B0C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a0"/>
    <w:link w:val="EndNoteBibliography"/>
    <w:rsid w:val="00320B0C"/>
    <w:rPr>
      <w:rFonts w:eastAsia="Times New Roman" w:cs="Times New Roman"/>
      <w:noProof/>
      <w:sz w:val="22"/>
    </w:rPr>
  </w:style>
  <w:style w:type="character" w:customStyle="1" w:styleId="fontstyle21">
    <w:name w:val="fontstyle21"/>
    <w:basedOn w:val="a0"/>
    <w:rsid w:val="006F6E44"/>
    <w:rPr>
      <w:rFonts w:ascii="GulliverRM" w:hAnsi="GulliverRM" w:hint="default"/>
      <w:b w:val="0"/>
      <w:bCs w:val="0"/>
      <w:i w:val="0"/>
      <w:iCs w:val="0"/>
      <w:color w:val="000000"/>
      <w:sz w:val="14"/>
      <w:szCs w:val="14"/>
    </w:rPr>
  </w:style>
  <w:style w:type="paragraph" w:styleId="af5">
    <w:name w:val="caption"/>
    <w:basedOn w:val="a"/>
    <w:next w:val="a"/>
    <w:uiPriority w:val="35"/>
    <w:unhideWhenUsed/>
    <w:qFormat/>
    <w:rsid w:val="00C006C6"/>
    <w:pPr>
      <w:spacing w:after="200" w:line="240" w:lineRule="auto"/>
    </w:pPr>
    <w:rPr>
      <w:rFonts w:eastAsia="SimSun" w:cs="Times New Roman"/>
      <w:i/>
      <w:iCs/>
      <w:color w:val="44546A" w:themeColor="text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A6368"/>
    <w:rPr>
      <w:rFonts w:eastAsiaTheme="majorEastAsia" w:cstheme="majorBidi"/>
      <w:b/>
      <w:bCs/>
      <w:szCs w:val="32"/>
    </w:rPr>
  </w:style>
  <w:style w:type="paragraph" w:styleId="af6">
    <w:name w:val="List Paragraph"/>
    <w:basedOn w:val="a"/>
    <w:uiPriority w:val="34"/>
    <w:qFormat/>
    <w:rsid w:val="00506CA8"/>
    <w:pPr>
      <w:ind w:firstLineChars="200" w:firstLine="420"/>
    </w:pPr>
    <w:rPr>
      <w:rFonts w:eastAsia="SimSun" w:cs="Times New Roman"/>
    </w:rPr>
  </w:style>
  <w:style w:type="character" w:customStyle="1" w:styleId="30">
    <w:name w:val="标题 3 字符"/>
    <w:basedOn w:val="a0"/>
    <w:link w:val="3"/>
    <w:uiPriority w:val="9"/>
    <w:rsid w:val="00D236C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f7">
    <w:name w:val="line number"/>
    <w:basedOn w:val="a0"/>
    <w:uiPriority w:val="99"/>
    <w:semiHidden/>
    <w:unhideWhenUsed/>
    <w:rsid w:val="0025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tif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Liyuan.Deng@ntnu.no" TargetMode="External"/><Relationship Id="rId1" Type="http://schemas.openxmlformats.org/officeDocument/2006/relationships/hyperlink" Target="mailto:yanchen@xjt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DA3C-727A-4422-96E7-A4D57E60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Xueru Wang</dc:creator>
  <cp:keywords/>
  <dc:description/>
  <cp:lastModifiedBy>Xueru Wang</cp:lastModifiedBy>
  <cp:revision>3</cp:revision>
  <cp:lastPrinted>2023-11-20T09:21:00Z</cp:lastPrinted>
  <dcterms:created xsi:type="dcterms:W3CDTF">2023-11-20T09:19:00Z</dcterms:created>
  <dcterms:modified xsi:type="dcterms:W3CDTF">2023-11-20T09:27:00Z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2c29df110671b56151780b82add604647c08c7be1eb4b42015a37c5ebfcf6de8</vt:lpwstr>
  </property>
</Properties>
</file>