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FFFB" w14:textId="77777777" w:rsidR="0050645B" w:rsidRPr="00F369F1" w:rsidRDefault="0050645B" w:rsidP="0050645B">
      <w:pPr>
        <w:pStyle w:val="Title"/>
        <w:rPr>
          <w:sz w:val="24"/>
          <w:szCs w:val="24"/>
        </w:rPr>
      </w:pPr>
      <w:r>
        <w:rPr>
          <w:sz w:val="24"/>
          <w:szCs w:val="24"/>
        </w:rPr>
        <w:t>List of additional files and supplementary materials</w:t>
      </w:r>
    </w:p>
    <w:p w14:paraId="55FEFB60" w14:textId="77777777" w:rsidR="0050645B" w:rsidRPr="00A43E0D" w:rsidRDefault="0050645B" w:rsidP="0050645B">
      <w:pPr>
        <w:spacing w:line="480" w:lineRule="auto"/>
        <w:rPr>
          <w:rFonts w:ascii="Times New Roman" w:hAnsi="Times New Roman"/>
          <w:b/>
          <w:sz w:val="20"/>
          <w:szCs w:val="20"/>
        </w:rPr>
      </w:pPr>
      <w:r w:rsidRPr="00A43E0D">
        <w:rPr>
          <w:rFonts w:ascii="Times New Roman" w:hAnsi="Times New Roman"/>
          <w:b/>
          <w:sz w:val="20"/>
          <w:szCs w:val="20"/>
        </w:rPr>
        <w:t xml:space="preserve">Additional </w:t>
      </w:r>
      <w:r>
        <w:rPr>
          <w:rFonts w:ascii="Times New Roman" w:hAnsi="Times New Roman"/>
          <w:b/>
          <w:sz w:val="20"/>
          <w:szCs w:val="20"/>
        </w:rPr>
        <w:t>f</w:t>
      </w:r>
      <w:r w:rsidRPr="00A43E0D">
        <w:rPr>
          <w:rFonts w:ascii="Times New Roman" w:hAnsi="Times New Roman"/>
          <w:b/>
          <w:sz w:val="20"/>
          <w:szCs w:val="20"/>
        </w:rPr>
        <w:t>iles</w:t>
      </w:r>
    </w:p>
    <w:p w14:paraId="31FE7EBF" w14:textId="77777777" w:rsidR="0050645B" w:rsidRDefault="0050645B" w:rsidP="0050645B">
      <w:pPr>
        <w:spacing w:line="480" w:lineRule="auto"/>
        <w:rPr>
          <w:rFonts w:ascii="Times New Roman" w:hAnsi="Times New Roman"/>
          <w:sz w:val="20"/>
          <w:szCs w:val="20"/>
        </w:rPr>
      </w:pPr>
      <w:r>
        <w:rPr>
          <w:rFonts w:ascii="Times New Roman" w:hAnsi="Times New Roman"/>
          <w:sz w:val="20"/>
          <w:szCs w:val="20"/>
        </w:rPr>
        <w:t>Additional File 1. The fasta file of all fungal AA3_2 sequences in full length</w:t>
      </w:r>
    </w:p>
    <w:p w14:paraId="0B513C4F" w14:textId="77777777" w:rsidR="0050645B" w:rsidRDefault="0050645B" w:rsidP="0050645B">
      <w:pPr>
        <w:spacing w:line="480" w:lineRule="auto"/>
        <w:rPr>
          <w:rFonts w:ascii="Times New Roman" w:hAnsi="Times New Roman"/>
          <w:sz w:val="20"/>
          <w:szCs w:val="20"/>
        </w:rPr>
      </w:pPr>
      <w:r>
        <w:rPr>
          <w:rFonts w:ascii="Times New Roman" w:hAnsi="Times New Roman"/>
          <w:sz w:val="20"/>
          <w:szCs w:val="20"/>
        </w:rPr>
        <w:t>Additional File 2. The fasta file of all fungal AA3_2 domain sequences</w:t>
      </w:r>
    </w:p>
    <w:p w14:paraId="46834AC9" w14:textId="77777777" w:rsidR="0050645B" w:rsidRDefault="0050645B" w:rsidP="0050645B">
      <w:pPr>
        <w:spacing w:line="480" w:lineRule="auto"/>
        <w:rPr>
          <w:rFonts w:ascii="Times New Roman" w:hAnsi="Times New Roman"/>
          <w:sz w:val="20"/>
          <w:szCs w:val="20"/>
        </w:rPr>
      </w:pPr>
      <w:r>
        <w:rPr>
          <w:rFonts w:ascii="Times New Roman" w:hAnsi="Times New Roman"/>
          <w:sz w:val="20"/>
          <w:szCs w:val="20"/>
        </w:rPr>
        <w:t>Additional File 3. The maximum likelihood tree of AA3_2s in Newick format</w:t>
      </w:r>
    </w:p>
    <w:p w14:paraId="35D8E1AE" w14:textId="77777777" w:rsidR="0050645B" w:rsidRDefault="0050645B" w:rsidP="0050645B">
      <w:pPr>
        <w:spacing w:line="480" w:lineRule="auto"/>
        <w:rPr>
          <w:rFonts w:ascii="Times New Roman" w:hAnsi="Times New Roman"/>
          <w:sz w:val="20"/>
          <w:szCs w:val="20"/>
          <w:lang w:val="fi-FI" w:eastAsia="zh-CN"/>
        </w:rPr>
      </w:pPr>
      <w:r>
        <w:rPr>
          <w:rFonts w:ascii="Times New Roman" w:hAnsi="Times New Roman"/>
          <w:sz w:val="20"/>
          <w:szCs w:val="20"/>
        </w:rPr>
        <w:t>Additional File 4. The maximum likelihood tree of sequences within AAO</w:t>
      </w:r>
      <w:r>
        <w:rPr>
          <w:rFonts w:ascii="Times New Roman" w:hAnsi="Times New Roman"/>
          <w:sz w:val="20"/>
          <w:szCs w:val="20"/>
          <w:lang w:val="fi-FI" w:eastAsia="zh-CN"/>
        </w:rPr>
        <w:t>/PDH clade in Newick format</w:t>
      </w:r>
    </w:p>
    <w:p w14:paraId="5C568FD3" w14:textId="77777777" w:rsidR="0050645B" w:rsidRPr="00796785" w:rsidRDefault="0050645B" w:rsidP="0050645B">
      <w:pPr>
        <w:spacing w:line="480" w:lineRule="auto"/>
        <w:rPr>
          <w:rFonts w:ascii="Times New Roman" w:hAnsi="Times New Roman"/>
          <w:sz w:val="20"/>
          <w:szCs w:val="20"/>
          <w:lang w:val="fi-FI" w:eastAsia="zh-CN"/>
        </w:rPr>
      </w:pPr>
      <w:r>
        <w:rPr>
          <w:rFonts w:ascii="Times New Roman" w:hAnsi="Times New Roman"/>
          <w:sz w:val="20"/>
          <w:szCs w:val="20"/>
          <w:lang w:val="fi-FI" w:eastAsia="zh-CN"/>
        </w:rPr>
        <w:t xml:space="preserve">Addtional File 5. </w:t>
      </w:r>
      <w:r>
        <w:rPr>
          <w:rFonts w:ascii="Times New Roman" w:hAnsi="Times New Roman"/>
          <w:sz w:val="20"/>
          <w:szCs w:val="20"/>
        </w:rPr>
        <w:t>The maximum likelihood tree of sequences within GDH/GOx</w:t>
      </w:r>
      <w:r>
        <w:rPr>
          <w:rFonts w:ascii="Times New Roman" w:hAnsi="Times New Roman"/>
          <w:sz w:val="20"/>
          <w:szCs w:val="20"/>
          <w:lang w:val="fi-FI" w:eastAsia="zh-CN"/>
        </w:rPr>
        <w:t xml:space="preserve"> clade in Newick format</w:t>
      </w:r>
    </w:p>
    <w:p w14:paraId="7FD873A8" w14:textId="77777777" w:rsidR="0050645B" w:rsidRPr="002A780F" w:rsidRDefault="0050645B" w:rsidP="0050645B">
      <w:pPr>
        <w:spacing w:line="480" w:lineRule="auto"/>
        <w:rPr>
          <w:rFonts w:ascii="Times New Roman" w:hAnsi="Times New Roman"/>
          <w:b/>
          <w:bCs/>
          <w:sz w:val="20"/>
          <w:szCs w:val="20"/>
        </w:rPr>
      </w:pPr>
      <w:r w:rsidRPr="00A43E0D">
        <w:rPr>
          <w:rFonts w:ascii="Times New Roman" w:hAnsi="Times New Roman"/>
          <w:b/>
          <w:bCs/>
          <w:sz w:val="20"/>
          <w:szCs w:val="20"/>
        </w:rPr>
        <w:t>Supplementary</w:t>
      </w:r>
      <w:r>
        <w:rPr>
          <w:rFonts w:ascii="Times New Roman" w:hAnsi="Times New Roman"/>
          <w:b/>
          <w:bCs/>
          <w:sz w:val="20"/>
          <w:szCs w:val="20"/>
        </w:rPr>
        <w:t xml:space="preserve"> file</w:t>
      </w:r>
      <w:r w:rsidRPr="00A43E0D">
        <w:rPr>
          <w:rFonts w:ascii="Times New Roman" w:hAnsi="Times New Roman"/>
          <w:b/>
          <w:bCs/>
          <w:sz w:val="20"/>
          <w:szCs w:val="20"/>
        </w:rPr>
        <w:t xml:space="preserve">: </w:t>
      </w:r>
    </w:p>
    <w:p w14:paraId="2DD9E45A" w14:textId="77777777" w:rsidR="0050645B" w:rsidRPr="00A43E0D" w:rsidRDefault="0050645B" w:rsidP="0050645B">
      <w:pPr>
        <w:spacing w:line="480" w:lineRule="auto"/>
        <w:rPr>
          <w:rFonts w:ascii="Times New Roman" w:hAnsi="Times New Roman"/>
          <w:sz w:val="20"/>
          <w:szCs w:val="20"/>
        </w:rPr>
      </w:pPr>
      <w:r>
        <w:rPr>
          <w:rFonts w:ascii="Times New Roman" w:hAnsi="Times New Roman"/>
          <w:sz w:val="20"/>
          <w:szCs w:val="20"/>
        </w:rPr>
        <w:t>Table S1</w:t>
      </w:r>
      <w:r w:rsidRPr="00A43E0D">
        <w:rPr>
          <w:rFonts w:ascii="Times New Roman" w:hAnsi="Times New Roman"/>
          <w:sz w:val="20"/>
          <w:szCs w:val="20"/>
        </w:rPr>
        <w:t>. List of the previously biochemically characterized proteins with the information of the database source, source organism, strain, protein activity, name, and the related publication</w:t>
      </w:r>
    </w:p>
    <w:p w14:paraId="1B1A0EF7" w14:textId="77777777" w:rsidR="0050645B" w:rsidRPr="00A43E0D" w:rsidRDefault="0050645B" w:rsidP="0050645B">
      <w:pPr>
        <w:spacing w:line="480" w:lineRule="auto"/>
        <w:rPr>
          <w:rFonts w:ascii="Times New Roman" w:hAnsi="Times New Roman"/>
          <w:sz w:val="20"/>
          <w:szCs w:val="20"/>
        </w:rPr>
      </w:pPr>
      <w:r>
        <w:rPr>
          <w:rFonts w:ascii="Times New Roman" w:hAnsi="Times New Roman"/>
          <w:sz w:val="20"/>
          <w:szCs w:val="20"/>
        </w:rPr>
        <w:t>Table S2</w:t>
      </w:r>
      <w:r w:rsidRPr="00A43E0D">
        <w:rPr>
          <w:rFonts w:ascii="Times New Roman" w:hAnsi="Times New Roman"/>
          <w:sz w:val="20"/>
          <w:szCs w:val="20"/>
        </w:rPr>
        <w:t>.</w:t>
      </w:r>
      <w:r>
        <w:rPr>
          <w:rFonts w:ascii="Times New Roman" w:hAnsi="Times New Roman"/>
          <w:sz w:val="20"/>
          <w:szCs w:val="20"/>
        </w:rPr>
        <w:t xml:space="preserve"> </w:t>
      </w:r>
      <w:r w:rsidRPr="00A43E0D">
        <w:rPr>
          <w:rFonts w:ascii="Times New Roman" w:hAnsi="Times New Roman"/>
          <w:sz w:val="20"/>
          <w:szCs w:val="20"/>
        </w:rPr>
        <w:t xml:space="preserve">The AA3_2 sequences that were selected in this study with the database source, organism, and the production status and the biochemical information. </w:t>
      </w:r>
    </w:p>
    <w:p w14:paraId="51BCCB08" w14:textId="77777777" w:rsidR="0050645B" w:rsidRPr="00A43E0D" w:rsidRDefault="0050645B" w:rsidP="0050645B">
      <w:pPr>
        <w:spacing w:line="480" w:lineRule="auto"/>
        <w:rPr>
          <w:rFonts w:ascii="Times New Roman" w:hAnsi="Times New Roman"/>
          <w:sz w:val="20"/>
          <w:szCs w:val="20"/>
        </w:rPr>
      </w:pPr>
      <w:r>
        <w:rPr>
          <w:rFonts w:ascii="Times New Roman" w:hAnsi="Times New Roman"/>
          <w:sz w:val="20"/>
          <w:szCs w:val="20"/>
        </w:rPr>
        <w:t>Table S3</w:t>
      </w:r>
      <w:r w:rsidRPr="00A43E0D">
        <w:rPr>
          <w:rFonts w:ascii="Times New Roman" w:hAnsi="Times New Roman"/>
          <w:sz w:val="20"/>
          <w:szCs w:val="20"/>
        </w:rPr>
        <w:t>.</w:t>
      </w:r>
      <w:r>
        <w:rPr>
          <w:rFonts w:ascii="Times New Roman" w:hAnsi="Times New Roman"/>
          <w:sz w:val="20"/>
          <w:szCs w:val="20"/>
        </w:rPr>
        <w:t xml:space="preserve"> </w:t>
      </w:r>
      <w:r w:rsidRPr="00A43E0D">
        <w:rPr>
          <w:rFonts w:ascii="Times New Roman" w:hAnsi="Times New Roman"/>
          <w:sz w:val="20"/>
          <w:szCs w:val="20"/>
        </w:rPr>
        <w:t>The list of substrates that were tested for the activity assays.</w:t>
      </w:r>
    </w:p>
    <w:p w14:paraId="52C5DFAD" w14:textId="77777777" w:rsidR="0050645B" w:rsidRPr="00A43E0D" w:rsidRDefault="0050645B" w:rsidP="0050645B">
      <w:pPr>
        <w:spacing w:line="480" w:lineRule="auto"/>
        <w:rPr>
          <w:rFonts w:ascii="Times New Roman" w:hAnsi="Times New Roman"/>
          <w:sz w:val="20"/>
          <w:szCs w:val="20"/>
        </w:rPr>
      </w:pPr>
      <w:r>
        <w:rPr>
          <w:rFonts w:ascii="Times New Roman" w:hAnsi="Times New Roman"/>
          <w:sz w:val="20"/>
          <w:szCs w:val="20"/>
        </w:rPr>
        <w:t>Table S4</w:t>
      </w:r>
      <w:r w:rsidRPr="00A43E0D">
        <w:rPr>
          <w:rFonts w:ascii="Times New Roman" w:hAnsi="Times New Roman"/>
          <w:sz w:val="20"/>
          <w:szCs w:val="20"/>
        </w:rPr>
        <w:t>.</w:t>
      </w:r>
      <w:r>
        <w:rPr>
          <w:rFonts w:ascii="Times New Roman" w:hAnsi="Times New Roman"/>
          <w:sz w:val="20"/>
          <w:szCs w:val="20"/>
        </w:rPr>
        <w:t xml:space="preserve"> </w:t>
      </w:r>
      <w:r w:rsidRPr="00A43E0D">
        <w:rPr>
          <w:rFonts w:ascii="Times New Roman" w:hAnsi="Times New Roman"/>
          <w:sz w:val="20"/>
          <w:szCs w:val="20"/>
        </w:rPr>
        <w:t xml:space="preserve">UPLC PDA retention time for each compound and the spectrum of each compound. </w:t>
      </w:r>
    </w:p>
    <w:p w14:paraId="0C22CDA9" w14:textId="77777777" w:rsidR="0050645B" w:rsidRPr="002F5FF7" w:rsidRDefault="0050645B" w:rsidP="0050645B">
      <w:pPr>
        <w:spacing w:before="120" w:after="240" w:line="480" w:lineRule="auto"/>
        <w:jc w:val="both"/>
        <w:rPr>
          <w:rFonts w:ascii="Times New Roman" w:hAnsi="Times New Roman"/>
          <w:sz w:val="20"/>
          <w:szCs w:val="20"/>
        </w:rPr>
      </w:pPr>
      <w:r w:rsidRPr="002F5FF7">
        <w:rPr>
          <w:rFonts w:ascii="Times New Roman" w:hAnsi="Times New Roman"/>
          <w:sz w:val="20"/>
          <w:szCs w:val="20"/>
        </w:rPr>
        <w:t>Table S</w:t>
      </w:r>
      <w:r>
        <w:rPr>
          <w:rFonts w:ascii="Times New Roman" w:hAnsi="Times New Roman"/>
          <w:sz w:val="20"/>
          <w:szCs w:val="20"/>
        </w:rPr>
        <w:t>5</w:t>
      </w:r>
      <w:r w:rsidRPr="002F5FF7">
        <w:rPr>
          <w:rFonts w:ascii="Times New Roman" w:hAnsi="Times New Roman"/>
          <w:sz w:val="20"/>
          <w:szCs w:val="20"/>
        </w:rPr>
        <w:t xml:space="preserve">. Substrate depletion by </w:t>
      </w:r>
      <w:r w:rsidRPr="001377FC">
        <w:rPr>
          <w:rFonts w:ascii="Times New Roman" w:hAnsi="Times New Roman"/>
          <w:i/>
          <w:iCs/>
          <w:sz w:val="20"/>
          <w:szCs w:val="20"/>
        </w:rPr>
        <w:t>Ki</w:t>
      </w:r>
      <w:r w:rsidRPr="002F5FF7">
        <w:rPr>
          <w:rFonts w:ascii="Times New Roman" w:hAnsi="Times New Roman"/>
          <w:sz w:val="20"/>
          <w:szCs w:val="20"/>
        </w:rPr>
        <w:t xml:space="preserve">OdhA followed by HPAEC-PAD after 24 </w:t>
      </w:r>
      <w:r>
        <w:rPr>
          <w:rFonts w:ascii="Times New Roman" w:hAnsi="Times New Roman"/>
          <w:sz w:val="20"/>
          <w:szCs w:val="20"/>
        </w:rPr>
        <w:t>h</w:t>
      </w:r>
      <w:r w:rsidRPr="002F5FF7">
        <w:rPr>
          <w:rFonts w:ascii="Times New Roman" w:hAnsi="Times New Roman"/>
          <w:sz w:val="20"/>
          <w:szCs w:val="20"/>
        </w:rPr>
        <w:t xml:space="preserve"> incubation. </w:t>
      </w:r>
    </w:p>
    <w:p w14:paraId="2E388FC2" w14:textId="77777777" w:rsidR="0050645B" w:rsidRDefault="0050645B" w:rsidP="0050645B">
      <w:pPr>
        <w:spacing w:line="480" w:lineRule="auto"/>
        <w:rPr>
          <w:rFonts w:ascii="Times New Roman" w:hAnsi="Times New Roman"/>
          <w:sz w:val="20"/>
          <w:szCs w:val="20"/>
        </w:rPr>
      </w:pPr>
      <w:r>
        <w:rPr>
          <w:rFonts w:ascii="Times New Roman" w:hAnsi="Times New Roman"/>
          <w:sz w:val="20"/>
          <w:szCs w:val="20"/>
        </w:rPr>
        <w:t>Table S6</w:t>
      </w:r>
      <w:r w:rsidRPr="00A43E0D">
        <w:rPr>
          <w:rFonts w:ascii="Times New Roman" w:hAnsi="Times New Roman"/>
          <w:sz w:val="20"/>
          <w:szCs w:val="20"/>
        </w:rPr>
        <w:t>.</w:t>
      </w:r>
      <w:r>
        <w:rPr>
          <w:rFonts w:ascii="Times New Roman" w:hAnsi="Times New Roman"/>
          <w:sz w:val="20"/>
          <w:szCs w:val="20"/>
        </w:rPr>
        <w:t xml:space="preserve"> </w:t>
      </w:r>
      <w:r w:rsidRPr="00A43E0D">
        <w:rPr>
          <w:rFonts w:ascii="Times New Roman" w:hAnsi="Times New Roman"/>
          <w:sz w:val="20"/>
          <w:szCs w:val="20"/>
        </w:rPr>
        <w:t>The extinction coefficient and wavelength to be used for the activity assay on aryl alcohols under different pH.</w:t>
      </w:r>
    </w:p>
    <w:p w14:paraId="4AEFC444" w14:textId="77777777" w:rsidR="0050645B" w:rsidRPr="00A43E0D" w:rsidRDefault="0050645B" w:rsidP="0050645B">
      <w:pPr>
        <w:spacing w:before="120" w:after="240" w:line="480" w:lineRule="auto"/>
        <w:jc w:val="both"/>
        <w:rPr>
          <w:rFonts w:ascii="Times New Roman" w:hAnsi="Times New Roman"/>
          <w:i/>
          <w:iCs/>
          <w:sz w:val="20"/>
          <w:szCs w:val="20"/>
        </w:rPr>
      </w:pPr>
      <w:r w:rsidRPr="00A43E0D">
        <w:rPr>
          <w:rFonts w:ascii="Times New Roman" w:hAnsi="Times New Roman"/>
          <w:sz w:val="20"/>
          <w:szCs w:val="20"/>
        </w:rPr>
        <w:t>Fig</w:t>
      </w:r>
      <w:r>
        <w:rPr>
          <w:rFonts w:ascii="Times New Roman" w:hAnsi="Times New Roman"/>
          <w:sz w:val="20"/>
          <w:szCs w:val="20"/>
        </w:rPr>
        <w:t>.</w:t>
      </w:r>
      <w:r w:rsidRPr="00A43E0D">
        <w:rPr>
          <w:rFonts w:ascii="Times New Roman" w:hAnsi="Times New Roman"/>
          <w:sz w:val="20"/>
          <w:szCs w:val="20"/>
        </w:rPr>
        <w:t xml:space="preserve"> S</w:t>
      </w:r>
      <w:r w:rsidRPr="00F12916">
        <w:rPr>
          <w:rFonts w:ascii="Times New Roman" w:hAnsi="Times New Roman"/>
          <w:sz w:val="20"/>
          <w:szCs w:val="20"/>
        </w:rPr>
        <w:t>1</w:t>
      </w:r>
      <w:r w:rsidRPr="00A43E0D">
        <w:rPr>
          <w:rFonts w:ascii="Times New Roman" w:hAnsi="Times New Roman"/>
          <w:sz w:val="20"/>
          <w:szCs w:val="20"/>
        </w:rPr>
        <w:t xml:space="preserve"> SSN at the cut</w:t>
      </w:r>
      <w:r>
        <w:rPr>
          <w:rFonts w:ascii="Times New Roman" w:hAnsi="Times New Roman"/>
          <w:sz w:val="20"/>
          <w:szCs w:val="20"/>
        </w:rPr>
        <w:t>-</w:t>
      </w:r>
      <w:r w:rsidRPr="00A43E0D">
        <w:rPr>
          <w:rFonts w:ascii="Times New Roman" w:hAnsi="Times New Roman"/>
          <w:sz w:val="20"/>
          <w:szCs w:val="20"/>
        </w:rPr>
        <w:t xml:space="preserve">off of 470 for the further division of cluster II. </w:t>
      </w:r>
    </w:p>
    <w:p w14:paraId="6B4946C8" w14:textId="77777777" w:rsidR="0050645B" w:rsidRPr="00A43E0D" w:rsidRDefault="0050645B" w:rsidP="0050645B">
      <w:pPr>
        <w:spacing w:before="120" w:after="240" w:line="480" w:lineRule="auto"/>
        <w:jc w:val="both"/>
        <w:rPr>
          <w:rFonts w:ascii="Times New Roman" w:hAnsi="Times New Roman"/>
          <w:i/>
          <w:iCs/>
          <w:sz w:val="20"/>
          <w:szCs w:val="20"/>
        </w:rPr>
      </w:pPr>
      <w:r>
        <w:rPr>
          <w:rFonts w:ascii="Times New Roman" w:hAnsi="Times New Roman"/>
          <w:sz w:val="20"/>
          <w:szCs w:val="20"/>
        </w:rPr>
        <w:t>Fig.</w:t>
      </w:r>
      <w:r w:rsidRPr="00A43E0D">
        <w:rPr>
          <w:rFonts w:ascii="Times New Roman" w:hAnsi="Times New Roman"/>
          <w:sz w:val="20"/>
          <w:szCs w:val="20"/>
        </w:rPr>
        <w:t xml:space="preserve"> S2 Absorption spectra of the concentrated AA3_2s. The oxidized FAD should have two absorbance maxima at 375-380 nm and at 440-444 nm. </w:t>
      </w:r>
    </w:p>
    <w:p w14:paraId="752D5DF0" w14:textId="77777777" w:rsidR="0050645B" w:rsidRPr="00A43E0D" w:rsidRDefault="0050645B" w:rsidP="0050645B">
      <w:pPr>
        <w:spacing w:before="120" w:after="240" w:line="480" w:lineRule="auto"/>
        <w:jc w:val="both"/>
        <w:rPr>
          <w:rFonts w:ascii="Times New Roman" w:hAnsi="Times New Roman"/>
          <w:i/>
          <w:iCs/>
          <w:sz w:val="20"/>
          <w:szCs w:val="20"/>
        </w:rPr>
      </w:pPr>
      <w:r>
        <w:rPr>
          <w:rFonts w:ascii="Times New Roman" w:hAnsi="Times New Roman"/>
          <w:sz w:val="20"/>
          <w:szCs w:val="20"/>
        </w:rPr>
        <w:t>Fig.</w:t>
      </w:r>
      <w:r w:rsidRPr="00A43E0D">
        <w:rPr>
          <w:rFonts w:ascii="Times New Roman" w:hAnsi="Times New Roman"/>
          <w:sz w:val="20"/>
          <w:szCs w:val="20"/>
        </w:rPr>
        <w:t xml:space="preserve"> S3 SDS page gel of the successfully produced AA3_2 proteins. </w:t>
      </w:r>
    </w:p>
    <w:p w14:paraId="6879C6FB" w14:textId="77777777" w:rsidR="0050645B"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lastRenderedPageBreak/>
        <w:t>Fig.</w:t>
      </w:r>
      <w:r w:rsidRPr="00A43E0D">
        <w:rPr>
          <w:rFonts w:ascii="Times New Roman" w:hAnsi="Times New Roman"/>
          <w:sz w:val="20"/>
          <w:szCs w:val="20"/>
        </w:rPr>
        <w:t xml:space="preserve"> S4 </w:t>
      </w:r>
      <w:bookmarkStart w:id="0" w:name="_Hlk145623812"/>
      <w:r w:rsidRPr="00A43E0D">
        <w:rPr>
          <w:rFonts w:ascii="Times New Roman" w:hAnsi="Times New Roman"/>
          <w:sz w:val="20"/>
          <w:szCs w:val="20"/>
        </w:rPr>
        <w:t xml:space="preserve">UPLC-PDA Chromatogram (290 nm) of </w:t>
      </w:r>
      <w:r>
        <w:rPr>
          <w:rFonts w:ascii="Times New Roman" w:hAnsi="Times New Roman"/>
          <w:sz w:val="20"/>
          <w:szCs w:val="20"/>
        </w:rPr>
        <w:t>a</w:t>
      </w:r>
      <w:r w:rsidRPr="00A43E0D">
        <w:rPr>
          <w:rFonts w:ascii="Times New Roman" w:hAnsi="Times New Roman"/>
          <w:sz w:val="20"/>
          <w:szCs w:val="20"/>
        </w:rPr>
        <w:t xml:space="preserve">) Standards of coniferyl alcohol, coniferaldehyde, ferulic acid, benzoquinone and hydroquinone </w:t>
      </w:r>
      <w:r>
        <w:rPr>
          <w:rFonts w:ascii="Times New Roman" w:hAnsi="Times New Roman"/>
          <w:sz w:val="20"/>
          <w:szCs w:val="20"/>
        </w:rPr>
        <w:t>b</w:t>
      </w:r>
      <w:r w:rsidRPr="00A43E0D">
        <w:rPr>
          <w:rFonts w:ascii="Times New Roman" w:hAnsi="Times New Roman"/>
          <w:sz w:val="20"/>
          <w:szCs w:val="20"/>
        </w:rPr>
        <w:t xml:space="preserve">) Coniferyl alcohol after 8 </w:t>
      </w:r>
      <w:r>
        <w:rPr>
          <w:rFonts w:ascii="Times New Roman" w:hAnsi="Times New Roman"/>
          <w:sz w:val="20"/>
          <w:szCs w:val="20"/>
        </w:rPr>
        <w:t>h</w:t>
      </w:r>
      <w:r w:rsidRPr="00A43E0D">
        <w:rPr>
          <w:rFonts w:ascii="Times New Roman" w:hAnsi="Times New Roman"/>
          <w:sz w:val="20"/>
          <w:szCs w:val="20"/>
        </w:rPr>
        <w:t xml:space="preserve"> incubation with boiled </w:t>
      </w:r>
      <w:r w:rsidRPr="00A43E0D">
        <w:rPr>
          <w:rFonts w:ascii="Times New Roman" w:hAnsi="Times New Roman"/>
          <w:i/>
          <w:iCs/>
          <w:sz w:val="20"/>
          <w:szCs w:val="20"/>
        </w:rPr>
        <w:t>Ps</w:t>
      </w:r>
      <w:r w:rsidRPr="00A43E0D">
        <w:rPr>
          <w:rFonts w:ascii="Times New Roman" w:hAnsi="Times New Roman"/>
          <w:sz w:val="20"/>
          <w:szCs w:val="20"/>
        </w:rPr>
        <w:t xml:space="preserve">AaoA at 30 °C (C) Coniferyl alcohol after </w:t>
      </w:r>
      <w:r w:rsidRPr="00A43E0D">
        <w:rPr>
          <w:rFonts w:ascii="Times New Roman" w:hAnsi="Times New Roman"/>
          <w:i/>
          <w:iCs/>
          <w:sz w:val="20"/>
          <w:szCs w:val="20"/>
        </w:rPr>
        <w:t>Ps</w:t>
      </w:r>
      <w:r w:rsidRPr="00A43E0D">
        <w:rPr>
          <w:rFonts w:ascii="Times New Roman" w:hAnsi="Times New Roman"/>
          <w:sz w:val="20"/>
          <w:szCs w:val="20"/>
        </w:rPr>
        <w:t xml:space="preserve">AaoA oxidation for 8 </w:t>
      </w:r>
      <w:r>
        <w:rPr>
          <w:rFonts w:ascii="Times New Roman" w:hAnsi="Times New Roman"/>
          <w:sz w:val="20"/>
          <w:szCs w:val="20"/>
        </w:rPr>
        <w:t>h</w:t>
      </w:r>
      <w:r w:rsidRPr="00A43E0D">
        <w:rPr>
          <w:rFonts w:ascii="Times New Roman" w:hAnsi="Times New Roman"/>
          <w:sz w:val="20"/>
          <w:szCs w:val="20"/>
        </w:rPr>
        <w:t xml:space="preserve"> at 30 °C, showing the formation of coniferaldehyde.</w:t>
      </w:r>
    </w:p>
    <w:p w14:paraId="22D382B2"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S5 Mass spectra collected in negative ion mode showing </w:t>
      </w:r>
      <w:r>
        <w:rPr>
          <w:rFonts w:ascii="Times New Roman" w:hAnsi="Times New Roman"/>
          <w:sz w:val="20"/>
          <w:szCs w:val="20"/>
        </w:rPr>
        <w:t>a</w:t>
      </w:r>
      <w:r w:rsidRPr="00A43E0D">
        <w:rPr>
          <w:rFonts w:ascii="Times New Roman" w:hAnsi="Times New Roman"/>
          <w:sz w:val="20"/>
          <w:szCs w:val="20"/>
        </w:rPr>
        <w:t xml:space="preserve">) Glucose </w:t>
      </w:r>
      <w:r>
        <w:rPr>
          <w:rFonts w:ascii="Times New Roman" w:hAnsi="Times New Roman"/>
          <w:sz w:val="20"/>
          <w:szCs w:val="20"/>
        </w:rPr>
        <w:t>b</w:t>
      </w:r>
      <w:r w:rsidRPr="00A43E0D">
        <w:rPr>
          <w:rFonts w:ascii="Times New Roman" w:hAnsi="Times New Roman"/>
          <w:sz w:val="20"/>
          <w:szCs w:val="20"/>
        </w:rPr>
        <w:t xml:space="preserve">) Glucose after oxidation by </w:t>
      </w:r>
      <w:r w:rsidRPr="00A43E0D">
        <w:rPr>
          <w:rFonts w:ascii="Times New Roman" w:hAnsi="Times New Roman"/>
          <w:i/>
          <w:iCs/>
          <w:sz w:val="20"/>
          <w:szCs w:val="20"/>
        </w:rPr>
        <w:t>Ap</w:t>
      </w:r>
      <w:r w:rsidRPr="00A43E0D">
        <w:rPr>
          <w:rFonts w:ascii="Times New Roman" w:hAnsi="Times New Roman"/>
          <w:sz w:val="20"/>
          <w:szCs w:val="20"/>
        </w:rPr>
        <w:t xml:space="preserve">GoxA and </w:t>
      </w:r>
      <w:r>
        <w:rPr>
          <w:rFonts w:ascii="Times New Roman" w:hAnsi="Times New Roman"/>
          <w:sz w:val="20"/>
          <w:szCs w:val="20"/>
        </w:rPr>
        <w:t>c</w:t>
      </w:r>
      <w:r w:rsidRPr="00A43E0D">
        <w:rPr>
          <w:rFonts w:ascii="Times New Roman" w:hAnsi="Times New Roman"/>
          <w:sz w:val="20"/>
          <w:szCs w:val="20"/>
        </w:rPr>
        <w:t xml:space="preserve">) Glucose after oxidation by </w:t>
      </w:r>
      <w:r w:rsidRPr="00A43E0D">
        <w:rPr>
          <w:rFonts w:ascii="Times New Roman" w:hAnsi="Times New Roman"/>
          <w:i/>
          <w:iCs/>
          <w:sz w:val="20"/>
          <w:szCs w:val="20"/>
        </w:rPr>
        <w:t>Ta</w:t>
      </w:r>
      <w:r w:rsidRPr="00A43E0D">
        <w:rPr>
          <w:rFonts w:ascii="Times New Roman" w:hAnsi="Times New Roman"/>
          <w:sz w:val="20"/>
          <w:szCs w:val="20"/>
        </w:rPr>
        <w:t xml:space="preserve">GdhA. </w:t>
      </w:r>
      <w:bookmarkEnd w:id="0"/>
    </w:p>
    <w:p w14:paraId="2749B5A4" w14:textId="77777777" w:rsidR="0050645B" w:rsidRPr="00A43E0D" w:rsidRDefault="0050645B" w:rsidP="0050645B">
      <w:pPr>
        <w:spacing w:before="120" w:after="240" w:line="480" w:lineRule="auto"/>
        <w:jc w:val="both"/>
        <w:rPr>
          <w:rFonts w:ascii="Times New Roman" w:hAnsi="Times New Roman"/>
          <w:i/>
          <w:iCs/>
          <w:sz w:val="20"/>
          <w:szCs w:val="20"/>
        </w:rPr>
      </w:pPr>
      <w:r>
        <w:rPr>
          <w:rFonts w:ascii="Times New Roman" w:hAnsi="Times New Roman"/>
          <w:sz w:val="20"/>
          <w:szCs w:val="20"/>
        </w:rPr>
        <w:t>Fig.</w:t>
      </w:r>
      <w:r w:rsidRPr="00A43E0D">
        <w:rPr>
          <w:rFonts w:ascii="Times New Roman" w:hAnsi="Times New Roman"/>
          <w:sz w:val="20"/>
          <w:szCs w:val="20"/>
        </w:rPr>
        <w:t xml:space="preserve"> S6 Mass spectra collected in negative ion mode showing </w:t>
      </w:r>
      <w:r>
        <w:rPr>
          <w:rFonts w:ascii="Times New Roman" w:hAnsi="Times New Roman"/>
          <w:sz w:val="20"/>
          <w:szCs w:val="20"/>
        </w:rPr>
        <w:t>a</w:t>
      </w:r>
      <w:r w:rsidRPr="00A43E0D">
        <w:rPr>
          <w:rFonts w:ascii="Times New Roman" w:hAnsi="Times New Roman"/>
          <w:sz w:val="20"/>
          <w:szCs w:val="20"/>
        </w:rPr>
        <w:t xml:space="preserve">) Gentiobiose </w:t>
      </w:r>
      <w:r>
        <w:rPr>
          <w:rFonts w:ascii="Times New Roman" w:hAnsi="Times New Roman"/>
          <w:sz w:val="20"/>
          <w:szCs w:val="20"/>
        </w:rPr>
        <w:t>b</w:t>
      </w:r>
      <w:r w:rsidRPr="00A43E0D">
        <w:rPr>
          <w:rFonts w:ascii="Times New Roman" w:hAnsi="Times New Roman"/>
          <w:sz w:val="20"/>
          <w:szCs w:val="20"/>
        </w:rPr>
        <w:t>) Gentiobiose after oxidation by KiOdhA.</w:t>
      </w:r>
    </w:p>
    <w:p w14:paraId="51CA1949"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S7 </w:t>
      </w:r>
      <w:r w:rsidRPr="00941564">
        <w:rPr>
          <w:rFonts w:ascii="Times New Roman" w:hAnsi="Times New Roman"/>
          <w:sz w:val="20"/>
          <w:szCs w:val="20"/>
        </w:rPr>
        <w:t xml:space="preserve">Mass spectra collected in negative ion mode showing </w:t>
      </w:r>
      <w:r>
        <w:rPr>
          <w:rFonts w:ascii="Times New Roman" w:hAnsi="Times New Roman"/>
          <w:sz w:val="20"/>
          <w:szCs w:val="20"/>
        </w:rPr>
        <w:t>a</w:t>
      </w:r>
      <w:r w:rsidRPr="00941564">
        <w:rPr>
          <w:rFonts w:ascii="Times New Roman" w:hAnsi="Times New Roman"/>
          <w:sz w:val="20"/>
          <w:szCs w:val="20"/>
        </w:rPr>
        <w:t xml:space="preserve">) Glucose; </w:t>
      </w:r>
      <w:r>
        <w:rPr>
          <w:rFonts w:ascii="Times New Roman" w:hAnsi="Times New Roman"/>
          <w:sz w:val="20"/>
          <w:szCs w:val="20"/>
        </w:rPr>
        <w:t>b</w:t>
      </w:r>
      <w:r w:rsidRPr="00941564">
        <w:rPr>
          <w:rFonts w:ascii="Times New Roman" w:hAnsi="Times New Roman"/>
          <w:sz w:val="20"/>
          <w:szCs w:val="20"/>
        </w:rPr>
        <w:t xml:space="preserve">) Glucose after incubation with </w:t>
      </w:r>
      <w:r w:rsidRPr="00941564">
        <w:rPr>
          <w:rFonts w:ascii="Times New Roman" w:eastAsia="Times New Roman" w:hAnsi="Times New Roman"/>
          <w:i/>
          <w:color w:val="000000"/>
          <w:kern w:val="24"/>
          <w:sz w:val="20"/>
          <w:szCs w:val="20"/>
        </w:rPr>
        <w:t>Ap</w:t>
      </w:r>
      <w:r w:rsidRPr="00941564">
        <w:rPr>
          <w:rFonts w:ascii="Times New Roman" w:eastAsia="Times New Roman" w:hAnsi="Times New Roman"/>
          <w:color w:val="000000"/>
          <w:kern w:val="24"/>
          <w:sz w:val="20"/>
          <w:szCs w:val="20"/>
        </w:rPr>
        <w:t>AA3_2B</w:t>
      </w:r>
      <w:r w:rsidRPr="00941564">
        <w:rPr>
          <w:rFonts w:ascii="Times New Roman" w:hAnsi="Times New Roman"/>
          <w:sz w:val="20"/>
          <w:szCs w:val="20"/>
        </w:rPr>
        <w:t xml:space="preserve">; </w:t>
      </w:r>
      <w:r>
        <w:rPr>
          <w:rFonts w:ascii="Times New Roman" w:hAnsi="Times New Roman"/>
          <w:sz w:val="20"/>
          <w:szCs w:val="20"/>
        </w:rPr>
        <w:t>c</w:t>
      </w:r>
      <w:r w:rsidRPr="00941564">
        <w:rPr>
          <w:rFonts w:ascii="Times New Roman" w:hAnsi="Times New Roman"/>
          <w:sz w:val="20"/>
          <w:szCs w:val="20"/>
        </w:rPr>
        <w:t xml:space="preserve">) Glucose after incubation with </w:t>
      </w:r>
      <w:r w:rsidRPr="00941564">
        <w:rPr>
          <w:rFonts w:ascii="Times New Roman" w:hAnsi="Times New Roman"/>
          <w:i/>
          <w:sz w:val="20"/>
          <w:szCs w:val="20"/>
        </w:rPr>
        <w:t>Pc</w:t>
      </w:r>
      <w:r w:rsidRPr="00941564">
        <w:rPr>
          <w:rFonts w:ascii="Times New Roman" w:hAnsi="Times New Roman"/>
          <w:sz w:val="20"/>
          <w:szCs w:val="20"/>
        </w:rPr>
        <w:t xml:space="preserve">AA3_2A; and </w:t>
      </w:r>
      <w:r>
        <w:rPr>
          <w:rFonts w:ascii="Times New Roman" w:hAnsi="Times New Roman"/>
          <w:sz w:val="20"/>
          <w:szCs w:val="20"/>
        </w:rPr>
        <w:t>d</w:t>
      </w:r>
      <w:r w:rsidRPr="00941564">
        <w:rPr>
          <w:rFonts w:ascii="Times New Roman" w:hAnsi="Times New Roman"/>
          <w:sz w:val="20"/>
          <w:szCs w:val="20"/>
        </w:rPr>
        <w:t xml:space="preserve">) Glucose after incubation with </w:t>
      </w:r>
      <w:r w:rsidRPr="00941564">
        <w:rPr>
          <w:rFonts w:ascii="Times New Roman" w:eastAsia="Times New Roman" w:hAnsi="Times New Roman"/>
          <w:i/>
          <w:iCs/>
          <w:color w:val="000000"/>
          <w:kern w:val="24"/>
          <w:sz w:val="20"/>
          <w:szCs w:val="20"/>
        </w:rPr>
        <w:t>Mc</w:t>
      </w:r>
      <w:r w:rsidRPr="00941564">
        <w:rPr>
          <w:rFonts w:ascii="Times New Roman" w:eastAsia="Times New Roman" w:hAnsi="Times New Roman"/>
          <w:iCs/>
          <w:color w:val="000000"/>
          <w:kern w:val="24"/>
          <w:sz w:val="20"/>
          <w:szCs w:val="20"/>
        </w:rPr>
        <w:t>GdhA.</w:t>
      </w:r>
    </w:p>
    <w:p w14:paraId="5138F503"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w:t>
      </w:r>
      <w:r>
        <w:rPr>
          <w:rFonts w:ascii="Times New Roman" w:hAnsi="Times New Roman"/>
          <w:sz w:val="20"/>
          <w:szCs w:val="20"/>
        </w:rPr>
        <w:t>8</w:t>
      </w:r>
      <w:r w:rsidRPr="00A43E0D">
        <w:rPr>
          <w:rFonts w:ascii="Times New Roman" w:hAnsi="Times New Roman"/>
          <w:sz w:val="20"/>
          <w:szCs w:val="20"/>
        </w:rPr>
        <w:t xml:space="preserve"> Multiple Sequence Alignment (MSA) of characterized AA3_2 members in this study and previously. Red boxes show the primary sequence differences between the different enzymes. </w:t>
      </w:r>
    </w:p>
    <w:p w14:paraId="111C58B9"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S9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Ps</w:t>
      </w:r>
      <w:r w:rsidRPr="00941564">
        <w:rPr>
          <w:rFonts w:ascii="Times New Roman" w:hAnsi="Times New Roman"/>
          <w:sz w:val="20"/>
          <w:szCs w:val="20"/>
        </w:rPr>
        <w:t xml:space="preserve">AaoA. The FAD and catalytic residues colored in green, hydrophobic residues to form the tunnel to block free access to active site are shown in orange,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Ps</w:t>
      </w:r>
      <w:r w:rsidRPr="00941564">
        <w:rPr>
          <w:rFonts w:ascii="Times New Roman" w:hAnsi="Times New Roman"/>
          <w:sz w:val="20"/>
          <w:szCs w:val="20"/>
        </w:rPr>
        <w:t xml:space="preserve">AaoA (Red) and </w:t>
      </w:r>
      <w:r w:rsidRPr="00941564">
        <w:rPr>
          <w:rFonts w:ascii="Times New Roman" w:hAnsi="Times New Roman"/>
          <w:i/>
          <w:iCs/>
          <w:sz w:val="20"/>
          <w:szCs w:val="20"/>
        </w:rPr>
        <w:t>Pe</w:t>
      </w:r>
      <w:r w:rsidRPr="00941564">
        <w:rPr>
          <w:rFonts w:ascii="Times New Roman" w:hAnsi="Times New Roman"/>
          <w:sz w:val="20"/>
          <w:szCs w:val="20"/>
        </w:rPr>
        <w:t>AAOx (white, PDB: 3FIM).</w:t>
      </w:r>
    </w:p>
    <w:p w14:paraId="07846283"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S10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Ta</w:t>
      </w:r>
      <w:r w:rsidRPr="00941564">
        <w:rPr>
          <w:rFonts w:ascii="Times New Roman" w:hAnsi="Times New Roman"/>
          <w:sz w:val="20"/>
          <w:szCs w:val="20"/>
        </w:rPr>
        <w:t xml:space="preserve">GdhA. The FAD and catalytic residues colored in green, residues for substrate binding are shown in orange,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Ta</w:t>
      </w:r>
      <w:r w:rsidRPr="00941564">
        <w:rPr>
          <w:rFonts w:ascii="Times New Roman" w:hAnsi="Times New Roman"/>
          <w:sz w:val="20"/>
          <w:szCs w:val="20"/>
        </w:rPr>
        <w:t xml:space="preserve">GdhA (blue), </w:t>
      </w:r>
      <w:r w:rsidRPr="00941564">
        <w:rPr>
          <w:rFonts w:ascii="Times New Roman" w:hAnsi="Times New Roman"/>
          <w:i/>
          <w:iCs/>
          <w:sz w:val="20"/>
          <w:szCs w:val="20"/>
        </w:rPr>
        <w:t>Af</w:t>
      </w:r>
      <w:r w:rsidRPr="00941564">
        <w:rPr>
          <w:rFonts w:ascii="Times New Roman" w:hAnsi="Times New Roman"/>
          <w:sz w:val="20"/>
          <w:szCs w:val="20"/>
        </w:rPr>
        <w:t xml:space="preserve">GDH (white, PDB: 4YNT), and </w:t>
      </w:r>
      <w:r w:rsidRPr="00941564">
        <w:rPr>
          <w:rFonts w:ascii="Times New Roman" w:hAnsi="Times New Roman"/>
          <w:i/>
          <w:iCs/>
          <w:sz w:val="20"/>
          <w:szCs w:val="20"/>
        </w:rPr>
        <w:t>Af</w:t>
      </w:r>
      <w:r w:rsidRPr="00941564">
        <w:rPr>
          <w:rFonts w:ascii="Times New Roman" w:hAnsi="Times New Roman"/>
          <w:sz w:val="20"/>
          <w:szCs w:val="20"/>
        </w:rPr>
        <w:t>GDH in complex with D-glucono-1,5-lactone (pink, PDB: 4YNU).</w:t>
      </w:r>
    </w:p>
    <w:p w14:paraId="7CC402FE"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S1</w:t>
      </w:r>
      <w:r>
        <w:rPr>
          <w:rFonts w:ascii="Times New Roman" w:hAnsi="Times New Roman"/>
          <w:sz w:val="20"/>
          <w:szCs w:val="20"/>
        </w:rPr>
        <w:t>1</w:t>
      </w:r>
      <w:r w:rsidRPr="00A43E0D">
        <w:rPr>
          <w:rFonts w:ascii="Times New Roman" w:hAnsi="Times New Roman"/>
          <w:sz w:val="20"/>
          <w:szCs w:val="20"/>
        </w:rPr>
        <w:t xml:space="preserve">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Ap</w:t>
      </w:r>
      <w:r w:rsidRPr="00941564">
        <w:rPr>
          <w:rFonts w:ascii="Times New Roman" w:hAnsi="Times New Roman"/>
          <w:sz w:val="20"/>
          <w:szCs w:val="20"/>
        </w:rPr>
        <w:t xml:space="preserve">GoxA. The FAD and catalytic residues colored in green, residues for substrate binding are shown in orange,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Ap</w:t>
      </w:r>
      <w:r w:rsidRPr="00941564">
        <w:rPr>
          <w:rFonts w:ascii="Times New Roman" w:hAnsi="Times New Roman"/>
          <w:sz w:val="20"/>
          <w:szCs w:val="20"/>
        </w:rPr>
        <w:t xml:space="preserve">GoxA (blue), </w:t>
      </w:r>
      <w:r w:rsidRPr="00941564">
        <w:rPr>
          <w:rFonts w:ascii="Times New Roman" w:hAnsi="Times New Roman"/>
          <w:i/>
          <w:iCs/>
          <w:sz w:val="20"/>
          <w:szCs w:val="20"/>
        </w:rPr>
        <w:t>Tc</w:t>
      </w:r>
      <w:r w:rsidRPr="00941564">
        <w:rPr>
          <w:rFonts w:ascii="Times New Roman" w:hAnsi="Times New Roman"/>
          <w:sz w:val="20"/>
          <w:szCs w:val="20"/>
        </w:rPr>
        <w:t xml:space="preserve">ODH (white, PDB: 6XUT), and </w:t>
      </w:r>
      <w:r w:rsidRPr="00941564">
        <w:rPr>
          <w:rFonts w:ascii="Times New Roman" w:hAnsi="Times New Roman"/>
          <w:i/>
          <w:iCs/>
          <w:sz w:val="20"/>
          <w:szCs w:val="20"/>
        </w:rPr>
        <w:t>Tc</w:t>
      </w:r>
      <w:r w:rsidRPr="00941564">
        <w:rPr>
          <w:rFonts w:ascii="Times New Roman" w:hAnsi="Times New Roman"/>
          <w:sz w:val="20"/>
          <w:szCs w:val="20"/>
        </w:rPr>
        <w:t>ODH in complex with glucose (pink, PDB: 6XUU).</w:t>
      </w:r>
    </w:p>
    <w:p w14:paraId="06B3CE73"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lastRenderedPageBreak/>
        <w:t>Fig.</w:t>
      </w:r>
      <w:r w:rsidRPr="00A43E0D">
        <w:rPr>
          <w:rFonts w:ascii="Times New Roman" w:hAnsi="Times New Roman"/>
          <w:sz w:val="20"/>
          <w:szCs w:val="20"/>
        </w:rPr>
        <w:t xml:space="preserve"> S12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As</w:t>
      </w:r>
      <w:r w:rsidRPr="00941564">
        <w:rPr>
          <w:rFonts w:ascii="Times New Roman" w:hAnsi="Times New Roman"/>
          <w:sz w:val="20"/>
          <w:szCs w:val="20"/>
        </w:rPr>
        <w:t xml:space="preserve">AadhA. The FAD and catalytic residues colored in green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As</w:t>
      </w:r>
      <w:r w:rsidRPr="00941564">
        <w:rPr>
          <w:rFonts w:ascii="Times New Roman" w:hAnsi="Times New Roman"/>
          <w:sz w:val="20"/>
          <w:szCs w:val="20"/>
        </w:rPr>
        <w:t xml:space="preserve">AadhA (Red) and </w:t>
      </w:r>
      <w:r w:rsidRPr="00941564">
        <w:rPr>
          <w:rFonts w:ascii="Times New Roman" w:hAnsi="Times New Roman"/>
          <w:i/>
          <w:iCs/>
          <w:sz w:val="20"/>
          <w:szCs w:val="20"/>
        </w:rPr>
        <w:t>Pe</w:t>
      </w:r>
      <w:r w:rsidRPr="00941564">
        <w:rPr>
          <w:rFonts w:ascii="Times New Roman" w:hAnsi="Times New Roman"/>
          <w:sz w:val="20"/>
          <w:szCs w:val="20"/>
        </w:rPr>
        <w:t>AAO (white, PDB: 3FIM).</w:t>
      </w:r>
    </w:p>
    <w:p w14:paraId="3B03D523"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S13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As</w:t>
      </w:r>
      <w:r w:rsidRPr="00941564">
        <w:rPr>
          <w:rFonts w:ascii="Times New Roman" w:hAnsi="Times New Roman"/>
          <w:sz w:val="20"/>
          <w:szCs w:val="20"/>
        </w:rPr>
        <w:t xml:space="preserve">AadhB. The FAD and catalytic residues colored in green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As</w:t>
      </w:r>
      <w:r w:rsidRPr="00941564">
        <w:rPr>
          <w:rFonts w:ascii="Times New Roman" w:hAnsi="Times New Roman"/>
          <w:sz w:val="20"/>
          <w:szCs w:val="20"/>
        </w:rPr>
        <w:t xml:space="preserve">AadhB (Red) and </w:t>
      </w:r>
      <w:r w:rsidRPr="00941564">
        <w:rPr>
          <w:rFonts w:ascii="Times New Roman" w:hAnsi="Times New Roman"/>
          <w:i/>
          <w:iCs/>
          <w:sz w:val="20"/>
          <w:szCs w:val="20"/>
        </w:rPr>
        <w:t>Pe</w:t>
      </w:r>
      <w:r w:rsidRPr="00941564">
        <w:rPr>
          <w:rFonts w:ascii="Times New Roman" w:hAnsi="Times New Roman"/>
          <w:sz w:val="20"/>
          <w:szCs w:val="20"/>
        </w:rPr>
        <w:t>AAO (white, PDB: 3FIM).</w:t>
      </w:r>
    </w:p>
    <w:p w14:paraId="1D1484DF" w14:textId="77777777" w:rsidR="0050645B" w:rsidRPr="00A43E0D" w:rsidRDefault="0050645B" w:rsidP="0050645B">
      <w:pPr>
        <w:spacing w:before="120" w:after="240" w:line="480" w:lineRule="auto"/>
        <w:jc w:val="both"/>
        <w:rPr>
          <w:rFonts w:ascii="Times New Roman" w:hAnsi="Times New Roman"/>
          <w:sz w:val="20"/>
          <w:szCs w:val="20"/>
        </w:rPr>
      </w:pPr>
      <w:r>
        <w:rPr>
          <w:rFonts w:ascii="Times New Roman" w:hAnsi="Times New Roman"/>
          <w:sz w:val="20"/>
          <w:szCs w:val="20"/>
        </w:rPr>
        <w:t>Fig.</w:t>
      </w:r>
      <w:r w:rsidRPr="00A43E0D">
        <w:rPr>
          <w:rFonts w:ascii="Times New Roman" w:hAnsi="Times New Roman"/>
          <w:sz w:val="20"/>
          <w:szCs w:val="20"/>
        </w:rPr>
        <w:t xml:space="preserve"> S14 </w:t>
      </w:r>
      <w:r>
        <w:rPr>
          <w:rFonts w:ascii="Times New Roman" w:hAnsi="Times New Roman"/>
          <w:sz w:val="20"/>
          <w:szCs w:val="20"/>
        </w:rPr>
        <w:t>a</w:t>
      </w:r>
      <w:r w:rsidRPr="00941564">
        <w:rPr>
          <w:rFonts w:ascii="Times New Roman" w:hAnsi="Times New Roman"/>
          <w:sz w:val="20"/>
          <w:szCs w:val="20"/>
        </w:rPr>
        <w:t xml:space="preserve">) Surface and </w:t>
      </w:r>
      <w:r>
        <w:rPr>
          <w:rFonts w:ascii="Times New Roman" w:hAnsi="Times New Roman"/>
          <w:sz w:val="20"/>
          <w:szCs w:val="20"/>
        </w:rPr>
        <w:t>b</w:t>
      </w:r>
      <w:r w:rsidRPr="00941564">
        <w:rPr>
          <w:rFonts w:ascii="Times New Roman" w:hAnsi="Times New Roman"/>
          <w:sz w:val="20"/>
          <w:szCs w:val="20"/>
        </w:rPr>
        <w:t xml:space="preserve">) ribbon and sticks (active site and FAD) of the AlphaFold structure of </w:t>
      </w:r>
      <w:r w:rsidRPr="00941564">
        <w:rPr>
          <w:rFonts w:ascii="Times New Roman" w:hAnsi="Times New Roman"/>
          <w:i/>
          <w:iCs/>
          <w:sz w:val="20"/>
          <w:szCs w:val="20"/>
        </w:rPr>
        <w:t>Ki</w:t>
      </w:r>
      <w:r w:rsidRPr="00941564">
        <w:rPr>
          <w:rFonts w:ascii="Times New Roman" w:hAnsi="Times New Roman"/>
          <w:sz w:val="20"/>
          <w:szCs w:val="20"/>
        </w:rPr>
        <w:t xml:space="preserve">OdhA. The FAD and catalytic residues colored in green, residues for substrate binding are shown in orange, and the unique motifs identified from MSA are shown in cyan. </w:t>
      </w:r>
      <w:r>
        <w:rPr>
          <w:rFonts w:ascii="Times New Roman" w:hAnsi="Times New Roman"/>
          <w:sz w:val="20"/>
          <w:szCs w:val="20"/>
        </w:rPr>
        <w:t>c</w:t>
      </w:r>
      <w:r w:rsidRPr="00941564">
        <w:rPr>
          <w:rFonts w:ascii="Times New Roman" w:hAnsi="Times New Roman"/>
          <w:sz w:val="20"/>
          <w:szCs w:val="20"/>
        </w:rPr>
        <w:t xml:space="preserve">) Alignment for the active site of </w:t>
      </w:r>
      <w:r w:rsidRPr="00941564">
        <w:rPr>
          <w:rFonts w:ascii="Times New Roman" w:hAnsi="Times New Roman"/>
          <w:i/>
          <w:iCs/>
          <w:sz w:val="20"/>
          <w:szCs w:val="20"/>
        </w:rPr>
        <w:t>Ki</w:t>
      </w:r>
      <w:r w:rsidRPr="00941564">
        <w:rPr>
          <w:rFonts w:ascii="Times New Roman" w:hAnsi="Times New Roman"/>
          <w:sz w:val="20"/>
          <w:szCs w:val="20"/>
        </w:rPr>
        <w:t xml:space="preserve">OdhA (blue), </w:t>
      </w:r>
      <w:r w:rsidRPr="00941564">
        <w:rPr>
          <w:rFonts w:ascii="Times New Roman" w:hAnsi="Times New Roman"/>
          <w:i/>
          <w:iCs/>
          <w:sz w:val="20"/>
          <w:szCs w:val="20"/>
        </w:rPr>
        <w:t>Tc</w:t>
      </w:r>
      <w:r w:rsidRPr="00941564">
        <w:rPr>
          <w:rFonts w:ascii="Times New Roman" w:hAnsi="Times New Roman"/>
          <w:sz w:val="20"/>
          <w:szCs w:val="20"/>
        </w:rPr>
        <w:t xml:space="preserve">ODH (white, PDB: 6XUT), and </w:t>
      </w:r>
      <w:r w:rsidRPr="00941564">
        <w:rPr>
          <w:rFonts w:ascii="Times New Roman" w:hAnsi="Times New Roman"/>
          <w:i/>
          <w:iCs/>
          <w:sz w:val="20"/>
          <w:szCs w:val="20"/>
        </w:rPr>
        <w:t>Tc</w:t>
      </w:r>
      <w:r w:rsidRPr="00941564">
        <w:rPr>
          <w:rFonts w:ascii="Times New Roman" w:hAnsi="Times New Roman"/>
          <w:sz w:val="20"/>
          <w:szCs w:val="20"/>
        </w:rPr>
        <w:t>ODH in complex with glucose (pink, PDB: 6XUU).</w:t>
      </w:r>
    </w:p>
    <w:p w14:paraId="373A1ABB" w14:textId="77777777" w:rsidR="0050645B" w:rsidRPr="00A43E0D" w:rsidRDefault="0050645B" w:rsidP="0050645B">
      <w:pPr>
        <w:spacing w:before="120" w:after="240" w:line="480" w:lineRule="auto"/>
        <w:jc w:val="both"/>
        <w:rPr>
          <w:rFonts w:ascii="Times New Roman" w:hAnsi="Times New Roman"/>
          <w:bCs/>
          <w:sz w:val="20"/>
          <w:szCs w:val="20"/>
        </w:rPr>
      </w:pPr>
      <w:r>
        <w:rPr>
          <w:rFonts w:ascii="Times New Roman" w:hAnsi="Times New Roman"/>
          <w:bCs/>
          <w:sz w:val="20"/>
          <w:szCs w:val="20"/>
        </w:rPr>
        <w:t>Fig.</w:t>
      </w:r>
      <w:r w:rsidRPr="00A43E0D">
        <w:rPr>
          <w:rFonts w:ascii="Times New Roman" w:hAnsi="Times New Roman"/>
          <w:bCs/>
          <w:sz w:val="20"/>
          <w:szCs w:val="20"/>
        </w:rPr>
        <w:t xml:space="preserve"> S15 Amino acids and positions within the characterized AA3_2 sequences that are implicated in catalysis and substrate preference.</w:t>
      </w:r>
    </w:p>
    <w:p w14:paraId="437158A3" w14:textId="4B2048DB" w:rsidR="00F35240" w:rsidRDefault="0050645B" w:rsidP="0050645B">
      <w:r>
        <w:rPr>
          <w:rFonts w:ascii="Times New Roman" w:hAnsi="Times New Roman"/>
          <w:sz w:val="20"/>
          <w:szCs w:val="20"/>
        </w:rPr>
        <w:t>Fig.</w:t>
      </w:r>
      <w:r w:rsidRPr="00A43E0D">
        <w:rPr>
          <w:rFonts w:ascii="Times New Roman" w:hAnsi="Times New Roman"/>
          <w:sz w:val="20"/>
          <w:szCs w:val="20"/>
        </w:rPr>
        <w:t xml:space="preserve"> S16 Sequence logos of the active site residues from clades IIa, IIb, IV, VI, XI, XII, and XXX. The amino acid numbering of the sequences is based on </w:t>
      </w:r>
      <w:r w:rsidRPr="00A43E0D">
        <w:rPr>
          <w:rFonts w:ascii="Times New Roman" w:hAnsi="Times New Roman"/>
          <w:i/>
          <w:iCs/>
          <w:sz w:val="20"/>
          <w:szCs w:val="20"/>
        </w:rPr>
        <w:t>Ps</w:t>
      </w:r>
      <w:r w:rsidRPr="00A43E0D">
        <w:rPr>
          <w:rFonts w:ascii="Times New Roman" w:hAnsi="Times New Roman"/>
          <w:sz w:val="20"/>
          <w:szCs w:val="20"/>
        </w:rPr>
        <w:t>AaoA for clu</w:t>
      </w:r>
      <w:r>
        <w:rPr>
          <w:rFonts w:ascii="Times New Roman" w:hAnsi="Times New Roman"/>
          <w:sz w:val="20"/>
          <w:szCs w:val="20"/>
        </w:rPr>
        <w:t>s</w:t>
      </w:r>
      <w:r w:rsidRPr="00A43E0D">
        <w:rPr>
          <w:rFonts w:ascii="Times New Roman" w:hAnsi="Times New Roman"/>
          <w:sz w:val="20"/>
          <w:szCs w:val="20"/>
        </w:rPr>
        <w:t xml:space="preserve">ter IIa, </w:t>
      </w:r>
      <w:r w:rsidRPr="00A43E0D">
        <w:rPr>
          <w:rFonts w:ascii="Times New Roman" w:hAnsi="Times New Roman"/>
          <w:i/>
          <w:iCs/>
          <w:sz w:val="20"/>
          <w:szCs w:val="20"/>
        </w:rPr>
        <w:t>Am</w:t>
      </w:r>
      <w:r w:rsidRPr="00A43E0D">
        <w:rPr>
          <w:rFonts w:ascii="Times New Roman" w:hAnsi="Times New Roman"/>
          <w:sz w:val="20"/>
          <w:szCs w:val="20"/>
        </w:rPr>
        <w:t xml:space="preserve">PDH1 for cluster IIb, </w:t>
      </w:r>
      <w:r w:rsidRPr="00A43E0D">
        <w:rPr>
          <w:rFonts w:ascii="Times New Roman" w:hAnsi="Times New Roman"/>
          <w:i/>
          <w:iCs/>
          <w:sz w:val="20"/>
          <w:szCs w:val="20"/>
        </w:rPr>
        <w:t>As</w:t>
      </w:r>
      <w:r w:rsidRPr="00A43E0D">
        <w:rPr>
          <w:rFonts w:ascii="Times New Roman" w:hAnsi="Times New Roman"/>
          <w:sz w:val="20"/>
          <w:szCs w:val="20"/>
        </w:rPr>
        <w:t xml:space="preserve">AadhA for cluster IV, </w:t>
      </w:r>
      <w:r w:rsidRPr="00A43E0D">
        <w:rPr>
          <w:rFonts w:ascii="Times New Roman" w:hAnsi="Times New Roman"/>
          <w:i/>
          <w:iCs/>
          <w:sz w:val="20"/>
          <w:szCs w:val="20"/>
        </w:rPr>
        <w:t>Ta</w:t>
      </w:r>
      <w:r w:rsidRPr="00A43E0D">
        <w:rPr>
          <w:rFonts w:ascii="Times New Roman" w:hAnsi="Times New Roman"/>
          <w:sz w:val="20"/>
          <w:szCs w:val="20"/>
        </w:rPr>
        <w:t xml:space="preserve">GdhA for cluster VI, </w:t>
      </w:r>
      <w:r w:rsidRPr="00A43E0D">
        <w:rPr>
          <w:rFonts w:ascii="Times New Roman" w:hAnsi="Times New Roman"/>
          <w:i/>
          <w:iCs/>
          <w:sz w:val="20"/>
          <w:szCs w:val="20"/>
        </w:rPr>
        <w:t>Ap</w:t>
      </w:r>
      <w:r w:rsidRPr="00A43E0D">
        <w:rPr>
          <w:rFonts w:ascii="Times New Roman" w:hAnsi="Times New Roman"/>
          <w:sz w:val="20"/>
          <w:szCs w:val="20"/>
        </w:rPr>
        <w:t xml:space="preserve">GoxA for cluster XI, </w:t>
      </w:r>
      <w:r w:rsidRPr="00A43E0D">
        <w:rPr>
          <w:rFonts w:ascii="Times New Roman" w:hAnsi="Times New Roman"/>
          <w:i/>
          <w:iCs/>
          <w:sz w:val="20"/>
          <w:szCs w:val="20"/>
        </w:rPr>
        <w:t>An</w:t>
      </w:r>
      <w:r w:rsidRPr="00A43E0D">
        <w:rPr>
          <w:rFonts w:ascii="Times New Roman" w:hAnsi="Times New Roman"/>
          <w:sz w:val="20"/>
          <w:szCs w:val="20"/>
        </w:rPr>
        <w:t xml:space="preserve">GOx for cluster XII, and </w:t>
      </w:r>
      <w:r w:rsidRPr="00A43E0D">
        <w:rPr>
          <w:rFonts w:ascii="Times New Roman" w:hAnsi="Times New Roman"/>
          <w:i/>
          <w:iCs/>
          <w:sz w:val="20"/>
          <w:szCs w:val="20"/>
        </w:rPr>
        <w:t>Ki</w:t>
      </w:r>
      <w:r w:rsidRPr="00A43E0D">
        <w:rPr>
          <w:rFonts w:ascii="Times New Roman" w:hAnsi="Times New Roman"/>
          <w:sz w:val="20"/>
          <w:szCs w:val="20"/>
        </w:rPr>
        <w:t>OdhA for cluster XXX.</w:t>
      </w:r>
    </w:p>
    <w:sectPr w:rsidR="00F35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5B"/>
    <w:rsid w:val="00342DA6"/>
    <w:rsid w:val="0050645B"/>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4342"/>
  <w15:chartTrackingRefBased/>
  <w15:docId w15:val="{03802B1C-0295-4030-94CA-8366BD611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45B"/>
    <w:rPr>
      <w:rFonts w:ascii="Calibri" w:eastAsia="SimSun" w:hAnsi="Calibri"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50645B"/>
    <w:pPr>
      <w:spacing w:before="120" w:after="240" w:line="480" w:lineRule="auto"/>
      <w:jc w:val="center"/>
    </w:pPr>
    <w:rPr>
      <w:rFonts w:ascii="Times New Roman" w:eastAsia="Calibri" w:hAnsi="Times New Roman" w:cs="Times New Roman"/>
      <w:b/>
      <w:kern w:val="0"/>
      <w:sz w:val="20"/>
      <w:szCs w:val="20"/>
      <w:lang w:val="en-GB"/>
      <w14:ligatures w14:val="none"/>
    </w:rPr>
  </w:style>
  <w:style w:type="character" w:customStyle="1" w:styleId="TitleChar">
    <w:name w:val="Title Char"/>
    <w:basedOn w:val="DefaultParagraphFont"/>
    <w:link w:val="Title"/>
    <w:uiPriority w:val="10"/>
    <w:rsid w:val="0050645B"/>
    <w:rPr>
      <w:rFonts w:ascii="Times New Roman" w:eastAsia="Calibri" w:hAnsi="Times New Roman" w:cs="Times New Roman"/>
      <w:b/>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4361</Characters>
  <Application>Microsoft Office Word</Application>
  <DocSecurity>0</DocSecurity>
  <Lines>36</Lines>
  <Paragraphs>10</Paragraphs>
  <ScaleCrop>false</ScaleCrop>
  <Company>Springer Nature</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2023-12-21T12:48:00Z</dcterms:created>
  <dcterms:modified xsi:type="dcterms:W3CDTF">2023-12-21T12:48:00Z</dcterms:modified>
</cp:coreProperties>
</file>