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BF9CA" w14:textId="106A7E6A" w:rsidR="00487FCC" w:rsidRPr="00C77C24" w:rsidRDefault="00D13C84" w:rsidP="00671583">
      <w:pPr>
        <w:spacing w:after="0" w:line="480" w:lineRule="auto"/>
        <w:rPr>
          <w:rFonts w:ascii="Arial" w:hAnsi="Arial" w:cs="Arial"/>
        </w:rPr>
      </w:pPr>
      <w:r w:rsidRPr="00C77C24">
        <w:rPr>
          <w:rFonts w:ascii="Arial" w:hAnsi="Arial" w:cs="Arial"/>
          <w:b/>
          <w:bCs/>
        </w:rPr>
        <w:t>Supplement 1</w:t>
      </w:r>
    </w:p>
    <w:p w14:paraId="2BAD17BF" w14:textId="77777777" w:rsidR="00CD6088" w:rsidRPr="00C77C24" w:rsidRDefault="00CD6088" w:rsidP="00671583">
      <w:pPr>
        <w:keepNext/>
        <w:spacing w:after="0" w:line="480" w:lineRule="auto"/>
        <w:jc w:val="center"/>
        <w:rPr>
          <w:rFonts w:ascii="Arial" w:hAnsi="Arial" w:cs="Arial"/>
        </w:rPr>
      </w:pPr>
      <w:r w:rsidRPr="00C77C24">
        <w:rPr>
          <w:rFonts w:ascii="Arial" w:hAnsi="Arial" w:cs="Arial"/>
          <w:noProof/>
        </w:rPr>
        <w:drawing>
          <wp:inline distT="0" distB="0" distL="0" distR="0" wp14:anchorId="5DA883C4" wp14:editId="24D3EFE3">
            <wp:extent cx="4372482" cy="4270248"/>
            <wp:effectExtent l="0" t="0" r="0" b="0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72482" cy="4270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4CB50" w14:textId="64F8E485" w:rsidR="00CD6088" w:rsidRPr="00C77C24" w:rsidRDefault="00613F20" w:rsidP="00671583">
      <w:pPr>
        <w:pStyle w:val="Caption"/>
        <w:spacing w:after="0" w:line="480" w:lineRule="auto"/>
        <w:rPr>
          <w:rFonts w:ascii="Arial" w:eastAsia="Times New Roman" w:hAnsi="Arial" w:cs="Arial"/>
          <w:i w:val="0"/>
          <w:iCs w:val="0"/>
          <w:color w:val="auto"/>
          <w:sz w:val="22"/>
          <w:szCs w:val="22"/>
        </w:rPr>
      </w:pPr>
      <w:bookmarkStart w:id="0" w:name="_Toc118226317"/>
      <w:r w:rsidRPr="00C77C24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Figure S1</w:t>
      </w:r>
      <w:r w:rsidRPr="00C77C24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. </w:t>
      </w:r>
      <w:r w:rsidR="00CD6088" w:rsidRPr="00C77C24">
        <w:rPr>
          <w:rFonts w:ascii="Arial" w:eastAsia="Times New Roman" w:hAnsi="Arial" w:cs="Arial"/>
          <w:i w:val="0"/>
          <w:iCs w:val="0"/>
          <w:color w:val="auto"/>
          <w:sz w:val="22"/>
          <w:szCs w:val="22"/>
        </w:rPr>
        <w:t>Orientation of 1m</w:t>
      </w:r>
      <w:r w:rsidR="00CD6088" w:rsidRPr="00C77C24">
        <w:rPr>
          <w:rFonts w:ascii="Arial" w:eastAsia="Times New Roman" w:hAnsi="Arial" w:cs="Arial"/>
          <w:i w:val="0"/>
          <w:iCs w:val="0"/>
          <w:color w:val="auto"/>
          <w:sz w:val="22"/>
          <w:szCs w:val="22"/>
          <w:vertAlign w:val="superscript"/>
        </w:rPr>
        <w:t>2</w:t>
      </w:r>
      <w:r w:rsidR="00CD6088" w:rsidRPr="00C77C24">
        <w:rPr>
          <w:rFonts w:ascii="Arial" w:eastAsia="Times New Roman" w:hAnsi="Arial" w:cs="Arial"/>
          <w:i w:val="0"/>
          <w:iCs w:val="0"/>
          <w:color w:val="auto"/>
          <w:sz w:val="22"/>
          <w:szCs w:val="22"/>
        </w:rPr>
        <w:t xml:space="preserve"> quadrats in woodland and glade plots is represented by grey-filled squares.  Location of herbaceous species abundance transects is designated by bold red lines.</w:t>
      </w:r>
      <w:bookmarkEnd w:id="0"/>
    </w:p>
    <w:p w14:paraId="52D17656" w14:textId="77777777" w:rsidR="009C6542" w:rsidRPr="00C77C24" w:rsidRDefault="009C6542" w:rsidP="00671583">
      <w:pPr>
        <w:spacing w:after="0" w:line="480" w:lineRule="auto"/>
        <w:rPr>
          <w:rFonts w:ascii="Arial" w:hAnsi="Arial" w:cs="Arial"/>
        </w:rPr>
      </w:pPr>
    </w:p>
    <w:p w14:paraId="6BD87FD7" w14:textId="286BD3BB" w:rsidR="009C6542" w:rsidRPr="00C77C24" w:rsidRDefault="00613F20" w:rsidP="00671583">
      <w:pPr>
        <w:keepNext/>
        <w:spacing w:after="0" w:line="480" w:lineRule="auto"/>
        <w:jc w:val="center"/>
        <w:rPr>
          <w:rFonts w:ascii="Arial" w:hAnsi="Arial" w:cs="Arial"/>
        </w:rPr>
      </w:pPr>
      <w:r w:rsidRPr="00C77C24">
        <w:rPr>
          <w:rFonts w:ascii="Arial" w:hAnsi="Arial" w:cs="Arial"/>
          <w:noProof/>
        </w:rPr>
        <w:lastRenderedPageBreak/>
        <w:drawing>
          <wp:inline distT="0" distB="0" distL="0" distR="0" wp14:anchorId="4BA66342" wp14:editId="3B63BB1A">
            <wp:extent cx="5943600" cy="4859655"/>
            <wp:effectExtent l="0" t="0" r="0" b="0"/>
            <wp:docPr id="1252898077" name="Picture 1" descr="A graph of a tree dens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898077" name="Picture 1" descr="A graph of a tree density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A78D1" w14:textId="45FD7494" w:rsidR="00C912DC" w:rsidRPr="00C77C24" w:rsidRDefault="00613F20" w:rsidP="00671583">
      <w:pPr>
        <w:pStyle w:val="Caption"/>
        <w:spacing w:after="0" w:line="480" w:lineRule="auto"/>
        <w:rPr>
          <w:rFonts w:ascii="Arial" w:eastAsia="Times New Roman" w:hAnsi="Arial" w:cs="Arial"/>
          <w:i w:val="0"/>
          <w:iCs w:val="0"/>
          <w:color w:val="auto"/>
          <w:sz w:val="22"/>
          <w:szCs w:val="22"/>
        </w:rPr>
      </w:pPr>
      <w:bookmarkStart w:id="1" w:name="_Toc118226322"/>
      <w:r w:rsidRPr="00C77C24">
        <w:rPr>
          <w:rFonts w:ascii="Arial" w:eastAsia="Times New Roman" w:hAnsi="Arial" w:cs="Arial"/>
          <w:b/>
          <w:bCs/>
          <w:i w:val="0"/>
          <w:iCs w:val="0"/>
          <w:color w:val="auto"/>
          <w:sz w:val="22"/>
          <w:szCs w:val="22"/>
        </w:rPr>
        <w:t>Figure S2</w:t>
      </w:r>
      <w:r w:rsidRPr="00C77C24">
        <w:rPr>
          <w:rFonts w:ascii="Arial" w:eastAsia="Times New Roman" w:hAnsi="Arial" w:cs="Arial"/>
          <w:i w:val="0"/>
          <w:iCs w:val="0"/>
          <w:color w:val="auto"/>
          <w:sz w:val="22"/>
          <w:szCs w:val="22"/>
        </w:rPr>
        <w:t xml:space="preserve">. </w:t>
      </w:r>
      <w:r w:rsidR="009C6542" w:rsidRPr="00C77C24">
        <w:rPr>
          <w:rFonts w:ascii="Arial" w:eastAsia="Times New Roman" w:hAnsi="Arial" w:cs="Arial"/>
          <w:i w:val="0"/>
          <w:iCs w:val="0"/>
          <w:color w:val="auto"/>
          <w:sz w:val="22"/>
          <w:szCs w:val="22"/>
        </w:rPr>
        <w:t>Midstory (2.5-14.9 cm DBH) tree density as mean plot slope increases at Ozark National Scenic Riverways.</w:t>
      </w:r>
      <w:r w:rsidRPr="00C77C24">
        <w:rPr>
          <w:rFonts w:ascii="Arial" w:eastAsia="Times New Roman" w:hAnsi="Arial" w:cs="Arial"/>
          <w:i w:val="0"/>
          <w:iCs w:val="0"/>
          <w:color w:val="auto"/>
          <w:sz w:val="22"/>
          <w:szCs w:val="22"/>
        </w:rPr>
        <w:t xml:space="preserve">  Data was collected from 1999 to 2021.</w:t>
      </w:r>
      <w:r w:rsidR="009C6542" w:rsidRPr="00C77C24">
        <w:rPr>
          <w:rFonts w:ascii="Arial" w:eastAsia="Times New Roman" w:hAnsi="Arial" w:cs="Arial"/>
          <w:i w:val="0"/>
          <w:iCs w:val="0"/>
          <w:color w:val="auto"/>
          <w:sz w:val="22"/>
          <w:szCs w:val="22"/>
        </w:rPr>
        <w:t xml:space="preserve">  Midstory tree density increased marginally with mean plot slope increasing.</w:t>
      </w:r>
      <w:bookmarkEnd w:id="1"/>
    </w:p>
    <w:p w14:paraId="07E7DFEF" w14:textId="77777777" w:rsidR="000D6DE4" w:rsidRPr="00C77C24" w:rsidRDefault="000D6DE4" w:rsidP="000D6DE4">
      <w:pPr>
        <w:rPr>
          <w:rFonts w:ascii="Arial" w:hAnsi="Arial" w:cs="Arial"/>
        </w:rPr>
      </w:pPr>
    </w:p>
    <w:p w14:paraId="7685752F" w14:textId="4937537A" w:rsidR="000D6DE4" w:rsidRPr="00C77C24" w:rsidRDefault="000D6DE4" w:rsidP="000D6DE4">
      <w:pPr>
        <w:rPr>
          <w:rFonts w:ascii="Arial" w:hAnsi="Arial" w:cs="Arial"/>
        </w:rPr>
      </w:pPr>
      <w:r w:rsidRPr="00C77C24">
        <w:rPr>
          <w:rFonts w:ascii="Arial" w:hAnsi="Arial" w:cs="Arial"/>
          <w:noProof/>
        </w:rPr>
        <w:lastRenderedPageBreak/>
        <w:drawing>
          <wp:inline distT="0" distB="0" distL="0" distR="0" wp14:anchorId="6A8A5273" wp14:editId="6D6E504C">
            <wp:extent cx="5943600" cy="6991985"/>
            <wp:effectExtent l="0" t="0" r="0" b="0"/>
            <wp:docPr id="1866655074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655074" name="Picture 2" descr="A screenshot of a computer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9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83EBF" w14:textId="4DA13BBD" w:rsidR="00C912DC" w:rsidRPr="00C77C24" w:rsidRDefault="000D6DE4" w:rsidP="00671583">
      <w:pPr>
        <w:spacing w:after="0" w:line="480" w:lineRule="auto"/>
        <w:rPr>
          <w:rFonts w:ascii="Arial" w:eastAsia="Times New Roman" w:hAnsi="Arial" w:cs="Arial"/>
        </w:rPr>
      </w:pPr>
      <w:r w:rsidRPr="00C77C24">
        <w:rPr>
          <w:rFonts w:ascii="Arial" w:hAnsi="Arial" w:cs="Arial"/>
          <w:b/>
          <w:bCs/>
        </w:rPr>
        <w:t xml:space="preserve">Figure S3. </w:t>
      </w:r>
      <w:proofErr w:type="gramStart"/>
      <w:r w:rsidRPr="00C77C24">
        <w:rPr>
          <w:rFonts w:ascii="Arial" w:hAnsi="Arial" w:cs="Arial"/>
          <w:b/>
          <w:bCs/>
        </w:rPr>
        <w:t>Dry</w:t>
      </w:r>
      <w:proofErr w:type="gramEnd"/>
      <w:r w:rsidRPr="00C77C24">
        <w:rPr>
          <w:rFonts w:ascii="Arial" w:hAnsi="Arial" w:cs="Arial"/>
          <w:b/>
          <w:bCs/>
        </w:rPr>
        <w:t xml:space="preserve"> woodland diameter distributions for oak species.  </w:t>
      </w:r>
      <w:r w:rsidRPr="00C77C24">
        <w:rPr>
          <w:rFonts w:ascii="Arial" w:eastAsia="Times New Roman" w:hAnsi="Arial" w:cs="Arial"/>
        </w:rPr>
        <w:t xml:space="preserve">Diameter distributions for dry mesic woodlands at Ozark National Scenic Riverways.  Post burn data indicates data collected after 5 burns.  A lack of error bar indicates that only one plot had trees in that species </w:t>
      </w:r>
      <w:r w:rsidRPr="00C77C24">
        <w:rPr>
          <w:rFonts w:ascii="Arial" w:eastAsia="Times New Roman" w:hAnsi="Arial" w:cs="Arial"/>
        </w:rPr>
        <w:lastRenderedPageBreak/>
        <w:t>group for a given diameter at breast height (DBH).  Data was collected in post burn years from 1999 to 2021</w:t>
      </w:r>
      <w:r w:rsidRPr="00C77C24">
        <w:rPr>
          <w:rFonts w:ascii="Arial" w:eastAsia="Times New Roman" w:hAnsi="Arial" w:cs="Arial"/>
        </w:rPr>
        <w:t xml:space="preserve">. </w:t>
      </w:r>
      <w:r w:rsidRPr="00C77C24">
        <w:rPr>
          <w:rFonts w:ascii="Arial" w:eastAsia="Times New Roman" w:hAnsi="Arial" w:cs="Arial"/>
        </w:rPr>
        <w:t xml:space="preserve"> </w:t>
      </w:r>
      <w:r w:rsidRPr="00C77C24">
        <w:rPr>
          <w:rFonts w:ascii="Arial" w:eastAsia="Times New Roman" w:hAnsi="Arial" w:cs="Arial"/>
          <w:b/>
          <w:bCs/>
        </w:rPr>
        <w:t>(</w:t>
      </w:r>
      <w:r w:rsidRPr="00C77C24">
        <w:rPr>
          <w:rFonts w:ascii="Arial" w:eastAsia="Times New Roman" w:hAnsi="Arial" w:cs="Arial"/>
          <w:b/>
          <w:bCs/>
        </w:rPr>
        <w:t>A</w:t>
      </w:r>
      <w:r w:rsidRPr="00C77C24">
        <w:rPr>
          <w:rFonts w:ascii="Arial" w:eastAsia="Times New Roman" w:hAnsi="Arial" w:cs="Arial"/>
          <w:b/>
          <w:bCs/>
        </w:rPr>
        <w:t xml:space="preserve">) </w:t>
      </w:r>
      <w:r w:rsidRPr="00C77C24">
        <w:rPr>
          <w:rFonts w:ascii="Arial" w:eastAsia="Times New Roman" w:hAnsi="Arial" w:cs="Arial"/>
        </w:rPr>
        <w:t>Pre</w:t>
      </w:r>
      <w:r w:rsidRPr="00C77C24">
        <w:rPr>
          <w:rFonts w:ascii="Arial" w:eastAsia="Times New Roman" w:hAnsi="Arial" w:cs="Arial"/>
        </w:rPr>
        <w:t xml:space="preserve"> </w:t>
      </w:r>
      <w:r w:rsidRPr="00C77C24">
        <w:rPr>
          <w:rFonts w:ascii="Arial" w:eastAsia="Times New Roman" w:hAnsi="Arial" w:cs="Arial"/>
        </w:rPr>
        <w:t xml:space="preserve">burn oak species diameter distributions.  </w:t>
      </w:r>
      <w:r w:rsidRPr="00C77C24">
        <w:rPr>
          <w:rFonts w:ascii="Arial" w:eastAsia="Times New Roman" w:hAnsi="Arial" w:cs="Arial"/>
          <w:b/>
          <w:bCs/>
        </w:rPr>
        <w:t>(</w:t>
      </w:r>
      <w:r w:rsidRPr="00C77C24">
        <w:rPr>
          <w:rFonts w:ascii="Arial" w:eastAsia="Times New Roman" w:hAnsi="Arial" w:cs="Arial"/>
          <w:b/>
          <w:bCs/>
        </w:rPr>
        <w:t>B</w:t>
      </w:r>
      <w:r w:rsidRPr="00C77C24">
        <w:rPr>
          <w:rFonts w:ascii="Arial" w:eastAsia="Times New Roman" w:hAnsi="Arial" w:cs="Arial"/>
          <w:b/>
          <w:bCs/>
        </w:rPr>
        <w:t>)</w:t>
      </w:r>
      <w:r w:rsidRPr="00C77C24">
        <w:rPr>
          <w:rFonts w:ascii="Arial" w:eastAsia="Times New Roman" w:hAnsi="Arial" w:cs="Arial"/>
        </w:rPr>
        <w:t xml:space="preserve"> Post burn oak species diameter distributions.  The dominant species was Q. alba.  Q. alba saw a decline in midstory trees but did not completely lose the midstory layer in post burn treatments.</w:t>
      </w:r>
    </w:p>
    <w:p w14:paraId="1798059B" w14:textId="77777777" w:rsidR="000D6DE4" w:rsidRPr="00C77C24" w:rsidRDefault="000D6DE4" w:rsidP="00671583">
      <w:pPr>
        <w:spacing w:after="0" w:line="480" w:lineRule="auto"/>
        <w:rPr>
          <w:rFonts w:ascii="Arial" w:hAnsi="Arial" w:cs="Arial"/>
          <w:b/>
          <w:bCs/>
        </w:rPr>
      </w:pPr>
    </w:p>
    <w:p w14:paraId="5CA7104A" w14:textId="77777777" w:rsidR="00D13C84" w:rsidRPr="00C77C24" w:rsidRDefault="00D13C84" w:rsidP="00671583">
      <w:pPr>
        <w:spacing w:after="0" w:line="480" w:lineRule="auto"/>
        <w:rPr>
          <w:rFonts w:ascii="Arial" w:hAnsi="Arial" w:cs="Arial"/>
          <w:b/>
          <w:bCs/>
        </w:rPr>
      </w:pPr>
    </w:p>
    <w:p w14:paraId="080B98A6" w14:textId="77777777" w:rsidR="00D13C84" w:rsidRPr="00C77C24" w:rsidRDefault="00D13C84" w:rsidP="00671583">
      <w:pPr>
        <w:spacing w:after="0" w:line="480" w:lineRule="auto"/>
        <w:rPr>
          <w:rFonts w:ascii="Arial" w:hAnsi="Arial" w:cs="Arial"/>
          <w:b/>
          <w:bCs/>
        </w:rPr>
      </w:pPr>
    </w:p>
    <w:p w14:paraId="17AF1616" w14:textId="77777777" w:rsidR="00D13C84" w:rsidRPr="00C77C24" w:rsidRDefault="00D13C84" w:rsidP="00671583">
      <w:pPr>
        <w:spacing w:after="0" w:line="480" w:lineRule="auto"/>
        <w:rPr>
          <w:rFonts w:ascii="Arial" w:hAnsi="Arial" w:cs="Arial"/>
          <w:b/>
          <w:bCs/>
        </w:rPr>
      </w:pPr>
    </w:p>
    <w:p w14:paraId="43115D9C" w14:textId="37753024" w:rsidR="00C912DC" w:rsidRPr="00C77C24" w:rsidRDefault="00C912DC" w:rsidP="00671583">
      <w:pPr>
        <w:spacing w:after="0" w:line="480" w:lineRule="auto"/>
        <w:rPr>
          <w:rFonts w:ascii="Arial" w:hAnsi="Arial" w:cs="Arial"/>
        </w:rPr>
      </w:pPr>
      <w:r w:rsidRPr="00C77C24">
        <w:rPr>
          <w:rFonts w:ascii="Arial" w:hAnsi="Arial" w:cs="Arial"/>
          <w:noProof/>
        </w:rPr>
        <w:lastRenderedPageBreak/>
        <w:drawing>
          <wp:inline distT="0" distB="0" distL="0" distR="0" wp14:anchorId="25C493A5" wp14:editId="60A8EB11">
            <wp:extent cx="5943600" cy="6118225"/>
            <wp:effectExtent l="0" t="0" r="0" b="0"/>
            <wp:docPr id="50671902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719022" name="Picture 1" descr="A screenshot of a computer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1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6065A" w14:textId="70A86648" w:rsidR="00CD6088" w:rsidRPr="00C77C24" w:rsidRDefault="00C912DC" w:rsidP="00671583">
      <w:pPr>
        <w:spacing w:after="0" w:line="480" w:lineRule="auto"/>
        <w:rPr>
          <w:rFonts w:ascii="Arial" w:eastAsia="Times New Roman" w:hAnsi="Arial" w:cs="Arial"/>
        </w:rPr>
      </w:pPr>
      <w:r w:rsidRPr="00C77C24">
        <w:rPr>
          <w:rFonts w:ascii="Arial" w:hAnsi="Arial" w:cs="Arial"/>
          <w:b/>
          <w:bCs/>
        </w:rPr>
        <w:t xml:space="preserve">Figure S4.  </w:t>
      </w:r>
      <w:r w:rsidRPr="00C77C24">
        <w:rPr>
          <w:rFonts w:ascii="Arial" w:hAnsi="Arial" w:cs="Arial"/>
          <w:b/>
          <w:bCs/>
        </w:rPr>
        <w:t>Dry woodland diameter distributions</w:t>
      </w:r>
      <w:r w:rsidRPr="00C77C24">
        <w:rPr>
          <w:rFonts w:ascii="Arial" w:hAnsi="Arial" w:cs="Arial"/>
          <w:b/>
          <w:bCs/>
        </w:rPr>
        <w:t xml:space="preserve"> for oak species</w:t>
      </w:r>
      <w:r w:rsidRPr="00C77C24">
        <w:rPr>
          <w:rFonts w:ascii="Arial" w:hAnsi="Arial" w:cs="Arial"/>
          <w:b/>
          <w:bCs/>
        </w:rPr>
        <w:t>.</w:t>
      </w:r>
      <w:r w:rsidRPr="00C77C24">
        <w:rPr>
          <w:rFonts w:ascii="Arial" w:hAnsi="Arial" w:cs="Arial"/>
        </w:rPr>
        <w:t xml:space="preserve">  </w:t>
      </w:r>
      <w:r w:rsidRPr="00C77C24">
        <w:rPr>
          <w:rFonts w:ascii="Arial" w:eastAsia="Times New Roman" w:hAnsi="Arial" w:cs="Arial"/>
        </w:rPr>
        <w:t xml:space="preserve">Diameter distributions for dry woodlands at Ozark National Scenic Riverways.  Post burn data indicates data collected after 5 burns.  A lack of error bar indicates that only one plot had trees in that species group for a given diameter at breast height (DBH).  Data was collected in post burn years from 1999 to 2021.  </w:t>
      </w:r>
      <w:r w:rsidRPr="00C77C24">
        <w:rPr>
          <w:rFonts w:ascii="Arial" w:eastAsia="Times New Roman" w:hAnsi="Arial" w:cs="Arial"/>
          <w:b/>
          <w:bCs/>
        </w:rPr>
        <w:t>(A)</w:t>
      </w:r>
      <w:r w:rsidRPr="00C77C24">
        <w:rPr>
          <w:rFonts w:ascii="Arial" w:eastAsia="Times New Roman" w:hAnsi="Arial" w:cs="Arial"/>
        </w:rPr>
        <w:t xml:space="preserve"> Pre burn species </w:t>
      </w:r>
      <w:r w:rsidRPr="00C77C24">
        <w:rPr>
          <w:rFonts w:ascii="Arial" w:eastAsia="Times New Roman" w:hAnsi="Arial" w:cs="Arial"/>
        </w:rPr>
        <w:t>oak species</w:t>
      </w:r>
      <w:r w:rsidRPr="00C77C24">
        <w:rPr>
          <w:rFonts w:ascii="Arial" w:eastAsia="Times New Roman" w:hAnsi="Arial" w:cs="Arial"/>
        </w:rPr>
        <w:t xml:space="preserve"> diameter distributions.  </w:t>
      </w:r>
      <w:r w:rsidRPr="00C77C24">
        <w:rPr>
          <w:rFonts w:ascii="Arial" w:eastAsia="Times New Roman" w:hAnsi="Arial" w:cs="Arial"/>
          <w:b/>
          <w:bCs/>
        </w:rPr>
        <w:t>(B)</w:t>
      </w:r>
      <w:r w:rsidRPr="00C77C24">
        <w:rPr>
          <w:rFonts w:ascii="Arial" w:eastAsia="Times New Roman" w:hAnsi="Arial" w:cs="Arial"/>
        </w:rPr>
        <w:t xml:space="preserve"> Post burn </w:t>
      </w:r>
      <w:r w:rsidRPr="00C77C24">
        <w:rPr>
          <w:rFonts w:ascii="Arial" w:eastAsia="Times New Roman" w:hAnsi="Arial" w:cs="Arial"/>
        </w:rPr>
        <w:t xml:space="preserve">oak </w:t>
      </w:r>
      <w:r w:rsidRPr="00C77C24">
        <w:rPr>
          <w:rFonts w:ascii="Arial" w:eastAsia="Times New Roman" w:hAnsi="Arial" w:cs="Arial"/>
        </w:rPr>
        <w:t>species</w:t>
      </w:r>
      <w:r w:rsidRPr="00C77C24">
        <w:rPr>
          <w:rFonts w:ascii="Arial" w:eastAsia="Times New Roman" w:hAnsi="Arial" w:cs="Arial"/>
        </w:rPr>
        <w:t xml:space="preserve"> </w:t>
      </w:r>
      <w:r w:rsidRPr="00C77C24">
        <w:rPr>
          <w:rFonts w:ascii="Arial" w:eastAsia="Times New Roman" w:hAnsi="Arial" w:cs="Arial"/>
        </w:rPr>
        <w:lastRenderedPageBreak/>
        <w:t xml:space="preserve">diameter distributions.  All species but </w:t>
      </w:r>
      <w:r w:rsidR="00671583" w:rsidRPr="00C77C24">
        <w:rPr>
          <w:rFonts w:ascii="Arial" w:eastAsia="Times New Roman" w:hAnsi="Arial" w:cs="Arial"/>
        </w:rPr>
        <w:t>white oak (</w:t>
      </w:r>
      <w:r w:rsidRPr="00C77C24">
        <w:rPr>
          <w:rFonts w:ascii="Arial" w:eastAsia="Times New Roman" w:hAnsi="Arial" w:cs="Arial"/>
          <w:i/>
          <w:iCs/>
        </w:rPr>
        <w:t>Q. alba</w:t>
      </w:r>
      <w:r w:rsidR="00671583" w:rsidRPr="00C77C24">
        <w:rPr>
          <w:rFonts w:ascii="Arial" w:eastAsia="Times New Roman" w:hAnsi="Arial" w:cs="Arial"/>
        </w:rPr>
        <w:t>)</w:t>
      </w:r>
      <w:r w:rsidRPr="00C77C24">
        <w:rPr>
          <w:rFonts w:ascii="Arial" w:eastAsia="Times New Roman" w:hAnsi="Arial" w:cs="Arial"/>
        </w:rPr>
        <w:t xml:space="preserve"> appear to lose their midstory layer, and even for Q. alba, very few to only single plots contain midstory size trees.</w:t>
      </w:r>
    </w:p>
    <w:p w14:paraId="34100A96" w14:textId="77777777" w:rsidR="00671583" w:rsidRPr="00C77C24" w:rsidRDefault="00671583" w:rsidP="00671583">
      <w:pPr>
        <w:spacing w:after="0" w:line="480" w:lineRule="auto"/>
        <w:rPr>
          <w:rFonts w:ascii="Arial" w:eastAsia="Times New Roman" w:hAnsi="Arial" w:cs="Arial"/>
        </w:rPr>
      </w:pPr>
    </w:p>
    <w:p w14:paraId="63978A17" w14:textId="49AC741B" w:rsidR="00671583" w:rsidRPr="00C77C24" w:rsidRDefault="000D6DE4" w:rsidP="00671583">
      <w:pPr>
        <w:spacing w:after="0" w:line="480" w:lineRule="auto"/>
        <w:rPr>
          <w:rFonts w:ascii="Arial" w:eastAsia="Times New Roman" w:hAnsi="Arial" w:cs="Arial"/>
        </w:rPr>
      </w:pPr>
      <w:r w:rsidRPr="00C77C24">
        <w:rPr>
          <w:rFonts w:ascii="Arial" w:eastAsia="Times New Roman" w:hAnsi="Arial" w:cs="Arial"/>
          <w:noProof/>
        </w:rPr>
        <w:lastRenderedPageBreak/>
        <w:drawing>
          <wp:inline distT="0" distB="0" distL="0" distR="0" wp14:anchorId="77EF0380" wp14:editId="7D52D2CF">
            <wp:extent cx="5943600" cy="7865745"/>
            <wp:effectExtent l="0" t="0" r="0" b="0"/>
            <wp:docPr id="190898441" name="Picture 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98441" name="Picture 3" descr="A screenshot of a computer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6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0CE67" w14:textId="7E682B52" w:rsidR="000D6DE4" w:rsidRPr="00C77C24" w:rsidRDefault="000D6DE4" w:rsidP="00671583">
      <w:pPr>
        <w:spacing w:after="0" w:line="480" w:lineRule="auto"/>
        <w:rPr>
          <w:rFonts w:ascii="Arial" w:eastAsia="Times New Roman" w:hAnsi="Arial" w:cs="Arial"/>
        </w:rPr>
      </w:pPr>
      <w:r w:rsidRPr="00C77C24">
        <w:rPr>
          <w:rFonts w:ascii="Arial" w:hAnsi="Arial" w:cs="Arial"/>
          <w:b/>
          <w:bCs/>
        </w:rPr>
        <w:lastRenderedPageBreak/>
        <w:t>Figure S</w:t>
      </w:r>
      <w:r w:rsidRPr="00C77C24">
        <w:rPr>
          <w:rFonts w:ascii="Arial" w:hAnsi="Arial" w:cs="Arial"/>
          <w:b/>
          <w:bCs/>
        </w:rPr>
        <w:t>5</w:t>
      </w:r>
      <w:r w:rsidRPr="00C77C24">
        <w:rPr>
          <w:rFonts w:ascii="Arial" w:hAnsi="Arial" w:cs="Arial"/>
          <w:b/>
          <w:bCs/>
        </w:rPr>
        <w:t xml:space="preserve">.  </w:t>
      </w:r>
      <w:r w:rsidRPr="00C77C24">
        <w:rPr>
          <w:rFonts w:ascii="Arial" w:hAnsi="Arial" w:cs="Arial"/>
          <w:b/>
          <w:bCs/>
        </w:rPr>
        <w:t>Glade</w:t>
      </w:r>
      <w:r w:rsidRPr="00C77C24">
        <w:rPr>
          <w:rFonts w:ascii="Arial" w:hAnsi="Arial" w:cs="Arial"/>
          <w:b/>
          <w:bCs/>
        </w:rPr>
        <w:t xml:space="preserve"> diameter distributions for oak species.</w:t>
      </w:r>
      <w:r w:rsidRPr="00C77C24">
        <w:rPr>
          <w:rFonts w:ascii="Arial" w:hAnsi="Arial" w:cs="Arial"/>
        </w:rPr>
        <w:t xml:space="preserve">  </w:t>
      </w:r>
      <w:r w:rsidRPr="00C77C24">
        <w:rPr>
          <w:rFonts w:ascii="Arial" w:eastAsia="Times New Roman" w:hAnsi="Arial" w:cs="Arial"/>
        </w:rPr>
        <w:t xml:space="preserve">Diameter distributions for glades at Ozark National Scenic Riverways.  Post burn data indicates data collected after 5 burns.  A lack of error bar indicates that only one plot had trees in that species group for a given diameter at breast height (DBH).  Data was collected in post burn years from 1999 to 2021. </w:t>
      </w:r>
      <w:r w:rsidRPr="00C77C24">
        <w:rPr>
          <w:rFonts w:ascii="Arial" w:eastAsia="Times New Roman" w:hAnsi="Arial" w:cs="Arial"/>
          <w:b/>
          <w:bCs/>
        </w:rPr>
        <w:t>(C)</w:t>
      </w:r>
      <w:r w:rsidRPr="00C77C24">
        <w:rPr>
          <w:rFonts w:ascii="Arial" w:eastAsia="Times New Roman" w:hAnsi="Arial" w:cs="Arial"/>
        </w:rPr>
        <w:t xml:space="preserve"> Pre</w:t>
      </w:r>
      <w:r w:rsidRPr="00C77C24">
        <w:rPr>
          <w:rFonts w:ascii="Arial" w:eastAsia="Times New Roman" w:hAnsi="Arial" w:cs="Arial"/>
        </w:rPr>
        <w:t xml:space="preserve"> </w:t>
      </w:r>
      <w:r w:rsidRPr="00C77C24">
        <w:rPr>
          <w:rFonts w:ascii="Arial" w:eastAsia="Times New Roman" w:hAnsi="Arial" w:cs="Arial"/>
        </w:rPr>
        <w:t xml:space="preserve">burn oak species diameter distributions.  </w:t>
      </w:r>
      <w:r w:rsidRPr="00C77C24">
        <w:rPr>
          <w:rFonts w:ascii="Arial" w:eastAsia="Times New Roman" w:hAnsi="Arial" w:cs="Arial"/>
          <w:b/>
          <w:bCs/>
        </w:rPr>
        <w:t>(D)</w:t>
      </w:r>
      <w:r w:rsidRPr="00C77C24">
        <w:rPr>
          <w:rFonts w:ascii="Arial" w:eastAsia="Times New Roman" w:hAnsi="Arial" w:cs="Arial"/>
        </w:rPr>
        <w:t xml:space="preserve"> Post burn oak species diameter distributions.</w:t>
      </w:r>
    </w:p>
    <w:sectPr w:rsidR="000D6DE4" w:rsidRPr="00C77C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C3"/>
    <w:rsid w:val="00044921"/>
    <w:rsid w:val="000D6DE4"/>
    <w:rsid w:val="00487FCC"/>
    <w:rsid w:val="00613F20"/>
    <w:rsid w:val="00671583"/>
    <w:rsid w:val="0073262B"/>
    <w:rsid w:val="007869E6"/>
    <w:rsid w:val="009C6542"/>
    <w:rsid w:val="009E04F4"/>
    <w:rsid w:val="00A40E7D"/>
    <w:rsid w:val="00C77C24"/>
    <w:rsid w:val="00C912DC"/>
    <w:rsid w:val="00CD6088"/>
    <w:rsid w:val="00D13C84"/>
    <w:rsid w:val="00E811C3"/>
    <w:rsid w:val="00FB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515FA"/>
  <w15:chartTrackingRefBased/>
  <w15:docId w15:val="{91A04A87-B4A4-4B6E-875D-B3FA5D458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CD6088"/>
    <w:pPr>
      <w:spacing w:after="200" w:line="240" w:lineRule="auto"/>
    </w:pPr>
    <w:rPr>
      <w:i/>
      <w:iCs/>
      <w:color w:val="44546A" w:themeColor="text2"/>
      <w:kern w:val="0"/>
      <w:sz w:val="18"/>
      <w:szCs w:val="18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9C654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Stephen, Carolyn (MU-Student)</dc:creator>
  <cp:keywords/>
  <dc:description/>
  <cp:lastModifiedBy>Stephen, Carolyn (MU-Student)</cp:lastModifiedBy>
  <cp:revision>7</cp:revision>
  <dcterms:created xsi:type="dcterms:W3CDTF">2023-12-18T02:04:00Z</dcterms:created>
  <dcterms:modified xsi:type="dcterms:W3CDTF">2023-12-18T02:41:00Z</dcterms:modified>
</cp:coreProperties>
</file>