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cs="Times New Roman"/>
          <w:b/>
          <w:bCs/>
          <w:sz w:val="4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>Detectio</w:t>
      </w:r>
      <w:r>
        <w:rPr>
          <w:rFonts w:ascii="Times New Roman" w:hAnsi="Times New Roman" w:cs="Times New Roman"/>
          <w:b/>
          <w:color w:val="212529"/>
          <w:sz w:val="28"/>
          <w:szCs w:val="18"/>
          <w:highlight w:val="none"/>
          <w:shd w:val="clear" w:color="auto" w:fill="FFFFFF"/>
        </w:rPr>
        <w:t xml:space="preserve">n of </w:t>
      </w:r>
      <w:r>
        <w:rPr>
          <w:rFonts w:ascii="Times New Roman" w:hAnsi="Times New Roman" w:cs="Times New Roman"/>
          <w:b/>
          <w:i/>
          <w:iCs/>
          <w:color w:val="212529"/>
          <w:sz w:val="28"/>
          <w:szCs w:val="18"/>
          <w:highlight w:val="none"/>
          <w:shd w:val="clear" w:color="auto" w:fill="FFFFFF"/>
        </w:rPr>
        <w:t>Sarcocystis albifronsi</w:t>
      </w:r>
      <w:r>
        <w:rPr>
          <w:rFonts w:ascii="Times New Roman" w:hAnsi="Times New Roman" w:cs="Times New Roman"/>
          <w:b/>
          <w:color w:val="212529"/>
          <w:sz w:val="28"/>
          <w:szCs w:val="18"/>
          <w:highlight w:val="none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i/>
          <w:iCs/>
          <w:color w:val="212529"/>
          <w:sz w:val="28"/>
          <w:szCs w:val="18"/>
          <w:highlight w:val="none"/>
          <w:shd w:val="clear" w:color="auto" w:fill="FFFFFF"/>
        </w:rPr>
        <w:t>Eimeria alpacae</w:t>
      </w:r>
      <w:r>
        <w:rPr>
          <w:rFonts w:ascii="Times New Roman" w:hAnsi="Times New Roman" w:cs="Times New Roman"/>
          <w:b/>
          <w:color w:val="212529"/>
          <w:sz w:val="28"/>
          <w:szCs w:val="18"/>
          <w:highlight w:val="none"/>
          <w:shd w:val="clear" w:color="auto" w:fill="FFFFFF"/>
        </w:rPr>
        <w:t xml:space="preserve">, and </w:t>
      </w:r>
      <w:r>
        <w:rPr>
          <w:rFonts w:ascii="Times New Roman" w:hAnsi="Times New Roman" w:cs="Times New Roman"/>
          <w:b/>
          <w:i/>
          <w:iCs/>
          <w:color w:val="212529"/>
          <w:sz w:val="28"/>
          <w:szCs w:val="18"/>
          <w:highlight w:val="none"/>
          <w:shd w:val="clear" w:color="auto" w:fill="FFFFFF"/>
        </w:rPr>
        <w:t>Cystoisospora felis</w:t>
      </w:r>
      <w:r>
        <w:rPr>
          <w:rFonts w:ascii="Times New Roman" w:hAnsi="Times New Roman" w:cs="Times New Roman"/>
          <w:b/>
          <w:color w:val="212529"/>
          <w:sz w:val="28"/>
          <w:szCs w:val="18"/>
          <w:highlight w:val="none"/>
          <w:shd w:val="clear" w:color="auto" w:fill="FFFFFF"/>
        </w:rPr>
        <w:t xml:space="preserve"> in Eurasian Lynx (</w:t>
      </w:r>
      <w:r>
        <w:rPr>
          <w:rFonts w:ascii="Times New Roman" w:hAnsi="Times New Roman" w:cs="Times New Roman"/>
          <w:b/>
          <w:i/>
          <w:iCs/>
          <w:color w:val="212529"/>
          <w:sz w:val="28"/>
          <w:szCs w:val="18"/>
          <w:highlight w:val="none"/>
          <w:shd w:val="clear" w:color="auto" w:fill="FFFFFF"/>
        </w:rPr>
        <w:t>Lynx Lynx</w:t>
      </w:r>
      <w:r>
        <w:rPr>
          <w:rFonts w:ascii="Times New Roman" w:hAnsi="Times New Roman" w:cs="Times New Roman"/>
          <w:b/>
          <w:color w:val="212529"/>
          <w:sz w:val="28"/>
          <w:szCs w:val="18"/>
          <w:highlight w:val="none"/>
          <w:shd w:val="clear" w:color="auto" w:fill="FFFFFF"/>
        </w:rPr>
        <w:t>) in Northwestern C</w:t>
      </w:r>
      <w:r>
        <w:rPr>
          <w:rFonts w:ascii="Times New Roman" w:hAnsi="Times New Roman" w:cs="Times New Roman"/>
          <w:b/>
          <w:color w:val="212529"/>
          <w:sz w:val="28"/>
          <w:szCs w:val="18"/>
          <w:shd w:val="clear" w:color="auto" w:fill="FFFFFF"/>
        </w:rPr>
        <w:t>hina</w:t>
      </w:r>
    </w:p>
    <w:p>
      <w:pPr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Appendix Table S1. </w:t>
      </w:r>
      <w:r>
        <w:rPr>
          <w:rFonts w:hint="default" w:ascii="Times New Roman" w:hAnsi="Times New Roman" w:cs="Times New Roman"/>
          <w:szCs w:val="21"/>
        </w:rPr>
        <w:t>The PCR equipment was a Mastercycler X50s, Eppendorf, Germany.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PCR amplification to detect 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</w:rPr>
        <w:t>Sarcocystis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based on th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</w:rPr>
        <w:t>e COX 1 gen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e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The PCR amplifications were performed in a 25-μL reaction volume. The reaction mixture contained 0.75 μmol/L of each primer (rrf-O), 250 μM of each dNTP, and 1.0 U of Taq polymerase (TaKaRa Taq Version 2.0, Takara, Dalian, China). 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615</w:t>
      </w:r>
      <w:r>
        <w:rPr>
          <w:rFonts w:hint="default" w:ascii="Times New Roman" w:hAnsi="Times New Roman" w:cs="Times New Roman"/>
          <w:szCs w:val="21"/>
        </w:rPr>
        <w:t>bp fragment, the cycling conditions consisted of an initial 5-min denaturation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>°C, followed by 35 cycles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°C for 30 s, </w:t>
      </w:r>
      <w:r>
        <w:rPr>
          <w:rFonts w:hint="eastAsia" w:ascii="Times New Roman" w:hAnsi="Times New Roman" w:cs="Times New Roman"/>
          <w:szCs w:val="21"/>
          <w:lang w:val="en-US" w:eastAsia="zh-CN"/>
        </w:rPr>
        <w:t>57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35</w:t>
      </w:r>
      <w:r>
        <w:rPr>
          <w:rFonts w:hint="default" w:ascii="Times New Roman" w:hAnsi="Times New Roman" w:cs="Times New Roman"/>
          <w:szCs w:val="21"/>
        </w:rPr>
        <w:t xml:space="preserve">s, and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</w:rPr>
        <w:t xml:space="preserve">0s,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404</w:t>
      </w:r>
      <w:r>
        <w:rPr>
          <w:rFonts w:hint="default" w:ascii="Times New Roman" w:hAnsi="Times New Roman" w:cs="Times New Roman"/>
          <w:szCs w:val="21"/>
        </w:rPr>
        <w:t xml:space="preserve"> bp fragment, the cycling conditions consisted of an initial 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-min denaturation at 95°C, followed by </w:t>
      </w:r>
      <w:r>
        <w:rPr>
          <w:rFonts w:hint="eastAsia" w:ascii="Times New Roman" w:hAnsi="Times New Roman" w:cs="Times New Roman"/>
          <w:szCs w:val="21"/>
          <w:lang w:val="en-US" w:eastAsia="zh-CN"/>
        </w:rPr>
        <w:t>35</w:t>
      </w:r>
      <w:r>
        <w:rPr>
          <w:rFonts w:hint="default" w:ascii="Times New Roman" w:hAnsi="Times New Roman" w:cs="Times New Roman"/>
          <w:szCs w:val="21"/>
        </w:rPr>
        <w:t xml:space="preserve"> cycles at 95°C for 30s, 5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 xml:space="preserve">°C for 30 s, and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</w:rPr>
        <w:t xml:space="preserve">0 sec,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. PCR amplification to detect 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  <w:lang w:val="en-US" w:eastAsia="zh-CN"/>
        </w:rPr>
        <w:t>Eimeria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based on the COX 1 gene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The PCR amplifications were performed in a 25-μL reaction volume. The reaction mixture contained 0.75 μmol/L of each primer (rrf-O), 250 μM of each dNTP, and 1.0 U of Taq polymerase (TaKaRa Taq Version 2.0, Takara, Dalian, China). 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800</w:t>
      </w:r>
      <w:r>
        <w:rPr>
          <w:rFonts w:hint="default" w:ascii="Times New Roman" w:hAnsi="Times New Roman" w:cs="Times New Roman"/>
          <w:szCs w:val="21"/>
        </w:rPr>
        <w:t>bp fragment, the cycling conditions consisted of an initial 5-min denaturation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 xml:space="preserve">°C, followed by </w:t>
      </w:r>
      <w:r>
        <w:rPr>
          <w:rFonts w:hint="eastAsia" w:ascii="Times New Roman" w:hAnsi="Times New Roman" w:cs="Times New Roman"/>
          <w:szCs w:val="21"/>
          <w:lang w:val="en-US" w:eastAsia="zh-CN"/>
        </w:rPr>
        <w:t>40</w:t>
      </w:r>
      <w:r>
        <w:rPr>
          <w:rFonts w:hint="default" w:ascii="Times New Roman" w:hAnsi="Times New Roman" w:cs="Times New Roman"/>
          <w:szCs w:val="21"/>
        </w:rPr>
        <w:t xml:space="preserve"> cycles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Cs w:val="21"/>
        </w:rPr>
        <w:t xml:space="preserve">0 s, </w:t>
      </w:r>
      <w:r>
        <w:rPr>
          <w:rFonts w:hint="eastAsia" w:ascii="Times New Roman" w:hAnsi="Times New Roman" w:cs="Times New Roman"/>
          <w:szCs w:val="21"/>
          <w:lang w:val="en-US" w:eastAsia="zh-CN"/>
        </w:rPr>
        <w:t>55</w:t>
      </w:r>
      <w:r>
        <w:rPr>
          <w:rFonts w:hint="default" w:ascii="Times New Roman" w:hAnsi="Times New Roman" w:cs="Times New Roman"/>
          <w:szCs w:val="21"/>
        </w:rPr>
        <w:t xml:space="preserve">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Cs w:val="21"/>
        </w:rPr>
        <w:t xml:space="preserve">0s, and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9</w:t>
      </w:r>
      <w:r>
        <w:rPr>
          <w:rFonts w:hint="default" w:ascii="Times New Roman" w:hAnsi="Times New Roman" w:cs="Times New Roman"/>
          <w:szCs w:val="21"/>
        </w:rPr>
        <w:t xml:space="preserve">0s,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For 4</w:t>
      </w:r>
      <w:r>
        <w:rPr>
          <w:rFonts w:hint="eastAsia" w:ascii="Times New Roman" w:hAnsi="Times New Roman" w:cs="Times New Roman"/>
          <w:szCs w:val="21"/>
          <w:lang w:val="en-US" w:eastAsia="zh-CN"/>
        </w:rPr>
        <w:t>65</w:t>
      </w:r>
      <w:r>
        <w:rPr>
          <w:rFonts w:hint="default" w:ascii="Times New Roman" w:hAnsi="Times New Roman" w:cs="Times New Roman"/>
          <w:szCs w:val="21"/>
        </w:rPr>
        <w:t xml:space="preserve"> bp fragment, the cycling conditions consisted of an initial 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-min denaturation at 95°C, followed by </w:t>
      </w:r>
      <w:r>
        <w:rPr>
          <w:rFonts w:hint="eastAsia" w:ascii="Times New Roman" w:hAnsi="Times New Roman" w:cs="Times New Roman"/>
          <w:szCs w:val="21"/>
          <w:lang w:val="en-US" w:eastAsia="zh-CN"/>
        </w:rPr>
        <w:t>35</w:t>
      </w:r>
      <w:r>
        <w:rPr>
          <w:rFonts w:hint="default" w:ascii="Times New Roman" w:hAnsi="Times New Roman" w:cs="Times New Roman"/>
          <w:szCs w:val="21"/>
        </w:rPr>
        <w:t xml:space="preserve"> cycles at 95°C for 30s, 5</w:t>
      </w:r>
      <w:r>
        <w:rPr>
          <w:rFonts w:hint="eastAsia" w:ascii="Times New Roman" w:hAnsi="Times New Roman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Cs w:val="21"/>
        </w:rPr>
        <w:t xml:space="preserve">°C for 30 s, and 72°C for 40 sec,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. PCR amplification to detect 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  <w:lang w:val="en-US" w:eastAsia="zh-CN"/>
        </w:rPr>
        <w:t>Cystoisospora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based on the </w:t>
      </w:r>
      <w:r>
        <w:rPr>
          <w:rFonts w:hint="default" w:ascii="Times New Roman" w:hAnsi="Times New Roman" w:cs="Times New Roman"/>
          <w:b/>
          <w:bCs/>
          <w:i/>
          <w:iCs/>
          <w:sz w:val="22"/>
          <w:szCs w:val="22"/>
        </w:rPr>
        <w:t>18S rRNA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gene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The PCR amplifications were performed in a 25-μL reaction volume. The reaction mixture contained 0.75 μmol/L of each primer (rrf-O), 250 μM of each dNTP, and 1.0 U of Taq polymerase (TaKaRa Taq Version 2.0, Takara, Dalian, China). 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 xml:space="preserve">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1015 to 1035</w:t>
      </w:r>
      <w:r>
        <w:rPr>
          <w:rFonts w:hint="default" w:ascii="Times New Roman" w:hAnsi="Times New Roman" w:cs="Times New Roman"/>
          <w:szCs w:val="21"/>
        </w:rPr>
        <w:t>bp fragment, the cycling conditions consisted of an initial 5-min denaturation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>°C, followed by 35 cycles at 9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°C for 30 s, </w:t>
      </w:r>
      <w:r>
        <w:rPr>
          <w:rFonts w:hint="eastAsia" w:ascii="Times New Roman" w:hAnsi="Times New Roman" w:cs="Times New Roman"/>
          <w:szCs w:val="21"/>
          <w:lang w:val="en-US" w:eastAsia="zh-CN"/>
        </w:rPr>
        <w:t>55</w:t>
      </w:r>
      <w:r>
        <w:rPr>
          <w:rFonts w:hint="default" w:ascii="Times New Roman" w:hAnsi="Times New Roman" w:cs="Times New Roman"/>
          <w:szCs w:val="21"/>
        </w:rPr>
        <w:t xml:space="preserve">°C for 40s, and 72°C for 40s,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>
      <w:pPr>
        <w:ind w:firstLine="210" w:firstLineChars="100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For 4</w:t>
      </w:r>
      <w:r>
        <w:rPr>
          <w:rFonts w:hint="eastAsia" w:ascii="Times New Roman" w:hAnsi="Times New Roman" w:cs="Times New Roman"/>
          <w:szCs w:val="21"/>
          <w:lang w:val="en-US" w:eastAsia="zh-CN"/>
        </w:rPr>
        <w:t>65</w:t>
      </w:r>
      <w:r>
        <w:rPr>
          <w:rFonts w:hint="default" w:ascii="Times New Roman" w:hAnsi="Times New Roman" w:cs="Times New Roman"/>
          <w:szCs w:val="21"/>
        </w:rPr>
        <w:t xml:space="preserve"> bp fragment, the cycling conditions consisted of an initial 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szCs w:val="21"/>
        </w:rPr>
        <w:t xml:space="preserve">-min denaturation at 95°C, followed by </w:t>
      </w:r>
      <w:r>
        <w:rPr>
          <w:rFonts w:hint="eastAsia" w:ascii="Times New Roman" w:hAnsi="Times New Roman" w:cs="Times New Roman"/>
          <w:szCs w:val="21"/>
          <w:lang w:val="en-US" w:eastAsia="zh-CN"/>
        </w:rPr>
        <w:t>35</w:t>
      </w:r>
      <w:r>
        <w:rPr>
          <w:rFonts w:hint="default" w:ascii="Times New Roman" w:hAnsi="Times New Roman" w:cs="Times New Roman"/>
          <w:szCs w:val="21"/>
        </w:rPr>
        <w:t xml:space="preserve"> cycles at 95°C for 30s, 5</w:t>
      </w:r>
      <w:r>
        <w:rPr>
          <w:rFonts w:hint="eastAsia" w:ascii="Times New Roman" w:hAnsi="Times New Roman" w:cs="Times New Roman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szCs w:val="21"/>
        </w:rPr>
        <w:t xml:space="preserve">°C for 30 s, and 72°C for 40 sec, with a final extension at 72°C for </w:t>
      </w:r>
      <w:r>
        <w:rPr>
          <w:rFonts w:hint="eastAsia" w:ascii="Times New Roman" w:hAnsi="Times New Roman" w:cs="Times New Roman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szCs w:val="21"/>
        </w:rPr>
        <w:t xml:space="preserve"> min.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>
      <w:pPr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C</w:t>
      </w:r>
      <w:r>
        <w:rPr>
          <w:rFonts w:hint="default" w:ascii="Times New Roman" w:hAnsi="Times New Roman" w:cs="Times New Roman"/>
          <w:sz w:val="28"/>
          <w:szCs w:val="28"/>
        </w:rPr>
        <w:t>haracteristics of amplified fragments and corresponding primer sequences</w:t>
      </w:r>
    </w:p>
    <w:tbl>
      <w:tblPr>
        <w:tblStyle w:val="2"/>
        <w:tblW w:w="13636" w:type="dxa"/>
        <w:jc w:val="center"/>
        <w:tblBorders>
          <w:top w:val="non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165"/>
        <w:gridCol w:w="3896"/>
        <w:gridCol w:w="1240"/>
        <w:gridCol w:w="2903"/>
        <w:gridCol w:w="3043"/>
      </w:tblGrid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389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Targeted DNA</w:t>
            </w:r>
          </w:p>
        </w:tc>
        <w:tc>
          <w:tcPr>
            <w:tcW w:w="1165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3896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Primer sequence (5’-3)</w:t>
            </w:r>
          </w:p>
        </w:tc>
        <w:tc>
          <w:tcPr>
            <w:tcW w:w="1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"C:/Users/Administrator/AppData/Local/youdao/dict/Application/8.8.0.0/resultui/html/index.html" \l "/javascript:;"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Fragment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903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Cycling conditions of PCR assays</w:t>
            </w:r>
          </w:p>
        </w:tc>
        <w:tc>
          <w:tcPr>
            <w:tcW w:w="3043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center"/>
          </w:tcPr>
          <w:p>
            <w:pPr>
              <w:ind w:firstLine="181" w:firstLineChars="100"/>
              <w:jc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38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sz w:val="18"/>
                <w:szCs w:val="18"/>
              </w:rPr>
              <w:t>Sarcocystis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COX 1</w:t>
            </w:r>
          </w:p>
        </w:tc>
        <w:tc>
          <w:tcPr>
            <w:tcW w:w="3896" w:type="dxa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Forward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(CTCTTCACGGACTGTCTATGATC)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615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bp</w:t>
            </w:r>
          </w:p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restart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 min, followed by 35 cycles at 9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°C for 30 s,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57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s, and 72°C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0s, with a final extension at 72°C 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 min.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In this study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Reverse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(GCAACCCATAGCTAAGATCATTG)</w:t>
            </w: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Forward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(CTCTGAGTATGGATCTGGTATGG)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04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bp</w:t>
            </w:r>
          </w:p>
        </w:tc>
        <w:tc>
          <w:tcPr>
            <w:tcW w:w="2903" w:type="dxa"/>
            <w:vMerge w:val="restart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95°C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for </w:t>
            </w:r>
            <w:r>
              <w:rPr>
                <w:rFonts w:hint="eastAsia" w:ascii="Times New Roman" w:hAnsi="Times New Roman" w:cs="Times New Roman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 xml:space="preserve"> min, followed by 35 cycles at 95°C for 30s, 56°C for 30 s, and 72°C for 30 sec, with a final extension at 72°C for 8 min.</w:t>
            </w:r>
          </w:p>
        </w:tc>
        <w:tc>
          <w:tcPr>
            <w:tcW w:w="304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In this study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Reverse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(ACAGATCGAGTTGCATATGTAG)</w:t>
            </w: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sz w:val="18"/>
                <w:szCs w:val="18"/>
                <w:lang w:val="en-US" w:eastAsia="zh-CN"/>
              </w:rPr>
              <w:t>Eimeria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COX 1</w:t>
            </w:r>
          </w:p>
        </w:tc>
        <w:tc>
          <w:tcPr>
            <w:tcW w:w="38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1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(GGTTCAGGTGTTGGTTGGAC)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800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bp</w:t>
            </w:r>
          </w:p>
        </w:tc>
        <w:tc>
          <w:tcPr>
            <w:tcW w:w="2903" w:type="dxa"/>
            <w:vMerge w:val="restart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96 °C for 5 min, 40 cycles of 94 °C for 20 s, 55 °C for 30 s and 72 °C for 90 s were run, followed by a final extension at 72 °C for 10 min.</w:t>
            </w:r>
          </w:p>
        </w:tc>
        <w:tc>
          <w:tcPr>
            <w:tcW w:w="304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[1]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Reverse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1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(AATCCAATAACCGCACCAAG)</w:t>
            </w:r>
          </w:p>
        </w:tc>
        <w:tc>
          <w:tcPr>
            <w:tcW w:w="12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2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TAAGTACATCCCTAATGTC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465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bp</w:t>
            </w:r>
          </w:p>
        </w:tc>
        <w:tc>
          <w:tcPr>
            <w:tcW w:w="2903" w:type="dxa"/>
            <w:vMerge w:val="restart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95°C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highlight w:val="none"/>
              </w:rPr>
              <w:t>for 5 min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, followed by 35 cycles at 95°C for 30s, 51°C for 30 s, and 72°C for 40 sec, with a final extension at 72°C for 8 min.</w:t>
            </w:r>
          </w:p>
        </w:tc>
        <w:tc>
          <w:tcPr>
            <w:tcW w:w="304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[2]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Reverse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2 (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GTCATCATATGRTGTGCCCA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1240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03" w:type="dxa"/>
            <w:vMerge w:val="continue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43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389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sz w:val="18"/>
                <w:szCs w:val="18"/>
                <w:lang w:val="en-US" w:eastAsia="zh-CN"/>
              </w:rPr>
              <w:t>Cystoisospora</w:t>
            </w:r>
          </w:p>
        </w:tc>
        <w:tc>
          <w:tcPr>
            <w:tcW w:w="116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18"/>
                <w:szCs w:val="18"/>
                <w:lang w:val="en-US" w:eastAsia="zh-CN"/>
              </w:rPr>
              <w:t>18S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 xml:space="preserve"> rRNA</w:t>
            </w:r>
          </w:p>
        </w:tc>
        <w:tc>
          <w:tcPr>
            <w:tcW w:w="3896" w:type="dxa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eastAsia="Roboto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CAATTGGAGGGCAAGTCTGGTGCCAGC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655 to 667 bp</w:t>
            </w:r>
          </w:p>
        </w:tc>
        <w:tc>
          <w:tcPr>
            <w:tcW w:w="2903" w:type="dxa"/>
            <w:vMerge w:val="restart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5 min; 25 to 35 cycles at 94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for 30 s, 68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1 min, and 72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30 s; and extension at 72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10 min.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3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[3]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widowControl/>
              <w:jc w:val="center"/>
              <w:textAlignment w:val="top"/>
              <w:rPr>
                <w:rFonts w:ascii="Roboto" w:hAnsi="Roboto" w:eastAsia="Roboto" w:cs="Roboto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Reverse 1 (CCTTCCTATGTCTGGACCTGGTGAGT)</w:t>
            </w: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jc w:val="center"/>
              <w:textAlignment w:val="top"/>
              <w:rPr>
                <w:sz w:val="18"/>
                <w:szCs w:val="18"/>
              </w:rPr>
            </w:pPr>
          </w:p>
        </w:tc>
        <w:tc>
          <w:tcPr>
            <w:tcW w:w="29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4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eastAsia="Roboto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Forward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AAGCTCGTAGTTGGATTTCTG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40" w:type="dxa"/>
            <w:vMerge w:val="restart"/>
            <w:vAlign w:val="center"/>
          </w:tcPr>
          <w:p>
            <w:pPr>
              <w:widowControl/>
              <w:jc w:val="center"/>
              <w:textAlignment w:val="top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435 bp</w:t>
            </w:r>
          </w:p>
        </w:tc>
        <w:tc>
          <w:tcPr>
            <w:tcW w:w="2903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1 min; 25 to 35 cycles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at 94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30 s, 60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1 min, and 72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30 s; and extension at 72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°C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for 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min.</w:t>
            </w:r>
          </w:p>
        </w:tc>
        <w:tc>
          <w:tcPr>
            <w:tcW w:w="304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38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96" w:type="dxa"/>
            <w:vAlign w:val="center"/>
          </w:tcPr>
          <w:p>
            <w:pPr>
              <w:widowControl/>
              <w:jc w:val="center"/>
              <w:textAlignment w:val="top"/>
              <w:rPr>
                <w:rFonts w:hint="eastAsia" w:ascii="Roboto" w:hAnsi="Roboto" w:eastAsia="Roboto" w:cs="Roboto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Reverse 2 (TAAGGTGCTGAAGGAGTAAGG)</w:t>
            </w:r>
          </w:p>
        </w:tc>
        <w:tc>
          <w:tcPr>
            <w:tcW w:w="1240" w:type="dxa"/>
            <w:vMerge w:val="continue"/>
            <w:vAlign w:val="center"/>
          </w:tcPr>
          <w:p>
            <w:pPr>
              <w:widowControl/>
              <w:jc w:val="center"/>
              <w:textAlignment w:val="top"/>
              <w:rPr>
                <w:sz w:val="18"/>
                <w:szCs w:val="18"/>
              </w:rPr>
            </w:pPr>
          </w:p>
        </w:tc>
        <w:tc>
          <w:tcPr>
            <w:tcW w:w="29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4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4"/>
        <w:numPr>
          <w:ilvl w:val="0"/>
          <w:numId w:val="2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Ogedengbe JD, Hanner RH, Barta JR. DNA barcoding identifies </w:t>
      </w:r>
      <w:r>
        <w:rPr>
          <w:rFonts w:ascii="Times New Roman" w:hAnsi="Times New Roman" w:cs="Times New Roman"/>
          <w:i/>
          <w:iCs/>
          <w:sz w:val="24"/>
          <w:szCs w:val="24"/>
        </w:rPr>
        <w:t>Eimeria</w:t>
      </w:r>
      <w:r>
        <w:rPr>
          <w:rFonts w:ascii="Times New Roman" w:hAnsi="Times New Roman" w:cs="Times New Roman"/>
          <w:sz w:val="24"/>
          <w:szCs w:val="24"/>
        </w:rPr>
        <w:t xml:space="preserve"> species and contributes to the phylogenetics of coccidian parasites (</w:t>
      </w:r>
      <w:r>
        <w:rPr>
          <w:rFonts w:ascii="Times New Roman" w:hAnsi="Times New Roman" w:cs="Times New Roman"/>
          <w:i/>
          <w:iCs/>
          <w:sz w:val="24"/>
          <w:szCs w:val="24"/>
        </w:rPr>
        <w:t>Eimeriorina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Apicomplexa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Alveolata</w:t>
      </w:r>
      <w:r>
        <w:rPr>
          <w:rFonts w:ascii="Times New Roman" w:hAnsi="Times New Roman" w:cs="Times New Roman"/>
          <w:sz w:val="24"/>
          <w:szCs w:val="24"/>
        </w:rPr>
        <w:t xml:space="preserve">). Int J Parasitol. 2011 Jul;41(8):843-50. </w:t>
      </w:r>
    </w:p>
    <w:p>
      <w:pPr>
        <w:pStyle w:val="4"/>
        <w:numPr>
          <w:ilvl w:val="0"/>
          <w:numId w:val="2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R, Brice B, Bennett MD, Eliott A, Ryan U. Novel </w:t>
      </w:r>
      <w:r>
        <w:rPr>
          <w:rFonts w:ascii="Times New Roman" w:hAnsi="Times New Roman" w:cs="Times New Roman"/>
          <w:i/>
          <w:iCs/>
          <w:sz w:val="24"/>
          <w:szCs w:val="24"/>
        </w:rPr>
        <w:t>Eimeria</w:t>
      </w:r>
      <w:r>
        <w:rPr>
          <w:rFonts w:ascii="Times New Roman" w:hAnsi="Times New Roman" w:cs="Times New Roman"/>
          <w:sz w:val="24"/>
          <w:szCs w:val="24"/>
        </w:rPr>
        <w:t xml:space="preserve"> sp. isolated from a King's skink (</w:t>
      </w:r>
      <w:r>
        <w:rPr>
          <w:rFonts w:ascii="Times New Roman" w:hAnsi="Times New Roman" w:cs="Times New Roman"/>
          <w:i/>
          <w:iCs/>
          <w:sz w:val="24"/>
          <w:szCs w:val="24"/>
        </w:rPr>
        <w:t>Egernia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kingii</w:t>
      </w:r>
      <w:r>
        <w:rPr>
          <w:rFonts w:ascii="Times New Roman" w:hAnsi="Times New Roman" w:cs="Times New Roman"/>
          <w:sz w:val="24"/>
          <w:szCs w:val="24"/>
        </w:rPr>
        <w:t xml:space="preserve">) in Western Australia. Exp Parasitol. 2013 Feb;133(2):162-5. </w:t>
      </w:r>
    </w:p>
    <w:p>
      <w:pPr>
        <w:pStyle w:val="4"/>
        <w:numPr>
          <w:ilvl w:val="0"/>
          <w:numId w:val="2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Zhang X, Jian Y, Li X, Ma L, Karanis G, Karanis P. The first report of </w:t>
      </w:r>
      <w:r>
        <w:rPr>
          <w:rFonts w:ascii="Times New Roman" w:hAnsi="Times New Roman" w:cs="Times New Roman"/>
          <w:i/>
          <w:iCs/>
          <w:sz w:val="24"/>
          <w:szCs w:val="24"/>
        </w:rPr>
        <w:t>Cryptosporidium</w:t>
      </w:r>
      <w:r>
        <w:rPr>
          <w:rFonts w:ascii="Times New Roman" w:hAnsi="Times New Roman" w:cs="Times New Roman"/>
          <w:sz w:val="24"/>
          <w:szCs w:val="24"/>
        </w:rPr>
        <w:t xml:space="preserve"> spp. in </w:t>
      </w:r>
      <w:r>
        <w:rPr>
          <w:rFonts w:ascii="Times New Roman" w:hAnsi="Times New Roman" w:cs="Times New Roman"/>
          <w:i/>
          <w:iCs/>
          <w:sz w:val="24"/>
          <w:szCs w:val="24"/>
        </w:rPr>
        <w:t>Microtus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fuscus</w:t>
      </w:r>
      <w:r>
        <w:rPr>
          <w:rFonts w:ascii="Times New Roman" w:hAnsi="Times New Roman" w:cs="Times New Roman"/>
          <w:sz w:val="24"/>
          <w:szCs w:val="24"/>
        </w:rPr>
        <w:t xml:space="preserve"> (Qinghai vole) and </w:t>
      </w:r>
      <w:r>
        <w:rPr>
          <w:rFonts w:ascii="Times New Roman" w:hAnsi="Times New Roman" w:cs="Times New Roman"/>
          <w:i/>
          <w:iCs/>
          <w:sz w:val="24"/>
          <w:szCs w:val="24"/>
        </w:rPr>
        <w:t>Ochotona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curzoniae </w:t>
      </w:r>
      <w:r>
        <w:rPr>
          <w:rFonts w:ascii="Times New Roman" w:hAnsi="Times New Roman" w:cs="Times New Roman"/>
          <w:sz w:val="24"/>
          <w:szCs w:val="24"/>
        </w:rPr>
        <w:t xml:space="preserve">(wild plateau pika) in the Qinghai-Tibetan Plateau area, China. Parasitol Res. 2018 May;117(5):1401-1407.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A80EC"/>
    <w:multiLevelType w:val="singleLevel"/>
    <w:tmpl w:val="FA9A80E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AC341B0"/>
    <w:multiLevelType w:val="multilevel"/>
    <w:tmpl w:val="5AC341B0"/>
    <w:lvl w:ilvl="0" w:tentative="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0N2M2Y2UzZGQwNjBmOGYzODAxNzg0NTkyMTQ5YWEifQ=="/>
  </w:docVars>
  <w:rsids>
    <w:rsidRoot w:val="2A425302"/>
    <w:rsid w:val="0FE9270B"/>
    <w:rsid w:val="186565DB"/>
    <w:rsid w:val="2A42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2023-10-16T08:52:00Z</dcterms:created>
  <dc:creator>楠上加楠_i85</dc:creator>
  <cp:lastModifiedBy>楠上加楠_i85</cp:lastModifiedBy>
  <dcterms:modified xsi:type="dcterms:W3CDTF">2023-12-17T05:58:58Z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5B584F3A0FF543DBA180E5528691C6A2_11</vt:lpwstr>
  </property>
</Properties>
</file>