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D0" w:rsidRDefault="00E97645" w:rsidP="003E4F8F">
      <w:pPr>
        <w:spacing w:line="480" w:lineRule="auto"/>
        <w:jc w:val="center"/>
        <w:rPr>
          <w:rFonts w:ascii="Arial" w:hAnsi="Arial" w:cs="Arial"/>
          <w:b/>
          <w:u w:val="single"/>
          <w:lang w:val="en-US"/>
        </w:rPr>
      </w:pPr>
      <w:bookmarkStart w:id="0" w:name="_GoBack"/>
      <w:bookmarkEnd w:id="0"/>
      <w:r w:rsidRPr="003E4F8F">
        <w:rPr>
          <w:rFonts w:ascii="Arial" w:hAnsi="Arial" w:cs="Arial"/>
          <w:b/>
          <w:u w:val="single"/>
          <w:lang w:val="en-US"/>
        </w:rPr>
        <w:t xml:space="preserve">Supplemental Data File – </w:t>
      </w:r>
      <w:r w:rsidR="00021636">
        <w:rPr>
          <w:rFonts w:ascii="Arial" w:hAnsi="Arial" w:cs="Arial"/>
          <w:b/>
          <w:u w:val="single"/>
          <w:lang w:val="en-US"/>
        </w:rPr>
        <w:t>Supplement 1</w:t>
      </w:r>
      <w:r w:rsidR="00E605D0">
        <w:rPr>
          <w:rFonts w:ascii="Arial" w:hAnsi="Arial" w:cs="Arial"/>
          <w:b/>
          <w:u w:val="single"/>
          <w:lang w:val="en-US"/>
        </w:rPr>
        <w:t xml:space="preserve">; </w:t>
      </w:r>
    </w:p>
    <w:p w:rsidR="00E97645" w:rsidRPr="003E4F8F" w:rsidRDefault="00E97645" w:rsidP="003E4F8F">
      <w:pPr>
        <w:spacing w:line="480" w:lineRule="auto"/>
        <w:jc w:val="center"/>
        <w:rPr>
          <w:rFonts w:ascii="Arial" w:hAnsi="Arial" w:cs="Arial"/>
          <w:b/>
          <w:u w:val="single"/>
          <w:lang w:val="en-US"/>
        </w:rPr>
      </w:pPr>
      <w:r w:rsidRPr="003E4F8F">
        <w:rPr>
          <w:rFonts w:ascii="Arial" w:hAnsi="Arial" w:cs="Arial"/>
          <w:b/>
          <w:u w:val="single"/>
          <w:lang w:val="en-US"/>
        </w:rPr>
        <w:t>Methods and Materials</w:t>
      </w:r>
    </w:p>
    <w:p w:rsidR="00E97645" w:rsidRPr="003E4F8F" w:rsidRDefault="00E97645" w:rsidP="003E4F8F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3E4F8F">
        <w:rPr>
          <w:rFonts w:ascii="Arial" w:hAnsi="Arial" w:cs="Arial"/>
          <w:b/>
          <w:lang w:val="en-US"/>
        </w:rPr>
        <w:t>Protocol of RCA-CVVHD, adapted from Morgera et al. (</w:t>
      </w:r>
      <w:proofErr w:type="spellStart"/>
      <w:r w:rsidRPr="003E4F8F">
        <w:rPr>
          <w:rFonts w:ascii="Arial" w:hAnsi="Arial" w:cs="Arial"/>
          <w:b/>
          <w:lang w:val="en-US"/>
        </w:rPr>
        <w:t>Crit</w:t>
      </w:r>
      <w:proofErr w:type="spellEnd"/>
      <w:r w:rsidRPr="003E4F8F">
        <w:rPr>
          <w:rFonts w:ascii="Arial" w:hAnsi="Arial" w:cs="Arial"/>
          <w:b/>
          <w:lang w:val="en-US"/>
        </w:rPr>
        <w:t xml:space="preserve"> Care Med, 2009):</w:t>
      </w:r>
    </w:p>
    <w:p w:rsidR="00E97645" w:rsidRPr="003E4F8F" w:rsidRDefault="00E97645" w:rsidP="003E4F8F">
      <w:pPr>
        <w:spacing w:line="480" w:lineRule="auto"/>
        <w:jc w:val="both"/>
        <w:rPr>
          <w:rFonts w:ascii="Arial" w:hAnsi="Arial" w:cs="Arial"/>
          <w:lang w:val="en-US"/>
        </w:rPr>
      </w:pPr>
      <w:r w:rsidRPr="003E4F8F">
        <w:rPr>
          <w:rFonts w:ascii="Arial" w:hAnsi="Arial" w:cs="Arial"/>
          <w:lang w:val="en-US"/>
        </w:rPr>
        <w:t xml:space="preserve">Continuous veno-venous hemodialysis was conducted using the multiFiltrate device (Fresenius Medical Care AG, Bad Homburg, Germany) with, if not otherwise required, a </w:t>
      </w:r>
      <w:r w:rsidR="003E4F8F" w:rsidRPr="003E4F8F">
        <w:rPr>
          <w:rFonts w:ascii="Arial" w:hAnsi="Arial" w:cs="Arial"/>
          <w:lang w:val="en-US"/>
        </w:rPr>
        <w:t>1.</w:t>
      </w:r>
      <w:r w:rsidR="00E605D0">
        <w:rPr>
          <w:rFonts w:ascii="Arial" w:hAnsi="Arial" w:cs="Arial"/>
          <w:lang w:val="en-US"/>
        </w:rPr>
        <w:t>8</w:t>
      </w:r>
      <w:r w:rsidRPr="003E4F8F">
        <w:rPr>
          <w:rFonts w:ascii="Arial" w:hAnsi="Arial" w:cs="Arial"/>
          <w:lang w:val="en-US"/>
        </w:rPr>
        <w:t xml:space="preserve"> m</w:t>
      </w:r>
      <w:r w:rsidRPr="003E4F8F">
        <w:rPr>
          <w:rFonts w:ascii="Arial" w:hAnsi="Arial" w:cs="Arial"/>
          <w:vertAlign w:val="superscript"/>
          <w:lang w:val="en-US"/>
        </w:rPr>
        <w:t>2</w:t>
      </w:r>
      <w:r w:rsidRPr="003E4F8F">
        <w:rPr>
          <w:rFonts w:ascii="Arial" w:hAnsi="Arial" w:cs="Arial"/>
          <w:lang w:val="en-US"/>
        </w:rPr>
        <w:t xml:space="preserve"> Ultraflux AV</w:t>
      </w:r>
      <w:r w:rsidR="00E605D0">
        <w:rPr>
          <w:rFonts w:ascii="Arial" w:hAnsi="Arial" w:cs="Arial"/>
          <w:lang w:val="en-US"/>
        </w:rPr>
        <w:t>10</w:t>
      </w:r>
      <w:r w:rsidRPr="003E4F8F">
        <w:rPr>
          <w:rFonts w:ascii="Arial" w:hAnsi="Arial" w:cs="Arial"/>
          <w:lang w:val="en-US"/>
        </w:rPr>
        <w:t>00</w:t>
      </w:r>
      <w:r w:rsidR="003E4F8F" w:rsidRPr="003E4F8F">
        <w:rPr>
          <w:rFonts w:ascii="Arial" w:hAnsi="Arial" w:cs="Arial"/>
          <w:lang w:val="en-US"/>
        </w:rPr>
        <w:t>S</w:t>
      </w:r>
      <w:r w:rsidRPr="003E4F8F">
        <w:rPr>
          <w:rFonts w:ascii="Arial" w:hAnsi="Arial" w:cs="Arial"/>
          <w:lang w:val="en-US"/>
        </w:rPr>
        <w:t xml:space="preserve"> dialyzer (Fresenius Medical Care AG, Bad Homburg, Germany). Conventional hemodialysis catheters, usually placed in the internal jugular or femoral vein, were used for vascular access. The Ci-Ca Dialysate K2 solution (Fresenius Medical Care AG) containing 2 mmol/L potassium, 133 mmol/L sodium, 116.5 mmol/L chloride, 20 mmol/L bicarbonate, 0.75 mmol/L magnesium, and zero calcium was used. Blood flow was set accordingly to dialysate flow to maintain a 3:1 ratio. Regional citrate anticoagulation was performed by infusion of 4% trisodium citrate solution (136 mmol/L; Fresenius </w:t>
      </w:r>
      <w:proofErr w:type="spellStart"/>
      <w:r w:rsidRPr="003E4F8F">
        <w:rPr>
          <w:rFonts w:ascii="Arial" w:hAnsi="Arial" w:cs="Arial"/>
          <w:lang w:val="en-US"/>
        </w:rPr>
        <w:t>Kabi</w:t>
      </w:r>
      <w:proofErr w:type="spellEnd"/>
      <w:r w:rsidRPr="003E4F8F">
        <w:rPr>
          <w:rFonts w:ascii="Arial" w:hAnsi="Arial" w:cs="Arial"/>
          <w:lang w:val="en-US"/>
        </w:rPr>
        <w:t xml:space="preserve">, Bad Homburg, Germany) in the "arterial" line of the extracorporeal circuit with a starting dose of </w:t>
      </w:r>
      <w:proofErr w:type="gramStart"/>
      <w:r w:rsidRPr="003E4F8F">
        <w:rPr>
          <w:rFonts w:ascii="Arial" w:hAnsi="Arial" w:cs="Arial"/>
          <w:lang w:val="en-US"/>
        </w:rPr>
        <w:t>4 mmol/</w:t>
      </w:r>
      <w:proofErr w:type="gramEnd"/>
      <w:r w:rsidRPr="003E4F8F">
        <w:rPr>
          <w:rFonts w:ascii="Arial" w:hAnsi="Arial" w:cs="Arial"/>
          <w:lang w:val="en-US"/>
        </w:rPr>
        <w:t xml:space="preserve">L blood. Furthermore, the </w:t>
      </w:r>
      <w:r w:rsidR="003E4F8F">
        <w:rPr>
          <w:rFonts w:ascii="Arial" w:hAnsi="Arial" w:cs="Arial"/>
          <w:lang w:val="en-US"/>
        </w:rPr>
        <w:t>c</w:t>
      </w:r>
      <w:r w:rsidRPr="003E4F8F">
        <w:rPr>
          <w:rFonts w:ascii="Arial" w:hAnsi="Arial" w:cs="Arial"/>
          <w:lang w:val="en-US"/>
        </w:rPr>
        <w:t>itrate infusion rate was adjusted to reach post filter ionized Calcium (iCa) concentrations of 0.25 to 0.35 mmol/L. Calcium substitution flow (CaCl</w:t>
      </w:r>
      <w:r w:rsidRPr="003E4F8F">
        <w:rPr>
          <w:rFonts w:ascii="Arial" w:hAnsi="Arial" w:cs="Arial"/>
          <w:vertAlign w:val="subscript"/>
          <w:lang w:val="en-US"/>
        </w:rPr>
        <w:t>2</w:t>
      </w:r>
      <w:r w:rsidRPr="003E4F8F">
        <w:rPr>
          <w:rFonts w:ascii="Arial" w:hAnsi="Arial" w:cs="Arial"/>
          <w:lang w:val="en-US"/>
        </w:rPr>
        <w:t xml:space="preserve"> solution, 91 mmol/L) was initiated with 1.7 mmol calcium per liter total effluent flow and adjusted accordingly to maintain patients' iCa in the physiological range of 1.1 to 1.2 mmol/L. Changing the ratio of blood to dialysate flow was used for correction of acid-base status, if necessary: increasing dialysate flow corrected for metabolic alkalosis, whereas decreasing the dialysate flow corrected for metabolic acidosis. Alternatively, metabolic acidosis was managed by increasing the citrate infusion with a proportionate increase of blood flow; and metabolic alkalosis was managed by decreasing the citrate infusion with a proportionate decrease of blood flow. The dialysate flow was kept constant. Citrate and calcium solutions were infused via the integrated pumps</w:t>
      </w:r>
      <w:r w:rsidR="003E4F8F" w:rsidRPr="003E4F8F">
        <w:rPr>
          <w:rFonts w:ascii="Arial" w:hAnsi="Arial" w:cs="Arial"/>
          <w:lang w:val="en-US"/>
        </w:rPr>
        <w:t xml:space="preserve"> of the dialysis device</w:t>
      </w:r>
      <w:r w:rsidRPr="003E4F8F">
        <w:rPr>
          <w:rFonts w:ascii="Arial" w:hAnsi="Arial" w:cs="Arial"/>
          <w:lang w:val="en-US"/>
        </w:rPr>
        <w:t xml:space="preserve">. Filters </w:t>
      </w:r>
      <w:r w:rsidRPr="003E4F8F">
        <w:rPr>
          <w:rFonts w:ascii="Arial" w:hAnsi="Arial" w:cs="Arial"/>
          <w:lang w:val="en-US"/>
        </w:rPr>
        <w:lastRenderedPageBreak/>
        <w:t>were changed, as stated by the manufacturer, routinely after 72 hours with an allowed tolerance of ±12 hours. Patients were initially categorized by body weight into 3 groups (&lt; 60 kg, 60-90 kg, and &gt;90 kg), and each group was treated at a matching efficacy level by adaptation of a dialysate flow maintaining an effective dose of about 2</w:t>
      </w:r>
      <w:r w:rsidR="003E4F8F" w:rsidRPr="003E4F8F">
        <w:rPr>
          <w:rFonts w:ascii="Arial" w:hAnsi="Arial" w:cs="Arial"/>
          <w:lang w:val="en-US"/>
        </w:rPr>
        <w:t>0</w:t>
      </w:r>
      <w:r w:rsidRPr="003E4F8F">
        <w:rPr>
          <w:rFonts w:ascii="Arial" w:hAnsi="Arial" w:cs="Arial"/>
          <w:lang w:val="en-US"/>
        </w:rPr>
        <w:t xml:space="preserve"> to </w:t>
      </w:r>
      <w:r w:rsidR="003E4F8F" w:rsidRPr="003E4F8F">
        <w:rPr>
          <w:rFonts w:ascii="Arial" w:hAnsi="Arial" w:cs="Arial"/>
          <w:lang w:val="en-US"/>
        </w:rPr>
        <w:t>25 mL/</w:t>
      </w:r>
      <w:r w:rsidRPr="003E4F8F">
        <w:rPr>
          <w:rFonts w:ascii="Arial" w:hAnsi="Arial" w:cs="Arial"/>
          <w:lang w:val="en-US"/>
        </w:rPr>
        <w:t>kg/h.</w:t>
      </w:r>
    </w:p>
    <w:p w:rsidR="00304571" w:rsidRPr="003E4F8F" w:rsidRDefault="00304571">
      <w:pPr>
        <w:rPr>
          <w:lang w:val="en-US"/>
        </w:rPr>
      </w:pPr>
    </w:p>
    <w:sectPr w:rsidR="00304571" w:rsidRPr="003E4F8F" w:rsidSect="003E4F8F">
      <w:pgSz w:w="11900" w:h="16840"/>
      <w:pgMar w:top="1080" w:right="1460" w:bottom="81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42EC"/>
    <w:multiLevelType w:val="multilevel"/>
    <w:tmpl w:val="EF2AE0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3A7A2A50"/>
    <w:multiLevelType w:val="multilevel"/>
    <w:tmpl w:val="B8C862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32"/>
        <w:szCs w:val="32"/>
      </w:rPr>
    </w:lvl>
    <w:lvl w:ilvl="1">
      <w:start w:val="1"/>
      <w:numFmt w:val="decimal"/>
      <w:pStyle w:val="Style2"/>
      <w:isLgl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" w:hAnsi="Arial" w:cs="Times New Roman" w:hint="default"/>
          <w:b/>
          <w:i w:val="0"/>
          <w:sz w:val="32"/>
          <w:szCs w:val="32"/>
        </w:rPr>
      </w:lvl>
    </w:lvlOverride>
    <w:lvlOverride w:ilvl="1">
      <w:lvl w:ilvl="1">
        <w:start w:val="1"/>
        <w:numFmt w:val="decimal"/>
        <w:pStyle w:val="Style2"/>
        <w:isLgl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" w:hAnsi="Arial" w:cs="Times New Roman" w:hint="default"/>
          <w:b/>
          <w:i/>
          <w:sz w:val="24"/>
          <w:szCs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" w:hAnsi="Arial" w:cs="Times New Roman" w:hint="default"/>
          <w:b w:val="0"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Times New Roman" w:hAnsi="Times New Roman" w:cs="Times New Roman" w:hint="default"/>
          <w:b/>
          <w:i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ascii="Times New Roman" w:hAnsi="Times New Roman" w:cs="Times New Roman" w:hint="default"/>
          <w:b w:val="0"/>
          <w:i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" w:hAnsi="Arial" w:cs="Times New Roman" w:hint="default"/>
          <w:b/>
          <w:i w:val="0"/>
          <w:sz w:val="32"/>
          <w:szCs w:val="32"/>
        </w:rPr>
      </w:lvl>
    </w:lvlOverride>
    <w:lvlOverride w:ilvl="1">
      <w:lvl w:ilvl="1">
        <w:start w:val="1"/>
        <w:numFmt w:val="decimal"/>
        <w:pStyle w:val="Style2"/>
        <w:isLgl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" w:hAnsi="Arial" w:cs="Times New Roman" w:hint="default"/>
          <w:b/>
          <w:i/>
          <w:sz w:val="24"/>
          <w:szCs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" w:hAnsi="Arial" w:cs="Times New Roman" w:hint="default"/>
          <w:b w:val="0"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Times New Roman" w:hAnsi="Times New Roman" w:cs="Times New Roman" w:hint="default"/>
          <w:b/>
          <w:i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ascii="Times New Roman" w:hAnsi="Times New Roman" w:cs="Times New Roman" w:hint="default"/>
          <w:b w:val="0"/>
          <w:i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45"/>
    <w:rsid w:val="00021636"/>
    <w:rsid w:val="002E7391"/>
    <w:rsid w:val="00304571"/>
    <w:rsid w:val="003E4F8F"/>
    <w:rsid w:val="005B0019"/>
    <w:rsid w:val="00C04A64"/>
    <w:rsid w:val="00E605D0"/>
    <w:rsid w:val="00E9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45"/>
  </w:style>
  <w:style w:type="paragraph" w:styleId="Heading1">
    <w:name w:val="heading 1"/>
    <w:basedOn w:val="Normal"/>
    <w:next w:val="Normal"/>
    <w:link w:val="Heading1Char"/>
    <w:uiPriority w:val="9"/>
    <w:qFormat/>
    <w:rsid w:val="002E73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3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3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autoRedefine/>
    <w:qFormat/>
    <w:rsid w:val="002E7391"/>
    <w:pPr>
      <w:widowControl w:val="0"/>
      <w:spacing w:line="360" w:lineRule="auto"/>
    </w:pPr>
    <w:rPr>
      <w:rFonts w:ascii="Arial" w:hAnsi="Arial"/>
      <w:color w:val="auto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2E73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2">
    <w:name w:val="Style2"/>
    <w:basedOn w:val="Heading2"/>
    <w:qFormat/>
    <w:rsid w:val="002E7391"/>
    <w:pPr>
      <w:numPr>
        <w:ilvl w:val="1"/>
        <w:numId w:val="3"/>
      </w:numPr>
      <w:tabs>
        <w:tab w:val="left" w:pos="284"/>
        <w:tab w:val="left" w:pos="1134"/>
        <w:tab w:val="left" w:pos="2268"/>
        <w:tab w:val="left" w:pos="3402"/>
        <w:tab w:val="left" w:pos="4536"/>
      </w:tabs>
      <w:spacing w:before="60" w:after="60" w:line="360" w:lineRule="auto"/>
    </w:pPr>
    <w:rPr>
      <w:rFonts w:ascii="Arial" w:eastAsia="SimSun" w:hAnsi="Arial" w:cs="Times New Roman"/>
      <w:bCs w:val="0"/>
      <w:color w:val="000000"/>
      <w:kern w:val="28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3">
    <w:name w:val="Style3"/>
    <w:basedOn w:val="Heading3"/>
    <w:autoRedefine/>
    <w:qFormat/>
    <w:rsid w:val="002E7391"/>
    <w:pPr>
      <w:widowControl w:val="0"/>
    </w:pPr>
    <w:rPr>
      <w:rFonts w:ascii="Arial" w:hAnsi="Arial"/>
      <w:color w:val="auto"/>
      <w:szCs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45"/>
  </w:style>
  <w:style w:type="paragraph" w:styleId="Heading1">
    <w:name w:val="heading 1"/>
    <w:basedOn w:val="Normal"/>
    <w:next w:val="Normal"/>
    <w:link w:val="Heading1Char"/>
    <w:uiPriority w:val="9"/>
    <w:qFormat/>
    <w:rsid w:val="002E73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3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3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autoRedefine/>
    <w:qFormat/>
    <w:rsid w:val="002E7391"/>
    <w:pPr>
      <w:widowControl w:val="0"/>
      <w:spacing w:line="360" w:lineRule="auto"/>
    </w:pPr>
    <w:rPr>
      <w:rFonts w:ascii="Arial" w:hAnsi="Arial"/>
      <w:color w:val="auto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2E73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2">
    <w:name w:val="Style2"/>
    <w:basedOn w:val="Heading2"/>
    <w:qFormat/>
    <w:rsid w:val="002E7391"/>
    <w:pPr>
      <w:numPr>
        <w:ilvl w:val="1"/>
        <w:numId w:val="3"/>
      </w:numPr>
      <w:tabs>
        <w:tab w:val="left" w:pos="284"/>
        <w:tab w:val="left" w:pos="1134"/>
        <w:tab w:val="left" w:pos="2268"/>
        <w:tab w:val="left" w:pos="3402"/>
        <w:tab w:val="left" w:pos="4536"/>
      </w:tabs>
      <w:spacing w:before="60" w:after="60" w:line="360" w:lineRule="auto"/>
    </w:pPr>
    <w:rPr>
      <w:rFonts w:ascii="Arial" w:eastAsia="SimSun" w:hAnsi="Arial" w:cs="Times New Roman"/>
      <w:bCs w:val="0"/>
      <w:color w:val="000000"/>
      <w:kern w:val="28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3">
    <w:name w:val="Style3"/>
    <w:basedOn w:val="Heading3"/>
    <w:autoRedefine/>
    <w:qFormat/>
    <w:rsid w:val="002E7391"/>
    <w:pPr>
      <w:widowControl w:val="0"/>
    </w:pPr>
    <w:rPr>
      <w:rFonts w:ascii="Arial" w:hAnsi="Arial"/>
      <w:color w:val="auto"/>
      <w:szCs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Khadzhynov</dc:creator>
  <cp:keywords/>
  <dc:description/>
  <cp:lastModifiedBy>Dmytro Khadzhynov</cp:lastModifiedBy>
  <cp:revision>2</cp:revision>
  <dcterms:created xsi:type="dcterms:W3CDTF">2021-03-24T09:11:00Z</dcterms:created>
  <dcterms:modified xsi:type="dcterms:W3CDTF">2021-03-24T09:11:00Z</dcterms:modified>
</cp:coreProperties>
</file>