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auto"/>
        <w:jc w:val="left"/>
        <w:rPr>
          <w:rStyle w:val="9"/>
          <w:rFonts w:hint="default" w:ascii="Times New Roman" w:hAnsi="Times New Roman" w:cs="Times New Roman"/>
          <w:b/>
          <w:bCs w:val="0"/>
          <w:color w:val="auto"/>
          <w:sz w:val="24"/>
          <w:szCs w:val="24"/>
        </w:rPr>
      </w:pPr>
      <w:r>
        <w:rPr>
          <w:rStyle w:val="9"/>
          <w:rFonts w:hint="default" w:ascii="Times New Roman" w:hAnsi="Times New Roman" w:eastAsia="宋体" w:cs="Times New Roman"/>
          <w:b/>
          <w:bCs w:val="0"/>
          <w:color w:val="auto"/>
          <w:sz w:val="24"/>
          <w:szCs w:val="24"/>
          <w:lang w:val="en-US" w:eastAsia="zh-CN"/>
        </w:rPr>
        <w:t>Figure</w:t>
      </w:r>
      <w:r>
        <w:rPr>
          <w:rStyle w:val="9"/>
          <w:rFonts w:hint="default" w:ascii="Times New Roman" w:hAnsi="Times New Roman" w:cs="Times New Roman"/>
          <w:b/>
          <w:bCs w:val="0"/>
          <w:color w:val="auto"/>
          <w:sz w:val="24"/>
          <w:szCs w:val="24"/>
        </w:rPr>
        <w:t xml:space="preserve"> </w:t>
      </w:r>
      <w:r>
        <w:rPr>
          <w:rStyle w:val="9"/>
          <w:rFonts w:hint="default" w:ascii="Times New Roman" w:hAnsi="Times New Roman" w:eastAsia="宋体" w:cs="Times New Roman"/>
          <w:b/>
          <w:bCs w:val="0"/>
          <w:color w:val="auto"/>
          <w:sz w:val="24"/>
          <w:szCs w:val="24"/>
          <w:lang w:val="en-US" w:eastAsia="zh-CN"/>
        </w:rPr>
        <w:t>S</w:t>
      </w:r>
      <w:r>
        <w:rPr>
          <w:rStyle w:val="9"/>
          <w:rFonts w:hint="default" w:ascii="Times New Roman" w:hAnsi="Times New Roman" w:cs="Times New Roman"/>
          <w:b/>
          <w:bCs w:val="0"/>
          <w:color w:val="auto"/>
          <w:sz w:val="24"/>
          <w:szCs w:val="24"/>
        </w:rPr>
        <w:t>1</w:t>
      </w:r>
      <w:r>
        <w:rPr>
          <w:rStyle w:val="9"/>
          <w:rFonts w:hint="default" w:ascii="Times New Roman" w:hAnsi="Times New Roman" w:eastAsia="宋体" w:cs="Times New Roman"/>
          <w:b/>
          <w:bCs w:val="0"/>
          <w:color w:val="auto"/>
          <w:sz w:val="24"/>
          <w:szCs w:val="24"/>
          <w:lang w:val="en-US" w:eastAsia="zh-CN"/>
        </w:rPr>
        <w:t>.</w:t>
      </w:r>
      <w:r>
        <w:rPr>
          <w:rStyle w:val="9"/>
          <w:rFonts w:hint="default" w:ascii="Times New Roman" w:hAnsi="Times New Roman" w:cs="Times New Roman"/>
          <w:b/>
          <w:bCs w:val="0"/>
          <w:color w:val="auto"/>
          <w:sz w:val="24"/>
          <w:szCs w:val="24"/>
        </w:rPr>
        <w:t xml:space="preserve"> Effects of different concentrations of astragalus polysaccharide on the proliferative activity of BMSCs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object>
          <v:shape id="_x0000_i1025" o:spt="75" type="#_x0000_t75" style="height:158.35pt;width:152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Prism9.Document" ShapeID="_x0000_i1025" DrawAspect="Content" ObjectID="_1468075725" r:id="rId4">
            <o:LockedField>false</o:LockedField>
          </o:OLEObject>
        </w:objec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The basis for choosing a 0-4 mg/mL concentration range of Astragalus polysaccharides (APS) for testing cell proliferation activity may include the following points: Based on preliminary experimental results or literature review</w:t>
      </w:r>
      <w:r>
        <w:rPr>
          <w:rFonts w:hint="default" w:ascii="Times New Roman" w:hAnsi="Times New Roman" w:cs="Times New Roman"/>
          <w:color w:val="0000FF"/>
          <w:lang w:val="en-US" w:eastAsia="zh-CN"/>
        </w:rPr>
        <w:t xml:space="preserve"> (PMID: 34699323; PMID: 35691200; PMID: 35877777; PMID: 31154455; PMID: 37532241)</w:t>
      </w:r>
      <w:r>
        <w:rPr>
          <w:rFonts w:hint="default" w:ascii="Times New Roman" w:hAnsi="Times New Roman" w:cs="Times New Roman"/>
          <w:lang w:val="en-US" w:eastAsia="zh-CN"/>
        </w:rPr>
        <w:t>, the cell proliferation activity of APS has been explored at concentrations as low as 50 μg/mL to as high as 400 μg/mL, but not fully covering beyond 1 mg/mL. We also consider that different cell types may have varying sensitivities to APS. Therefore, this study has expanded the concentration range to more comprehensively plot the dose-response curve and determine the highest effective concentration of APS.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Figure S2. Effects of AMD3100 on the migration of BMSCs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object>
          <v:shape id="_x0000_i1026" o:spt="75" type="#_x0000_t75" style="height:183.8pt;width:142.25pt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  <w10:wrap type="none"/>
            <w10:anchorlock/>
          </v:shape>
          <o:OLEObject Type="Embed" ProgID="Prism9.Document" ShapeID="_x0000_i1026" DrawAspect="Content" ObjectID="_1468075726" r:id="rId6">
            <o:LockedField>false</o:LockedField>
          </o:OLEObject>
        </w:object>
      </w:r>
      <w:bookmarkStart w:id="0" w:name="_GoBack"/>
      <w:bookmarkEnd w:id="0"/>
    </w:p>
    <w:p>
      <w:pPr>
        <w:rPr>
          <w:rFonts w:hint="eastAsia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The experimental basis for selecting concentrations of 25, 50, and 100 μg/mL of AMD3100 to test its effect on the migration of bone marrow stromal stem cells is based on published literature. Specifically, </w:t>
      </w:r>
      <w:r>
        <w:rPr>
          <w:rFonts w:hint="default" w:ascii="Times New Roman" w:hAnsi="Times New Roman" w:cs="Times New Roman"/>
          <w:color w:val="0000FF"/>
          <w:lang w:val="en-US" w:eastAsia="zh-CN"/>
        </w:rPr>
        <w:t>PMID:4737461</w:t>
      </w:r>
      <w:r>
        <w:rPr>
          <w:rFonts w:hint="default" w:ascii="Times New Roman" w:hAnsi="Times New Roman" w:cs="Times New Roman"/>
          <w:lang w:val="en-US" w:eastAsia="zh-CN"/>
        </w:rPr>
        <w:t xml:space="preserve"> provides data on the effect of </w:t>
      </w:r>
      <w:r>
        <w:rPr>
          <w:rFonts w:hint="eastAsia" w:cs="Times New Roman"/>
          <w:lang w:val="en-US" w:eastAsia="zh-CN"/>
        </w:rPr>
        <w:t>25</w:t>
      </w:r>
      <w:r>
        <w:rPr>
          <w:rFonts w:hint="default" w:ascii="Times New Roman" w:hAnsi="Times New Roman" w:cs="Times New Roman"/>
          <w:lang w:val="en-US" w:eastAsia="zh-CN"/>
        </w:rPr>
        <w:t xml:space="preserve"> μg/mL AMD3100 on cell migration inhibition</w:t>
      </w:r>
      <w:r>
        <w:rPr>
          <w:rFonts w:hint="eastAsia" w:cs="Times New Roman"/>
          <w:lang w:val="en-US" w:eastAsia="zh-CN"/>
        </w:rPr>
        <w:t>.</w:t>
      </w:r>
    </w:p>
    <w:p>
      <w:pPr>
        <w:rPr>
          <w:rFonts w:hint="eastAsia" w:cs="Times New Roman"/>
          <w:lang w:val="en-US" w:eastAsia="zh-CN"/>
        </w:rPr>
      </w:pPr>
    </w:p>
    <w:p>
      <w:pPr>
        <w:rPr>
          <w:rFonts w:hint="default" w:cs="Times New Roman"/>
          <w:color w:val="0000FF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The experimental dose and intervention time of PDF were referred to the previous study of our group.</w:t>
      </w:r>
      <w:r>
        <w:rPr>
          <w:rFonts w:hint="default" w:cs="Times New Roman"/>
          <w:color w:val="0000FF"/>
          <w:lang w:val="en-US" w:eastAsia="zh-CN"/>
        </w:rPr>
        <w:t>PMID: 37437794</w:t>
      </w:r>
    </w:p>
    <w:sectPr>
      <w:pgSz w:w="16838" w:h="11906" w:orient="landscape"/>
      <w:pgMar w:top="1134" w:right="1134" w:bottom="1134" w:left="1134" w:header="851" w:footer="992" w:gutter="0"/>
      <w:lnNumType w:countBy="1" w:restart="continuous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Segoe Print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wNDk4MzhhNDVmOGQ5YzNkNWViZmE0ZGY0NzdhODkifQ=="/>
  </w:docVars>
  <w:rsids>
    <w:rsidRoot w:val="440A44CD"/>
    <w:rsid w:val="018F399B"/>
    <w:rsid w:val="05573452"/>
    <w:rsid w:val="0AF745AF"/>
    <w:rsid w:val="0DA077D3"/>
    <w:rsid w:val="0F0F70F1"/>
    <w:rsid w:val="1167461D"/>
    <w:rsid w:val="12F86B39"/>
    <w:rsid w:val="20523285"/>
    <w:rsid w:val="30CD6C9E"/>
    <w:rsid w:val="3EBB00BA"/>
    <w:rsid w:val="3EDD5772"/>
    <w:rsid w:val="440A44CD"/>
    <w:rsid w:val="4B422851"/>
    <w:rsid w:val="4BFA2B96"/>
    <w:rsid w:val="58EB0B5E"/>
    <w:rsid w:val="59F40D7A"/>
    <w:rsid w:val="5B62672F"/>
    <w:rsid w:val="7319413D"/>
    <w:rsid w:val="7363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宋体" w:asciiTheme="minorAscii" w:hAnsiTheme="minorAscii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240" w:after="240" w:line="440" w:lineRule="exact"/>
      <w:outlineLvl w:val="1"/>
    </w:pPr>
    <w:rPr>
      <w:rFonts w:ascii="Times New Roman" w:hAnsi="Times New Roman" w:eastAsia="宋体" w:cs="Times New Roman"/>
      <w:bCs/>
      <w:kern w:val="1"/>
      <w:sz w:val="24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Times New Roman" w:hAnsi="Times New Roman" w:eastAsia="宋体" w:cs="Times New Roman"/>
      <w:sz w:val="24"/>
    </w:rPr>
  </w:style>
  <w:style w:type="paragraph" w:styleId="5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8">
    <w:name w:val="标题1"/>
    <w:basedOn w:val="5"/>
    <w:qFormat/>
    <w:uiPriority w:val="0"/>
    <w:rPr>
      <w:rFonts w:asciiTheme="minorAscii" w:hAnsiTheme="minorAscii"/>
    </w:rPr>
  </w:style>
  <w:style w:type="character" w:customStyle="1" w:styleId="9">
    <w:name w:val="fontstyle01"/>
    <w:qFormat/>
    <w:uiPriority w:val="0"/>
    <w:rPr>
      <w:rFonts w:ascii="Times New Roman" w:hAnsi="Times New Roman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2023-11-29T07:07:00Z</dcterms:created>
  <dc:creator>Jing.”</dc:creator>
  <cp:lastModifiedBy>王扶凝</cp:lastModifiedBy>
  <dcterms:modified xsi:type="dcterms:W3CDTF">2023-12-03T10:20:45Z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020731654A24414994B8BCF937BB4B08_13</vt:lpwstr>
  </property>
</Properties>
</file>