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F13AD" w14:textId="77777777" w:rsidR="00EA608E" w:rsidRPr="00A00EB3" w:rsidRDefault="00EA608E" w:rsidP="00EA608E">
      <w:pPr>
        <w:spacing w:line="480" w:lineRule="auto"/>
        <w:rPr>
          <w:rFonts w:ascii="Times New Roman" w:hAnsi="Times New Roman" w:cs="Times New Roman"/>
          <w:b/>
          <w:i/>
        </w:rPr>
      </w:pPr>
      <w:r w:rsidRPr="00A00EB3">
        <w:rPr>
          <w:rFonts w:ascii="Times New Roman" w:hAnsi="Times New Roman" w:cs="Times New Roman"/>
          <w:b/>
          <w:i/>
        </w:rPr>
        <w:t>Appendix 1</w:t>
      </w:r>
      <w:r>
        <w:rPr>
          <w:rFonts w:ascii="Times New Roman" w:hAnsi="Times New Roman" w:cs="Times New Roman"/>
          <w:b/>
          <w:i/>
        </w:rPr>
        <w:t xml:space="preserve">: </w:t>
      </w:r>
      <w:r w:rsidRPr="00A00EB3">
        <w:rPr>
          <w:rFonts w:ascii="Times New Roman" w:hAnsi="Times New Roman" w:cs="Times New Roman"/>
          <w:b/>
          <w:i/>
        </w:rPr>
        <w:t>Formulation 1: FELIPE – Simplified Nutrition Labelling</w:t>
      </w:r>
    </w:p>
    <w:tbl>
      <w:tblPr>
        <w:tblStyle w:val="PlainTable1"/>
        <w:tblpPr w:leftFromText="180" w:rightFromText="180" w:vertAnchor="text" w:horzAnchor="margin" w:tblpY="480"/>
        <w:tblW w:w="9558" w:type="dxa"/>
        <w:tblLayout w:type="fixed"/>
        <w:tblLook w:val="04A0" w:firstRow="1" w:lastRow="0" w:firstColumn="1" w:lastColumn="0" w:noHBand="0" w:noVBand="1"/>
      </w:tblPr>
      <w:tblGrid>
        <w:gridCol w:w="1732"/>
        <w:gridCol w:w="1886"/>
        <w:gridCol w:w="3188"/>
        <w:gridCol w:w="582"/>
        <w:gridCol w:w="2170"/>
      </w:tblGrid>
      <w:tr w:rsidR="00EA608E" w:rsidRPr="00A00EB3" w14:paraId="0ADBBABA" w14:textId="77777777" w:rsidTr="000D51A6">
        <w:trPr>
          <w:cnfStyle w:val="100000000000" w:firstRow="1" w:lastRow="0" w:firstColumn="0" w:lastColumn="0" w:oddVBand="0" w:evenVBand="0" w:oddHBand="0"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732" w:type="dxa"/>
          </w:tcPr>
          <w:p w14:paraId="59A2B913"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Metric</w:t>
            </w:r>
          </w:p>
        </w:tc>
        <w:tc>
          <w:tcPr>
            <w:tcW w:w="1886" w:type="dxa"/>
          </w:tcPr>
          <w:p w14:paraId="52A2F6F3" w14:textId="77777777" w:rsidR="00EA608E" w:rsidRPr="00A00EB3" w:rsidRDefault="00EA608E" w:rsidP="000D51A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Description</w:t>
            </w:r>
          </w:p>
        </w:tc>
        <w:tc>
          <w:tcPr>
            <w:tcW w:w="3188" w:type="dxa"/>
          </w:tcPr>
          <w:p w14:paraId="50E8BB71" w14:textId="77777777" w:rsidR="00EA608E" w:rsidRPr="00A00EB3" w:rsidRDefault="00EA608E" w:rsidP="000D51A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Target</w:t>
            </w:r>
          </w:p>
        </w:tc>
        <w:tc>
          <w:tcPr>
            <w:tcW w:w="582" w:type="dxa"/>
          </w:tcPr>
          <w:p w14:paraId="0B6BBEDD" w14:textId="77777777" w:rsidR="00EA608E" w:rsidRPr="00A00EB3" w:rsidRDefault="00EA608E" w:rsidP="000D51A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Yes/No</w:t>
            </w:r>
          </w:p>
        </w:tc>
        <w:tc>
          <w:tcPr>
            <w:tcW w:w="2170" w:type="dxa"/>
          </w:tcPr>
          <w:p w14:paraId="3F85CB79" w14:textId="77777777" w:rsidR="00EA608E" w:rsidRPr="00A00EB3" w:rsidRDefault="00EA608E" w:rsidP="000D51A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Comment</w:t>
            </w:r>
          </w:p>
        </w:tc>
      </w:tr>
      <w:tr w:rsidR="00EA608E" w:rsidRPr="00A00EB3" w14:paraId="65AD1239" w14:textId="77777777" w:rsidTr="000D51A6">
        <w:trPr>
          <w:cnfStyle w:val="000000100000" w:firstRow="0" w:lastRow="0" w:firstColumn="0" w:lastColumn="0" w:oddVBand="0" w:evenVBand="0" w:oddHBand="1" w:evenHBand="0" w:firstRowFirstColumn="0" w:firstRowLastColumn="0" w:lastRowFirstColumn="0" w:lastRowLastColumn="0"/>
          <w:trHeight w:val="1064"/>
        </w:trPr>
        <w:tc>
          <w:tcPr>
            <w:cnfStyle w:val="001000000000" w:firstRow="0" w:lastRow="0" w:firstColumn="1" w:lastColumn="0" w:oddVBand="0" w:evenVBand="0" w:oddHBand="0" w:evenHBand="0" w:firstRowFirstColumn="0" w:firstRowLastColumn="0" w:lastRowFirstColumn="0" w:lastRowLastColumn="0"/>
            <w:tcW w:w="1732" w:type="dxa"/>
          </w:tcPr>
          <w:p w14:paraId="2A9715EA"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Policy vehicle</w:t>
            </w:r>
          </w:p>
        </w:tc>
        <w:tc>
          <w:tcPr>
            <w:tcW w:w="1886" w:type="dxa"/>
          </w:tcPr>
          <w:p w14:paraId="01306929"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The regulatory entry point for introducing/strengthening restrictions</w:t>
            </w:r>
          </w:p>
        </w:tc>
        <w:tc>
          <w:tcPr>
            <w:tcW w:w="3188" w:type="dxa"/>
          </w:tcPr>
          <w:p w14:paraId="393EF162"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Policy vehicle that allows for amendment upon review; carries force of law (example. Delegated legislation like regulations).</w:t>
            </w:r>
          </w:p>
        </w:tc>
        <w:tc>
          <w:tcPr>
            <w:tcW w:w="582" w:type="dxa"/>
          </w:tcPr>
          <w:p w14:paraId="3EBF0BE1"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70" w:type="dxa"/>
          </w:tcPr>
          <w:p w14:paraId="42377C6C"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0CA4013C" w14:textId="77777777" w:rsidTr="000D51A6">
        <w:trPr>
          <w:trHeight w:val="1279"/>
        </w:trPr>
        <w:tc>
          <w:tcPr>
            <w:cnfStyle w:val="001000000000" w:firstRow="0" w:lastRow="0" w:firstColumn="1" w:lastColumn="0" w:oddVBand="0" w:evenVBand="0" w:oddHBand="0" w:evenHBand="0" w:firstRowFirstColumn="0" w:firstRowLastColumn="0" w:lastRowFirstColumn="0" w:lastRowLastColumn="0"/>
            <w:tcW w:w="1732" w:type="dxa"/>
          </w:tcPr>
          <w:p w14:paraId="3BA1107D"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Labelling system</w:t>
            </w:r>
          </w:p>
        </w:tc>
        <w:tc>
          <w:tcPr>
            <w:tcW w:w="1886" w:type="dxa"/>
          </w:tcPr>
          <w:p w14:paraId="2D0267F3"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 xml:space="preserve">Format of label (graphics, type of information included) such interpretative, non-interpretive </w:t>
            </w:r>
          </w:p>
        </w:tc>
        <w:tc>
          <w:tcPr>
            <w:tcW w:w="3188" w:type="dxa"/>
          </w:tcPr>
          <w:p w14:paraId="505A9544"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Graphic – Warning label system</w:t>
            </w:r>
          </w:p>
        </w:tc>
        <w:tc>
          <w:tcPr>
            <w:tcW w:w="582" w:type="dxa"/>
          </w:tcPr>
          <w:p w14:paraId="3E1D3030"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170" w:type="dxa"/>
          </w:tcPr>
          <w:p w14:paraId="00CE7D27"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2A876E65" w14:textId="77777777" w:rsidTr="000D51A6">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1732" w:type="dxa"/>
          </w:tcPr>
          <w:p w14:paraId="0AD019E4" w14:textId="77777777" w:rsidR="00EA608E" w:rsidRPr="00A00EB3" w:rsidRDefault="00EA608E" w:rsidP="000D51A6">
            <w:pPr>
              <w:spacing w:line="480" w:lineRule="auto"/>
              <w:rPr>
                <w:rFonts w:ascii="Times New Roman" w:hAnsi="Times New Roman" w:cs="Times New Roman"/>
              </w:rPr>
            </w:pPr>
          </w:p>
        </w:tc>
        <w:tc>
          <w:tcPr>
            <w:tcW w:w="1886" w:type="dxa"/>
          </w:tcPr>
          <w:p w14:paraId="6C7DFC8E"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188" w:type="dxa"/>
          </w:tcPr>
          <w:p w14:paraId="384EC909"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 xml:space="preserve">Endorsement labels/logos maintained </w:t>
            </w:r>
          </w:p>
        </w:tc>
        <w:tc>
          <w:tcPr>
            <w:tcW w:w="582" w:type="dxa"/>
          </w:tcPr>
          <w:p w14:paraId="418340A7"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70" w:type="dxa"/>
          </w:tcPr>
          <w:p w14:paraId="63540D19"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18030324" w14:textId="77777777" w:rsidTr="000D51A6">
        <w:trPr>
          <w:trHeight w:val="214"/>
        </w:trPr>
        <w:tc>
          <w:tcPr>
            <w:cnfStyle w:val="001000000000" w:firstRow="0" w:lastRow="0" w:firstColumn="1" w:lastColumn="0" w:oddVBand="0" w:evenVBand="0" w:oddHBand="0" w:evenHBand="0" w:firstRowFirstColumn="0" w:firstRowLastColumn="0" w:lastRowFirstColumn="0" w:lastRowLastColumn="0"/>
            <w:tcW w:w="1732" w:type="dxa"/>
          </w:tcPr>
          <w:p w14:paraId="28A2EB44" w14:textId="77777777" w:rsidR="00EA608E" w:rsidRPr="00A00EB3" w:rsidRDefault="00EA608E" w:rsidP="000D51A6">
            <w:pPr>
              <w:spacing w:line="480" w:lineRule="auto"/>
              <w:rPr>
                <w:rFonts w:ascii="Times New Roman" w:hAnsi="Times New Roman" w:cs="Times New Roman"/>
              </w:rPr>
            </w:pPr>
          </w:p>
        </w:tc>
        <w:tc>
          <w:tcPr>
            <w:tcW w:w="1886" w:type="dxa"/>
          </w:tcPr>
          <w:p w14:paraId="0D2849A0"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188" w:type="dxa"/>
          </w:tcPr>
          <w:p w14:paraId="5D9D4242"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Locally validated</w:t>
            </w:r>
          </w:p>
        </w:tc>
        <w:tc>
          <w:tcPr>
            <w:tcW w:w="582" w:type="dxa"/>
          </w:tcPr>
          <w:p w14:paraId="7503D496"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170" w:type="dxa"/>
          </w:tcPr>
          <w:p w14:paraId="2EFF6CF0"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60A4E98A" w14:textId="77777777" w:rsidTr="000D51A6">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732" w:type="dxa"/>
            <w:vMerge w:val="restart"/>
          </w:tcPr>
          <w:p w14:paraId="469C2849"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Identification of nutrients/content</w:t>
            </w:r>
          </w:p>
        </w:tc>
        <w:tc>
          <w:tcPr>
            <w:tcW w:w="1886" w:type="dxa"/>
            <w:vMerge w:val="restart"/>
          </w:tcPr>
          <w:p w14:paraId="6FC258CD"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 xml:space="preserve">Which nutrients are considered for the label? How are those nutrients measured (per 100mg/per 100l/ </w:t>
            </w:r>
            <w:r w:rsidRPr="00A00EB3">
              <w:rPr>
                <w:rFonts w:ascii="Times New Roman" w:hAnsi="Times New Roman" w:cs="Times New Roman"/>
              </w:rPr>
              <w:lastRenderedPageBreak/>
              <w:t>per 100 kJ, serving size)</w:t>
            </w:r>
          </w:p>
        </w:tc>
        <w:tc>
          <w:tcPr>
            <w:tcW w:w="3188" w:type="dxa"/>
          </w:tcPr>
          <w:p w14:paraId="0DD599FA"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lastRenderedPageBreak/>
              <w:t>Report on energy, sodium, saturated fat and sugar content</w:t>
            </w:r>
          </w:p>
        </w:tc>
        <w:tc>
          <w:tcPr>
            <w:tcW w:w="582" w:type="dxa"/>
          </w:tcPr>
          <w:p w14:paraId="5680B5B4"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70" w:type="dxa"/>
          </w:tcPr>
          <w:p w14:paraId="22C7A8D6"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59F120E1" w14:textId="77777777" w:rsidTr="000D51A6">
        <w:trPr>
          <w:trHeight w:val="429"/>
        </w:trPr>
        <w:tc>
          <w:tcPr>
            <w:cnfStyle w:val="001000000000" w:firstRow="0" w:lastRow="0" w:firstColumn="1" w:lastColumn="0" w:oddVBand="0" w:evenVBand="0" w:oddHBand="0" w:evenHBand="0" w:firstRowFirstColumn="0" w:firstRowLastColumn="0" w:lastRowFirstColumn="0" w:lastRowLastColumn="0"/>
            <w:tcW w:w="1732" w:type="dxa"/>
            <w:vMerge/>
          </w:tcPr>
          <w:p w14:paraId="31A03E22" w14:textId="77777777" w:rsidR="00EA608E" w:rsidRPr="00A00EB3" w:rsidRDefault="00EA608E" w:rsidP="000D51A6">
            <w:pPr>
              <w:spacing w:line="480" w:lineRule="auto"/>
              <w:rPr>
                <w:rFonts w:ascii="Times New Roman" w:hAnsi="Times New Roman" w:cs="Times New Roman"/>
              </w:rPr>
            </w:pPr>
          </w:p>
        </w:tc>
        <w:tc>
          <w:tcPr>
            <w:tcW w:w="1886" w:type="dxa"/>
            <w:vMerge/>
          </w:tcPr>
          <w:p w14:paraId="6B7C6083"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188" w:type="dxa"/>
          </w:tcPr>
          <w:p w14:paraId="1D8F6A58"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Use more nutrients where appropriate</w:t>
            </w:r>
          </w:p>
        </w:tc>
        <w:tc>
          <w:tcPr>
            <w:tcW w:w="582" w:type="dxa"/>
          </w:tcPr>
          <w:p w14:paraId="21EF630D"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170" w:type="dxa"/>
          </w:tcPr>
          <w:p w14:paraId="77B79C39"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129D4A80" w14:textId="77777777" w:rsidTr="000D51A6">
        <w:trPr>
          <w:cnfStyle w:val="000000100000" w:firstRow="0" w:lastRow="0" w:firstColumn="0" w:lastColumn="0" w:oddVBand="0" w:evenVBand="0" w:oddHBand="1" w:evenHBand="0" w:firstRowFirstColumn="0" w:firstRowLastColumn="0" w:lastRowFirstColumn="0" w:lastRowLastColumn="0"/>
          <w:trHeight w:val="849"/>
        </w:trPr>
        <w:tc>
          <w:tcPr>
            <w:cnfStyle w:val="001000000000" w:firstRow="0" w:lastRow="0" w:firstColumn="1" w:lastColumn="0" w:oddVBand="0" w:evenVBand="0" w:oddHBand="0" w:evenHBand="0" w:firstRowFirstColumn="0" w:firstRowLastColumn="0" w:lastRowFirstColumn="0" w:lastRowLastColumn="0"/>
            <w:tcW w:w="1732" w:type="dxa"/>
            <w:vMerge/>
          </w:tcPr>
          <w:p w14:paraId="1287406B" w14:textId="77777777" w:rsidR="00EA608E" w:rsidRPr="00A00EB3" w:rsidRDefault="00EA608E" w:rsidP="000D51A6">
            <w:pPr>
              <w:spacing w:line="480" w:lineRule="auto"/>
              <w:rPr>
                <w:rFonts w:ascii="Times New Roman" w:hAnsi="Times New Roman" w:cs="Times New Roman"/>
              </w:rPr>
            </w:pPr>
          </w:p>
        </w:tc>
        <w:tc>
          <w:tcPr>
            <w:tcW w:w="1886" w:type="dxa"/>
            <w:vMerge/>
          </w:tcPr>
          <w:p w14:paraId="69BEF2D4"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188" w:type="dxa"/>
          </w:tcPr>
          <w:p w14:paraId="5D76A46D"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Measure per 100 grams/ 100ml</w:t>
            </w:r>
          </w:p>
        </w:tc>
        <w:tc>
          <w:tcPr>
            <w:tcW w:w="582" w:type="dxa"/>
          </w:tcPr>
          <w:p w14:paraId="2B8EDBA4"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70" w:type="dxa"/>
          </w:tcPr>
          <w:p w14:paraId="228CE797"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06E01EA4" w14:textId="77777777" w:rsidTr="000D51A6">
        <w:trPr>
          <w:trHeight w:val="1064"/>
        </w:trPr>
        <w:tc>
          <w:tcPr>
            <w:cnfStyle w:val="001000000000" w:firstRow="0" w:lastRow="0" w:firstColumn="1" w:lastColumn="0" w:oddVBand="0" w:evenVBand="0" w:oddHBand="0" w:evenHBand="0" w:firstRowFirstColumn="0" w:firstRowLastColumn="0" w:lastRowFirstColumn="0" w:lastRowLastColumn="0"/>
            <w:tcW w:w="1732" w:type="dxa"/>
          </w:tcPr>
          <w:p w14:paraId="373FBE48"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Underlying nutrient profile system</w:t>
            </w:r>
          </w:p>
        </w:tc>
        <w:tc>
          <w:tcPr>
            <w:tcW w:w="1886" w:type="dxa"/>
          </w:tcPr>
          <w:p w14:paraId="2373A953"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 xml:space="preserve">Underlying system used to “score”/ “measure” product </w:t>
            </w:r>
          </w:p>
        </w:tc>
        <w:tc>
          <w:tcPr>
            <w:tcW w:w="3188" w:type="dxa"/>
          </w:tcPr>
          <w:p w14:paraId="27338E79"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System developed by government-led procedure</w:t>
            </w:r>
          </w:p>
        </w:tc>
        <w:tc>
          <w:tcPr>
            <w:tcW w:w="582" w:type="dxa"/>
          </w:tcPr>
          <w:p w14:paraId="7FED9012"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170" w:type="dxa"/>
          </w:tcPr>
          <w:p w14:paraId="57BCF3C1"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041FB0AE" w14:textId="77777777" w:rsidTr="000D51A6">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1732" w:type="dxa"/>
          </w:tcPr>
          <w:p w14:paraId="5F041FCA" w14:textId="77777777" w:rsidR="00EA608E" w:rsidRPr="00A00EB3" w:rsidRDefault="00EA608E" w:rsidP="000D51A6">
            <w:pPr>
              <w:spacing w:line="480" w:lineRule="auto"/>
              <w:rPr>
                <w:rFonts w:ascii="Times New Roman" w:hAnsi="Times New Roman" w:cs="Times New Roman"/>
              </w:rPr>
            </w:pPr>
          </w:p>
        </w:tc>
        <w:tc>
          <w:tcPr>
            <w:tcW w:w="1886" w:type="dxa"/>
          </w:tcPr>
          <w:p w14:paraId="3C447AA6"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188" w:type="dxa"/>
          </w:tcPr>
          <w:p w14:paraId="2A220C38"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Based on existing nutrient profile systems</w:t>
            </w:r>
          </w:p>
        </w:tc>
        <w:tc>
          <w:tcPr>
            <w:tcW w:w="582" w:type="dxa"/>
          </w:tcPr>
          <w:p w14:paraId="773B98FB"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70" w:type="dxa"/>
          </w:tcPr>
          <w:p w14:paraId="4468D0D1"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70508786" w14:textId="77777777" w:rsidTr="000D51A6">
        <w:trPr>
          <w:trHeight w:val="214"/>
        </w:trPr>
        <w:tc>
          <w:tcPr>
            <w:cnfStyle w:val="001000000000" w:firstRow="0" w:lastRow="0" w:firstColumn="1" w:lastColumn="0" w:oddVBand="0" w:evenVBand="0" w:oddHBand="0" w:evenHBand="0" w:firstRowFirstColumn="0" w:firstRowLastColumn="0" w:lastRowFirstColumn="0" w:lastRowLastColumn="0"/>
            <w:tcW w:w="1732" w:type="dxa"/>
          </w:tcPr>
          <w:p w14:paraId="4EC9B304" w14:textId="77777777" w:rsidR="00EA608E" w:rsidRPr="00A00EB3" w:rsidRDefault="00EA608E" w:rsidP="000D51A6">
            <w:pPr>
              <w:spacing w:line="480" w:lineRule="auto"/>
              <w:rPr>
                <w:rFonts w:ascii="Times New Roman" w:hAnsi="Times New Roman" w:cs="Times New Roman"/>
              </w:rPr>
            </w:pPr>
          </w:p>
        </w:tc>
        <w:tc>
          <w:tcPr>
            <w:tcW w:w="1886" w:type="dxa"/>
          </w:tcPr>
          <w:p w14:paraId="2AE575F3"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188" w:type="dxa"/>
          </w:tcPr>
          <w:p w14:paraId="3FEAA86B"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Extensively validated</w:t>
            </w:r>
          </w:p>
        </w:tc>
        <w:tc>
          <w:tcPr>
            <w:tcW w:w="582" w:type="dxa"/>
          </w:tcPr>
          <w:p w14:paraId="284BF31B"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170" w:type="dxa"/>
          </w:tcPr>
          <w:p w14:paraId="04BA0B4F"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1FBD7A3F" w14:textId="77777777" w:rsidTr="000D51A6">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732" w:type="dxa"/>
          </w:tcPr>
          <w:p w14:paraId="5C6C17DD" w14:textId="77777777" w:rsidR="00EA608E" w:rsidRPr="00A00EB3" w:rsidRDefault="00EA608E" w:rsidP="000D51A6">
            <w:pPr>
              <w:spacing w:line="480" w:lineRule="auto"/>
              <w:rPr>
                <w:rFonts w:ascii="Times New Roman" w:hAnsi="Times New Roman" w:cs="Times New Roman"/>
              </w:rPr>
            </w:pPr>
          </w:p>
        </w:tc>
        <w:tc>
          <w:tcPr>
            <w:tcW w:w="1886" w:type="dxa"/>
          </w:tcPr>
          <w:p w14:paraId="39DC609D"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188" w:type="dxa"/>
          </w:tcPr>
          <w:p w14:paraId="56732D04"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Review of system built into policy plan</w:t>
            </w:r>
          </w:p>
        </w:tc>
        <w:tc>
          <w:tcPr>
            <w:tcW w:w="582" w:type="dxa"/>
          </w:tcPr>
          <w:p w14:paraId="1B92E552"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70" w:type="dxa"/>
          </w:tcPr>
          <w:p w14:paraId="6D743FB8"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4E699AF9" w14:textId="77777777" w:rsidTr="000D51A6">
        <w:trPr>
          <w:trHeight w:val="849"/>
        </w:trPr>
        <w:tc>
          <w:tcPr>
            <w:cnfStyle w:val="001000000000" w:firstRow="0" w:lastRow="0" w:firstColumn="1" w:lastColumn="0" w:oddVBand="0" w:evenVBand="0" w:oddHBand="0" w:evenHBand="0" w:firstRowFirstColumn="0" w:firstRowLastColumn="0" w:lastRowFirstColumn="0" w:lastRowLastColumn="0"/>
            <w:tcW w:w="1732" w:type="dxa"/>
          </w:tcPr>
          <w:p w14:paraId="430774DD"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Mandatory/ Voluntary administration</w:t>
            </w:r>
          </w:p>
        </w:tc>
        <w:tc>
          <w:tcPr>
            <w:tcW w:w="1886" w:type="dxa"/>
          </w:tcPr>
          <w:p w14:paraId="101B220C"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 xml:space="preserve">Is the label mandatory? Does government enforce its use? </w:t>
            </w:r>
          </w:p>
        </w:tc>
        <w:tc>
          <w:tcPr>
            <w:tcW w:w="3188" w:type="dxa"/>
          </w:tcPr>
          <w:p w14:paraId="7BF5DF14"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Mandatory (Government administered)</w:t>
            </w:r>
          </w:p>
        </w:tc>
        <w:tc>
          <w:tcPr>
            <w:tcW w:w="582" w:type="dxa"/>
          </w:tcPr>
          <w:p w14:paraId="227BEF5D"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170" w:type="dxa"/>
          </w:tcPr>
          <w:p w14:paraId="079A883F"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5F4CAB72" w14:textId="77777777" w:rsidTr="000D51A6">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1732" w:type="dxa"/>
          </w:tcPr>
          <w:p w14:paraId="446B243D"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Monitoring and evaluation</w:t>
            </w:r>
          </w:p>
        </w:tc>
        <w:tc>
          <w:tcPr>
            <w:tcW w:w="1886" w:type="dxa"/>
          </w:tcPr>
          <w:p w14:paraId="5D5A1392"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188" w:type="dxa"/>
          </w:tcPr>
          <w:p w14:paraId="63ADB8F4"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Baseline assessment of consumption conducted</w:t>
            </w:r>
          </w:p>
        </w:tc>
        <w:tc>
          <w:tcPr>
            <w:tcW w:w="582" w:type="dxa"/>
          </w:tcPr>
          <w:p w14:paraId="1A9D5E95"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70" w:type="dxa"/>
          </w:tcPr>
          <w:p w14:paraId="224229DC"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7B2A43B9" w14:textId="77777777" w:rsidTr="000D51A6">
        <w:trPr>
          <w:trHeight w:val="429"/>
        </w:trPr>
        <w:tc>
          <w:tcPr>
            <w:cnfStyle w:val="001000000000" w:firstRow="0" w:lastRow="0" w:firstColumn="1" w:lastColumn="0" w:oddVBand="0" w:evenVBand="0" w:oddHBand="0" w:evenHBand="0" w:firstRowFirstColumn="0" w:firstRowLastColumn="0" w:lastRowFirstColumn="0" w:lastRowLastColumn="0"/>
            <w:tcW w:w="1732" w:type="dxa"/>
          </w:tcPr>
          <w:p w14:paraId="1B5A1C0B" w14:textId="77777777" w:rsidR="00EA608E" w:rsidRPr="00A00EB3" w:rsidRDefault="00EA608E" w:rsidP="000D51A6">
            <w:pPr>
              <w:spacing w:line="480" w:lineRule="auto"/>
              <w:rPr>
                <w:rFonts w:ascii="Times New Roman" w:hAnsi="Times New Roman" w:cs="Times New Roman"/>
              </w:rPr>
            </w:pPr>
          </w:p>
        </w:tc>
        <w:tc>
          <w:tcPr>
            <w:tcW w:w="1886" w:type="dxa"/>
          </w:tcPr>
          <w:p w14:paraId="6AF28D7D"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188" w:type="dxa"/>
          </w:tcPr>
          <w:p w14:paraId="762AD6CA"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Independent monitoring and evaluation built into policy</w:t>
            </w:r>
          </w:p>
        </w:tc>
        <w:tc>
          <w:tcPr>
            <w:tcW w:w="582" w:type="dxa"/>
          </w:tcPr>
          <w:p w14:paraId="647EF040"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170" w:type="dxa"/>
          </w:tcPr>
          <w:p w14:paraId="74D3C49A"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7A298236" w14:textId="77777777" w:rsidTr="000D51A6">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1732" w:type="dxa"/>
          </w:tcPr>
          <w:p w14:paraId="1F75131C" w14:textId="77777777" w:rsidR="00EA608E" w:rsidRPr="00A00EB3" w:rsidRDefault="00EA608E" w:rsidP="000D51A6">
            <w:pPr>
              <w:spacing w:line="480" w:lineRule="auto"/>
              <w:rPr>
                <w:rFonts w:ascii="Times New Roman" w:hAnsi="Times New Roman" w:cs="Times New Roman"/>
              </w:rPr>
            </w:pPr>
          </w:p>
        </w:tc>
        <w:tc>
          <w:tcPr>
            <w:tcW w:w="1886" w:type="dxa"/>
          </w:tcPr>
          <w:p w14:paraId="696AD93C"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188" w:type="dxa"/>
          </w:tcPr>
          <w:p w14:paraId="431CB840"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Use of effective sanctions</w:t>
            </w:r>
          </w:p>
        </w:tc>
        <w:tc>
          <w:tcPr>
            <w:tcW w:w="582" w:type="dxa"/>
          </w:tcPr>
          <w:p w14:paraId="3FD546D7"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70" w:type="dxa"/>
          </w:tcPr>
          <w:p w14:paraId="740B8CE7"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2EFC503B" w14:textId="77777777" w:rsidTr="000D51A6">
        <w:trPr>
          <w:trHeight w:val="419"/>
        </w:trPr>
        <w:tc>
          <w:tcPr>
            <w:cnfStyle w:val="001000000000" w:firstRow="0" w:lastRow="0" w:firstColumn="1" w:lastColumn="0" w:oddVBand="0" w:evenVBand="0" w:oddHBand="0" w:evenHBand="0" w:firstRowFirstColumn="0" w:firstRowLastColumn="0" w:lastRowFirstColumn="0" w:lastRowLastColumn="0"/>
            <w:tcW w:w="1732" w:type="dxa"/>
          </w:tcPr>
          <w:p w14:paraId="25753B0B" w14:textId="77777777" w:rsidR="00EA608E" w:rsidRPr="00A00EB3" w:rsidRDefault="00EA608E" w:rsidP="000D51A6">
            <w:pPr>
              <w:spacing w:line="480" w:lineRule="auto"/>
              <w:rPr>
                <w:rFonts w:ascii="Times New Roman" w:hAnsi="Times New Roman" w:cs="Times New Roman"/>
              </w:rPr>
            </w:pPr>
          </w:p>
        </w:tc>
        <w:tc>
          <w:tcPr>
            <w:tcW w:w="1886" w:type="dxa"/>
          </w:tcPr>
          <w:p w14:paraId="1D66DE5A"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188" w:type="dxa"/>
          </w:tcPr>
          <w:p w14:paraId="0E6CF5DE"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Communication campaign to stakeholders around sanction</w:t>
            </w:r>
          </w:p>
        </w:tc>
        <w:tc>
          <w:tcPr>
            <w:tcW w:w="582" w:type="dxa"/>
          </w:tcPr>
          <w:p w14:paraId="052110F5"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170" w:type="dxa"/>
          </w:tcPr>
          <w:p w14:paraId="6094292B"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397FE542" w14:textId="77777777" w:rsidTr="000D51A6">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732" w:type="dxa"/>
            <w:vMerge w:val="restart"/>
          </w:tcPr>
          <w:p w14:paraId="209EB9B5"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Complimentary mechanism</w:t>
            </w:r>
          </w:p>
        </w:tc>
        <w:tc>
          <w:tcPr>
            <w:tcW w:w="1886" w:type="dxa"/>
            <w:vMerge w:val="restart"/>
          </w:tcPr>
          <w:p w14:paraId="0447192B"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Introduction of supporting policies/regulations</w:t>
            </w:r>
          </w:p>
        </w:tc>
        <w:tc>
          <w:tcPr>
            <w:tcW w:w="3188" w:type="dxa"/>
          </w:tcPr>
          <w:p w14:paraId="369D33E1"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Policy attached to marketing restrictions</w:t>
            </w:r>
          </w:p>
        </w:tc>
        <w:tc>
          <w:tcPr>
            <w:tcW w:w="582" w:type="dxa"/>
          </w:tcPr>
          <w:p w14:paraId="47DC0D7D"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70" w:type="dxa"/>
          </w:tcPr>
          <w:p w14:paraId="5FFE4A93"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39444F5E" w14:textId="77777777" w:rsidTr="000D51A6">
        <w:trPr>
          <w:trHeight w:val="429"/>
        </w:trPr>
        <w:tc>
          <w:tcPr>
            <w:cnfStyle w:val="001000000000" w:firstRow="0" w:lastRow="0" w:firstColumn="1" w:lastColumn="0" w:oddVBand="0" w:evenVBand="0" w:oddHBand="0" w:evenHBand="0" w:firstRowFirstColumn="0" w:firstRowLastColumn="0" w:lastRowFirstColumn="0" w:lastRowLastColumn="0"/>
            <w:tcW w:w="1732" w:type="dxa"/>
            <w:vMerge/>
          </w:tcPr>
          <w:p w14:paraId="7A8AF87A" w14:textId="77777777" w:rsidR="00EA608E" w:rsidRPr="00A00EB3" w:rsidRDefault="00EA608E" w:rsidP="000D51A6">
            <w:pPr>
              <w:spacing w:line="480" w:lineRule="auto"/>
              <w:rPr>
                <w:rFonts w:ascii="Times New Roman" w:hAnsi="Times New Roman" w:cs="Times New Roman"/>
              </w:rPr>
            </w:pPr>
          </w:p>
        </w:tc>
        <w:tc>
          <w:tcPr>
            <w:tcW w:w="1886" w:type="dxa"/>
            <w:vMerge/>
          </w:tcPr>
          <w:p w14:paraId="406B68EA"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188" w:type="dxa"/>
          </w:tcPr>
          <w:p w14:paraId="73A4B7F0"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Accompanying educational campaigns to consumers</w:t>
            </w:r>
          </w:p>
        </w:tc>
        <w:tc>
          <w:tcPr>
            <w:tcW w:w="582" w:type="dxa"/>
          </w:tcPr>
          <w:p w14:paraId="113177B7"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170" w:type="dxa"/>
          </w:tcPr>
          <w:p w14:paraId="31CA4EF8"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0CA5A9BC" w14:textId="77777777" w:rsidR="00EA608E" w:rsidRPr="00831516" w:rsidRDefault="00EA608E" w:rsidP="00EA608E">
      <w:pPr>
        <w:spacing w:line="480" w:lineRule="auto"/>
        <w:rPr>
          <w:rFonts w:ascii="Times New Roman" w:hAnsi="Times New Roman" w:cs="Times New Roman"/>
          <w:b/>
          <w:sz w:val="24"/>
          <w:szCs w:val="24"/>
        </w:rPr>
      </w:pPr>
      <w:r w:rsidRPr="00831516">
        <w:rPr>
          <w:rFonts w:ascii="Times New Roman" w:hAnsi="Times New Roman" w:cs="Times New Roman"/>
          <w:b/>
          <w:sz w:val="24"/>
          <w:szCs w:val="24"/>
        </w:rPr>
        <w:lastRenderedPageBreak/>
        <w:t>Formulation 2: FELIPE – Simplified Nutrition Labelling</w:t>
      </w:r>
    </w:p>
    <w:tbl>
      <w:tblPr>
        <w:tblStyle w:val="PlainTable1"/>
        <w:tblpPr w:leftFromText="180" w:rightFromText="180" w:vertAnchor="text" w:horzAnchor="margin" w:tblpY="152"/>
        <w:tblW w:w="9351" w:type="dxa"/>
        <w:tblLook w:val="04A0" w:firstRow="1" w:lastRow="0" w:firstColumn="1" w:lastColumn="0" w:noHBand="0" w:noVBand="1"/>
      </w:tblPr>
      <w:tblGrid>
        <w:gridCol w:w="1830"/>
        <w:gridCol w:w="2489"/>
        <w:gridCol w:w="2577"/>
        <w:gridCol w:w="620"/>
        <w:gridCol w:w="1835"/>
      </w:tblGrid>
      <w:tr w:rsidR="00EA608E" w:rsidRPr="00A00EB3" w14:paraId="0B2A10DC" w14:textId="77777777" w:rsidTr="000D51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3" w:type="dxa"/>
          </w:tcPr>
          <w:p w14:paraId="4A6D49F1"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Metric</w:t>
            </w:r>
          </w:p>
        </w:tc>
        <w:tc>
          <w:tcPr>
            <w:tcW w:w="2177" w:type="dxa"/>
          </w:tcPr>
          <w:p w14:paraId="5DBA88AD" w14:textId="77777777" w:rsidR="00EA608E" w:rsidRPr="00A00EB3" w:rsidRDefault="00EA608E" w:rsidP="000D51A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Description</w:t>
            </w:r>
          </w:p>
        </w:tc>
        <w:tc>
          <w:tcPr>
            <w:tcW w:w="2943" w:type="dxa"/>
          </w:tcPr>
          <w:p w14:paraId="581A44CA" w14:textId="77777777" w:rsidR="00EA608E" w:rsidRPr="00A00EB3" w:rsidRDefault="00EA608E" w:rsidP="000D51A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Target</w:t>
            </w:r>
          </w:p>
        </w:tc>
        <w:tc>
          <w:tcPr>
            <w:tcW w:w="550" w:type="dxa"/>
          </w:tcPr>
          <w:p w14:paraId="02CDE176" w14:textId="77777777" w:rsidR="00EA608E" w:rsidRPr="00A00EB3" w:rsidRDefault="00EA608E" w:rsidP="000D51A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Yes/ No</w:t>
            </w:r>
          </w:p>
        </w:tc>
        <w:tc>
          <w:tcPr>
            <w:tcW w:w="2038" w:type="dxa"/>
          </w:tcPr>
          <w:p w14:paraId="2F4F2ACF" w14:textId="77777777" w:rsidR="00EA608E" w:rsidRPr="00A00EB3" w:rsidRDefault="00EA608E" w:rsidP="000D51A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Comment</w:t>
            </w:r>
          </w:p>
        </w:tc>
      </w:tr>
      <w:tr w:rsidR="00EA608E" w:rsidRPr="00A00EB3" w14:paraId="191A7D24" w14:textId="77777777" w:rsidTr="000D51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3" w:type="dxa"/>
          </w:tcPr>
          <w:p w14:paraId="67D5813D"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Policy vehicle</w:t>
            </w:r>
          </w:p>
        </w:tc>
        <w:tc>
          <w:tcPr>
            <w:tcW w:w="2177" w:type="dxa"/>
          </w:tcPr>
          <w:p w14:paraId="04CBFFA5"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The regulatory entry point for introducing/strengthening restrictions</w:t>
            </w:r>
          </w:p>
        </w:tc>
        <w:tc>
          <w:tcPr>
            <w:tcW w:w="2943" w:type="dxa"/>
          </w:tcPr>
          <w:p w14:paraId="211B016F"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Policy that is legally binding (any coercive legal instrument).</w:t>
            </w:r>
          </w:p>
        </w:tc>
        <w:tc>
          <w:tcPr>
            <w:tcW w:w="550" w:type="dxa"/>
          </w:tcPr>
          <w:p w14:paraId="2412C469"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038" w:type="dxa"/>
          </w:tcPr>
          <w:p w14:paraId="7F05B5C0"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3E3621D7" w14:textId="77777777" w:rsidTr="000D51A6">
        <w:tc>
          <w:tcPr>
            <w:cnfStyle w:val="001000000000" w:firstRow="0" w:lastRow="0" w:firstColumn="1" w:lastColumn="0" w:oddVBand="0" w:evenVBand="0" w:oddHBand="0" w:evenHBand="0" w:firstRowFirstColumn="0" w:firstRowLastColumn="0" w:lastRowFirstColumn="0" w:lastRowLastColumn="0"/>
            <w:tcW w:w="1643" w:type="dxa"/>
          </w:tcPr>
          <w:p w14:paraId="283F8142"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Labelling system</w:t>
            </w:r>
          </w:p>
        </w:tc>
        <w:tc>
          <w:tcPr>
            <w:tcW w:w="2177" w:type="dxa"/>
          </w:tcPr>
          <w:p w14:paraId="274E76C7"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Format of label (graphics, type of information included) such interpretative, non-interpretive</w:t>
            </w:r>
          </w:p>
        </w:tc>
        <w:tc>
          <w:tcPr>
            <w:tcW w:w="2943" w:type="dxa"/>
          </w:tcPr>
          <w:p w14:paraId="082F73CF"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Any interpretive labelling system</w:t>
            </w:r>
          </w:p>
        </w:tc>
        <w:tc>
          <w:tcPr>
            <w:tcW w:w="550" w:type="dxa"/>
          </w:tcPr>
          <w:p w14:paraId="1F7A7291"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038" w:type="dxa"/>
          </w:tcPr>
          <w:p w14:paraId="3789D827"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4472F19B" w14:textId="77777777" w:rsidTr="000D51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3" w:type="dxa"/>
            <w:vMerge w:val="restart"/>
          </w:tcPr>
          <w:p w14:paraId="3DBD0E7F"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Identification of nutrients/content</w:t>
            </w:r>
          </w:p>
        </w:tc>
        <w:tc>
          <w:tcPr>
            <w:tcW w:w="2177" w:type="dxa"/>
            <w:vMerge w:val="restart"/>
          </w:tcPr>
          <w:p w14:paraId="18E1EC5D"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Which nutrients are considered for the label? How are those nutrients measured (per 100mg/per 100l/ per 100 kJ, serving size)</w:t>
            </w:r>
          </w:p>
        </w:tc>
        <w:tc>
          <w:tcPr>
            <w:tcW w:w="2943" w:type="dxa"/>
          </w:tcPr>
          <w:p w14:paraId="2E35778A"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Report on energy, sodium, saturated fat and sugar content</w:t>
            </w:r>
          </w:p>
        </w:tc>
        <w:tc>
          <w:tcPr>
            <w:tcW w:w="550" w:type="dxa"/>
          </w:tcPr>
          <w:p w14:paraId="5437B51C"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038" w:type="dxa"/>
          </w:tcPr>
          <w:p w14:paraId="782BD40D"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460D6A80" w14:textId="77777777" w:rsidTr="000D51A6">
        <w:tc>
          <w:tcPr>
            <w:cnfStyle w:val="001000000000" w:firstRow="0" w:lastRow="0" w:firstColumn="1" w:lastColumn="0" w:oddVBand="0" w:evenVBand="0" w:oddHBand="0" w:evenHBand="0" w:firstRowFirstColumn="0" w:firstRowLastColumn="0" w:lastRowFirstColumn="0" w:lastRowLastColumn="0"/>
            <w:tcW w:w="1643" w:type="dxa"/>
            <w:vMerge/>
          </w:tcPr>
          <w:p w14:paraId="08AB9CF5" w14:textId="77777777" w:rsidR="00EA608E" w:rsidRPr="00A00EB3" w:rsidRDefault="00EA608E" w:rsidP="000D51A6">
            <w:pPr>
              <w:spacing w:line="480" w:lineRule="auto"/>
              <w:rPr>
                <w:rFonts w:ascii="Times New Roman" w:hAnsi="Times New Roman" w:cs="Times New Roman"/>
              </w:rPr>
            </w:pPr>
          </w:p>
        </w:tc>
        <w:tc>
          <w:tcPr>
            <w:tcW w:w="2177" w:type="dxa"/>
            <w:vMerge/>
          </w:tcPr>
          <w:p w14:paraId="3AB107B8"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943" w:type="dxa"/>
          </w:tcPr>
          <w:p w14:paraId="3481F7D5"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Use standardized measure</w:t>
            </w:r>
          </w:p>
        </w:tc>
        <w:tc>
          <w:tcPr>
            <w:tcW w:w="550" w:type="dxa"/>
          </w:tcPr>
          <w:p w14:paraId="790D85FC"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038" w:type="dxa"/>
          </w:tcPr>
          <w:p w14:paraId="16DA0C0F"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1E3591B2" w14:textId="77777777" w:rsidTr="000D51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3" w:type="dxa"/>
          </w:tcPr>
          <w:p w14:paraId="0BBB7C2E"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Underlying nutrient profile system</w:t>
            </w:r>
          </w:p>
        </w:tc>
        <w:tc>
          <w:tcPr>
            <w:tcW w:w="2177" w:type="dxa"/>
          </w:tcPr>
          <w:p w14:paraId="3297B5B9"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 xml:space="preserve">Underlying system used to “score”/ “measure” product </w:t>
            </w:r>
          </w:p>
        </w:tc>
        <w:tc>
          <w:tcPr>
            <w:tcW w:w="2943" w:type="dxa"/>
          </w:tcPr>
          <w:p w14:paraId="012338DA"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Based on existing nutrient profile systems</w:t>
            </w:r>
          </w:p>
        </w:tc>
        <w:tc>
          <w:tcPr>
            <w:tcW w:w="550" w:type="dxa"/>
          </w:tcPr>
          <w:p w14:paraId="3F48B0FA"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038" w:type="dxa"/>
          </w:tcPr>
          <w:p w14:paraId="62BA3FFC"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3E856598" w14:textId="77777777" w:rsidTr="000D51A6">
        <w:tc>
          <w:tcPr>
            <w:cnfStyle w:val="001000000000" w:firstRow="0" w:lastRow="0" w:firstColumn="1" w:lastColumn="0" w:oddVBand="0" w:evenVBand="0" w:oddHBand="0" w:evenHBand="0" w:firstRowFirstColumn="0" w:firstRowLastColumn="0" w:lastRowFirstColumn="0" w:lastRowLastColumn="0"/>
            <w:tcW w:w="1643" w:type="dxa"/>
          </w:tcPr>
          <w:p w14:paraId="082329C4" w14:textId="77777777" w:rsidR="00EA608E" w:rsidRPr="00A00EB3" w:rsidRDefault="00EA608E" w:rsidP="000D51A6">
            <w:pPr>
              <w:spacing w:line="480" w:lineRule="auto"/>
              <w:rPr>
                <w:rFonts w:ascii="Times New Roman" w:hAnsi="Times New Roman" w:cs="Times New Roman"/>
              </w:rPr>
            </w:pPr>
          </w:p>
        </w:tc>
        <w:tc>
          <w:tcPr>
            <w:tcW w:w="2177" w:type="dxa"/>
          </w:tcPr>
          <w:p w14:paraId="4805FE59"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943" w:type="dxa"/>
          </w:tcPr>
          <w:p w14:paraId="28FB7460"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Evidence of validation</w:t>
            </w:r>
          </w:p>
        </w:tc>
        <w:tc>
          <w:tcPr>
            <w:tcW w:w="550" w:type="dxa"/>
          </w:tcPr>
          <w:p w14:paraId="51AC4AC2"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038" w:type="dxa"/>
          </w:tcPr>
          <w:p w14:paraId="59BCE40B"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2359FCC1" w14:textId="77777777" w:rsidTr="000D51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3" w:type="dxa"/>
          </w:tcPr>
          <w:p w14:paraId="1E974BC4"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lastRenderedPageBreak/>
              <w:t>Mandatory/ Voluntary administration</w:t>
            </w:r>
          </w:p>
        </w:tc>
        <w:tc>
          <w:tcPr>
            <w:tcW w:w="2177" w:type="dxa"/>
          </w:tcPr>
          <w:p w14:paraId="2D4265FC"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 xml:space="preserve">Is the label mandatory? Does government enforce its use? </w:t>
            </w:r>
          </w:p>
        </w:tc>
        <w:tc>
          <w:tcPr>
            <w:tcW w:w="2943" w:type="dxa"/>
          </w:tcPr>
          <w:p w14:paraId="674F4ED5"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Voluntary</w:t>
            </w:r>
          </w:p>
        </w:tc>
        <w:tc>
          <w:tcPr>
            <w:tcW w:w="550" w:type="dxa"/>
          </w:tcPr>
          <w:p w14:paraId="68903CDC"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038" w:type="dxa"/>
          </w:tcPr>
          <w:p w14:paraId="007BAAF4"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78D528E8" w14:textId="77777777" w:rsidTr="000D51A6">
        <w:trPr>
          <w:trHeight w:val="180"/>
        </w:trPr>
        <w:tc>
          <w:tcPr>
            <w:cnfStyle w:val="001000000000" w:firstRow="0" w:lastRow="0" w:firstColumn="1" w:lastColumn="0" w:oddVBand="0" w:evenVBand="0" w:oddHBand="0" w:evenHBand="0" w:firstRowFirstColumn="0" w:firstRowLastColumn="0" w:lastRowFirstColumn="0" w:lastRowLastColumn="0"/>
            <w:tcW w:w="1643" w:type="dxa"/>
          </w:tcPr>
          <w:p w14:paraId="4E422EBD"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Monitoring and evaluation</w:t>
            </w:r>
          </w:p>
        </w:tc>
        <w:tc>
          <w:tcPr>
            <w:tcW w:w="2177" w:type="dxa"/>
          </w:tcPr>
          <w:p w14:paraId="5C07D799"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943" w:type="dxa"/>
          </w:tcPr>
          <w:p w14:paraId="33E6DCF4"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Monitoring and evaluation built into policy</w:t>
            </w:r>
          </w:p>
        </w:tc>
        <w:tc>
          <w:tcPr>
            <w:tcW w:w="550" w:type="dxa"/>
          </w:tcPr>
          <w:p w14:paraId="3AB74459"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038" w:type="dxa"/>
          </w:tcPr>
          <w:p w14:paraId="23C5DDA8"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A608E" w:rsidRPr="00A00EB3" w14:paraId="07864351" w14:textId="77777777" w:rsidTr="000D51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3" w:type="dxa"/>
          </w:tcPr>
          <w:p w14:paraId="248F32EF" w14:textId="77777777" w:rsidR="00EA608E" w:rsidRPr="00A00EB3" w:rsidRDefault="00EA608E" w:rsidP="000D51A6">
            <w:pPr>
              <w:spacing w:line="480" w:lineRule="auto"/>
              <w:rPr>
                <w:rFonts w:ascii="Times New Roman" w:hAnsi="Times New Roman" w:cs="Times New Roman"/>
              </w:rPr>
            </w:pPr>
          </w:p>
        </w:tc>
        <w:tc>
          <w:tcPr>
            <w:tcW w:w="2177" w:type="dxa"/>
          </w:tcPr>
          <w:p w14:paraId="24A1CEF8"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943" w:type="dxa"/>
          </w:tcPr>
          <w:p w14:paraId="6E8DD942"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Sanctions</w:t>
            </w:r>
          </w:p>
        </w:tc>
        <w:tc>
          <w:tcPr>
            <w:tcW w:w="550" w:type="dxa"/>
          </w:tcPr>
          <w:p w14:paraId="52D498A9"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038" w:type="dxa"/>
          </w:tcPr>
          <w:p w14:paraId="40F16396" w14:textId="77777777" w:rsidR="00EA608E" w:rsidRPr="00A00EB3" w:rsidRDefault="00EA608E" w:rsidP="000D51A6">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A608E" w:rsidRPr="00A00EB3" w14:paraId="72A22304" w14:textId="77777777" w:rsidTr="000D51A6">
        <w:tc>
          <w:tcPr>
            <w:cnfStyle w:val="001000000000" w:firstRow="0" w:lastRow="0" w:firstColumn="1" w:lastColumn="0" w:oddVBand="0" w:evenVBand="0" w:oddHBand="0" w:evenHBand="0" w:firstRowFirstColumn="0" w:firstRowLastColumn="0" w:lastRowFirstColumn="0" w:lastRowLastColumn="0"/>
            <w:tcW w:w="1643" w:type="dxa"/>
          </w:tcPr>
          <w:p w14:paraId="44D13B63" w14:textId="77777777" w:rsidR="00EA608E" w:rsidRPr="00A00EB3" w:rsidRDefault="00EA608E" w:rsidP="000D51A6">
            <w:pPr>
              <w:spacing w:line="480" w:lineRule="auto"/>
              <w:rPr>
                <w:rFonts w:ascii="Times New Roman" w:hAnsi="Times New Roman" w:cs="Times New Roman"/>
              </w:rPr>
            </w:pPr>
            <w:r w:rsidRPr="00A00EB3">
              <w:rPr>
                <w:rFonts w:ascii="Times New Roman" w:hAnsi="Times New Roman" w:cs="Times New Roman"/>
              </w:rPr>
              <w:t>Complimentary mechanism</w:t>
            </w:r>
          </w:p>
        </w:tc>
        <w:tc>
          <w:tcPr>
            <w:tcW w:w="2177" w:type="dxa"/>
          </w:tcPr>
          <w:p w14:paraId="29E03150"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Introduction of supporting policies/regulations</w:t>
            </w:r>
          </w:p>
        </w:tc>
        <w:tc>
          <w:tcPr>
            <w:tcW w:w="2943" w:type="dxa"/>
          </w:tcPr>
          <w:p w14:paraId="18D09691"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00EB3">
              <w:rPr>
                <w:rFonts w:ascii="Times New Roman" w:hAnsi="Times New Roman" w:cs="Times New Roman"/>
              </w:rPr>
              <w:t>N/A</w:t>
            </w:r>
          </w:p>
        </w:tc>
        <w:tc>
          <w:tcPr>
            <w:tcW w:w="550" w:type="dxa"/>
          </w:tcPr>
          <w:p w14:paraId="152CFD9D"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038" w:type="dxa"/>
          </w:tcPr>
          <w:p w14:paraId="7A0A27B4" w14:textId="77777777" w:rsidR="00EA608E" w:rsidRPr="00A00EB3" w:rsidRDefault="00EA608E" w:rsidP="000D51A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51264FC1" w14:textId="77777777" w:rsidR="00EA608E" w:rsidRPr="00831516" w:rsidRDefault="00EA608E" w:rsidP="00EA608E">
      <w:pPr>
        <w:tabs>
          <w:tab w:val="left" w:pos="1305"/>
        </w:tabs>
        <w:spacing w:line="480" w:lineRule="auto"/>
        <w:rPr>
          <w:rFonts w:ascii="Times New Roman" w:hAnsi="Times New Roman" w:cs="Times New Roman"/>
          <w:b/>
          <w:sz w:val="24"/>
          <w:szCs w:val="24"/>
        </w:rPr>
      </w:pPr>
    </w:p>
    <w:p w14:paraId="45CE9054" w14:textId="77777777" w:rsidR="00EA608E" w:rsidRDefault="00EA608E" w:rsidP="00EA608E">
      <w:pPr>
        <w:tabs>
          <w:tab w:val="left" w:pos="1305"/>
        </w:tabs>
        <w:spacing w:line="480" w:lineRule="auto"/>
        <w:rPr>
          <w:rFonts w:ascii="Times New Roman" w:hAnsi="Times New Roman" w:cs="Times New Roman"/>
          <w:b/>
          <w:sz w:val="24"/>
          <w:szCs w:val="24"/>
        </w:rPr>
        <w:sectPr w:rsidR="00EA608E" w:rsidSect="00EA608E">
          <w:footerReference w:type="default" r:id="rId4"/>
          <w:pgSz w:w="12240" w:h="15840"/>
          <w:pgMar w:top="1440" w:right="1440" w:bottom="1440" w:left="1440" w:header="720" w:footer="720" w:gutter="0"/>
          <w:lnNumType w:countBy="1" w:restart="continuous"/>
          <w:cols w:space="720"/>
          <w:docGrid w:linePitch="360"/>
        </w:sectPr>
      </w:pPr>
      <w:r>
        <w:rPr>
          <w:rFonts w:ascii="Times New Roman" w:hAnsi="Times New Roman" w:cs="Times New Roman"/>
          <w:b/>
          <w:sz w:val="24"/>
          <w:szCs w:val="24"/>
        </w:rPr>
        <w:br/>
      </w:r>
    </w:p>
    <w:p w14:paraId="2083D1F7" w14:textId="77777777" w:rsidR="00EA608E" w:rsidRPr="00A00EB3" w:rsidRDefault="00EA608E" w:rsidP="00EA608E">
      <w:pPr>
        <w:tabs>
          <w:tab w:val="left" w:pos="1305"/>
        </w:tabs>
        <w:spacing w:line="480" w:lineRule="auto"/>
        <w:rPr>
          <w:rFonts w:ascii="Times New Roman" w:hAnsi="Times New Roman" w:cs="Times New Roman"/>
          <w:b/>
          <w:i/>
        </w:rPr>
      </w:pPr>
      <w:r w:rsidRPr="00A00EB3">
        <w:rPr>
          <w:rFonts w:ascii="Times New Roman" w:hAnsi="Times New Roman" w:cs="Times New Roman"/>
          <w:b/>
        </w:rPr>
        <w:lastRenderedPageBreak/>
        <w:t xml:space="preserve">Appendix 2: </w:t>
      </w:r>
      <w:r w:rsidRPr="00A00EB3">
        <w:rPr>
          <w:rFonts w:ascii="Times New Roman" w:hAnsi="Times New Roman" w:cs="Times New Roman"/>
          <w:b/>
          <w:i/>
        </w:rPr>
        <w:t>Adopted Varvasovsky &amp; Brugha (2000) stakeholder analysis table with adjustments highlighted.</w:t>
      </w:r>
    </w:p>
    <w:tbl>
      <w:tblPr>
        <w:tblW w:w="139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215"/>
        <w:gridCol w:w="2096"/>
        <w:gridCol w:w="1451"/>
        <w:gridCol w:w="1061"/>
        <w:gridCol w:w="1109"/>
        <w:gridCol w:w="1475"/>
        <w:gridCol w:w="1120"/>
        <w:gridCol w:w="1106"/>
        <w:gridCol w:w="3309"/>
      </w:tblGrid>
      <w:tr w:rsidR="00EA608E" w:rsidRPr="00A00EB3" w14:paraId="1EBC0DCE" w14:textId="77777777" w:rsidTr="000D51A6">
        <w:trPr>
          <w:trHeight w:val="1560"/>
        </w:trPr>
        <w:tc>
          <w:tcPr>
            <w:tcW w:w="1215" w:type="dxa"/>
            <w:tcBorders>
              <w:top w:val="single" w:sz="6" w:space="0" w:color="000000"/>
              <w:left w:val="single" w:sz="6" w:space="0" w:color="000000"/>
              <w:bottom w:val="single" w:sz="18" w:space="0" w:color="000000"/>
              <w:right w:val="single" w:sz="12" w:space="0" w:color="000000"/>
            </w:tcBorders>
            <w:shd w:val="clear" w:color="auto" w:fill="auto"/>
            <w:hideMark/>
          </w:tcPr>
          <w:p w14:paraId="7C1AB656"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Stakeholder</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18" w:space="0" w:color="000000"/>
              <w:right w:val="single" w:sz="6" w:space="0" w:color="000000"/>
            </w:tcBorders>
            <w:shd w:val="clear" w:color="auto" w:fill="auto"/>
            <w:hideMark/>
          </w:tcPr>
          <w:p w14:paraId="27D1F7A1"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Characteristics/ involvement in the issue</w:t>
            </w:r>
            <w:r w:rsidRPr="00A00EB3">
              <w:rPr>
                <w:rFonts w:ascii="Times New Roman" w:eastAsia="Times New Roman" w:hAnsi="Times New Roman" w:cs="Times New Roman"/>
                <w:color w:val="000000"/>
                <w:lang w:val="en-GB" w:eastAsia="en-GB"/>
              </w:rPr>
              <w:t> </w:t>
            </w:r>
          </w:p>
        </w:tc>
        <w:tc>
          <w:tcPr>
            <w:tcW w:w="1451" w:type="dxa"/>
            <w:tcBorders>
              <w:top w:val="single" w:sz="6" w:space="0" w:color="000000"/>
              <w:left w:val="single" w:sz="6" w:space="0" w:color="000000"/>
              <w:bottom w:val="single" w:sz="18" w:space="0" w:color="000000"/>
              <w:right w:val="single" w:sz="6" w:space="0" w:color="000000"/>
            </w:tcBorders>
            <w:shd w:val="clear" w:color="auto" w:fill="auto"/>
            <w:hideMark/>
          </w:tcPr>
          <w:p w14:paraId="3D15B507"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Interest in issue (low – high)</w:t>
            </w:r>
            <w:r w:rsidRPr="00A00EB3">
              <w:rPr>
                <w:rFonts w:ascii="Times New Roman" w:eastAsia="Times New Roman" w:hAnsi="Times New Roman" w:cs="Times New Roman"/>
                <w:color w:val="000000"/>
                <w:lang w:val="en-GB" w:eastAsia="en-GB"/>
              </w:rPr>
              <w:t> </w:t>
            </w:r>
          </w:p>
        </w:tc>
        <w:tc>
          <w:tcPr>
            <w:tcW w:w="1061" w:type="dxa"/>
            <w:tcBorders>
              <w:top w:val="single" w:sz="6" w:space="0" w:color="000000"/>
              <w:left w:val="single" w:sz="6" w:space="0" w:color="000000"/>
              <w:bottom w:val="single" w:sz="18" w:space="0" w:color="000000"/>
              <w:right w:val="single" w:sz="6" w:space="0" w:color="000000"/>
            </w:tcBorders>
            <w:shd w:val="clear" w:color="auto" w:fill="auto"/>
            <w:hideMark/>
          </w:tcPr>
          <w:p w14:paraId="04CEA9B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Influencer/power</w:t>
            </w:r>
            <w:r w:rsidRPr="00A00EB3">
              <w:rPr>
                <w:rFonts w:ascii="Times New Roman" w:eastAsia="Times New Roman" w:hAnsi="Times New Roman" w:cs="Times New Roman"/>
                <w:color w:val="000000"/>
                <w:lang w:val="en-GB" w:eastAsia="en-GB"/>
              </w:rPr>
              <w:t> </w:t>
            </w:r>
          </w:p>
        </w:tc>
        <w:tc>
          <w:tcPr>
            <w:tcW w:w="1109" w:type="dxa"/>
            <w:tcBorders>
              <w:top w:val="single" w:sz="6" w:space="0" w:color="000000"/>
              <w:left w:val="single" w:sz="6" w:space="0" w:color="000000"/>
              <w:bottom w:val="single" w:sz="18" w:space="0" w:color="000000"/>
              <w:right w:val="single" w:sz="6" w:space="0" w:color="000000"/>
            </w:tcBorders>
            <w:shd w:val="clear" w:color="auto" w:fill="auto"/>
            <w:hideMark/>
          </w:tcPr>
          <w:p w14:paraId="07514845" w14:textId="77777777" w:rsidR="00EA608E" w:rsidRDefault="00EA608E" w:rsidP="000D51A6">
            <w:pPr>
              <w:spacing w:after="0" w:line="480" w:lineRule="auto"/>
              <w:textAlignment w:val="baseline"/>
              <w:rPr>
                <w:rFonts w:ascii="Times New Roman" w:eastAsia="Times New Roman" w:hAnsi="Times New Roman" w:cs="Times New Roman"/>
                <w:b/>
                <w:bCs/>
                <w:color w:val="000000"/>
                <w:lang w:val="en-GB" w:eastAsia="en-GB"/>
              </w:rPr>
            </w:pPr>
            <w:r w:rsidRPr="00A00EB3">
              <w:rPr>
                <w:rFonts w:ascii="Times New Roman" w:eastAsia="Times New Roman" w:hAnsi="Times New Roman" w:cs="Times New Roman"/>
                <w:b/>
                <w:bCs/>
                <w:color w:val="000000"/>
                <w:lang w:val="en-GB" w:eastAsia="en-GB"/>
              </w:rPr>
              <w:t>Position</w:t>
            </w:r>
            <w:r w:rsidRPr="00A00EB3">
              <w:rPr>
                <w:rFonts w:ascii="Times New Roman" w:eastAsia="Times New Roman" w:hAnsi="Times New Roman" w:cs="Times New Roman"/>
                <w:color w:val="000000"/>
                <w:lang w:val="en-GB" w:eastAsia="en-GB"/>
              </w:rPr>
              <w:t> </w:t>
            </w:r>
          </w:p>
          <w:p w14:paraId="544E256E" w14:textId="77777777" w:rsidR="00EA608E" w:rsidRDefault="00EA608E" w:rsidP="000D51A6">
            <w:pPr>
              <w:spacing w:line="480" w:lineRule="auto"/>
              <w:rPr>
                <w:rFonts w:ascii="Times New Roman" w:eastAsia="Times New Roman" w:hAnsi="Times New Roman" w:cs="Times New Roman"/>
                <w:b/>
                <w:bCs/>
                <w:color w:val="000000"/>
                <w:lang w:val="en-GB" w:eastAsia="en-GB"/>
              </w:rPr>
            </w:pPr>
          </w:p>
          <w:p w14:paraId="54FEC6CD" w14:textId="77777777" w:rsidR="00EA608E" w:rsidRDefault="00EA608E" w:rsidP="000D51A6">
            <w:pPr>
              <w:spacing w:line="480" w:lineRule="auto"/>
              <w:rPr>
                <w:rFonts w:ascii="Times New Roman" w:eastAsia="Times New Roman" w:hAnsi="Times New Roman" w:cs="Times New Roman"/>
                <w:b/>
                <w:bCs/>
                <w:color w:val="000000"/>
                <w:lang w:val="en-GB" w:eastAsia="en-GB"/>
              </w:rPr>
            </w:pPr>
          </w:p>
          <w:p w14:paraId="4D1D7825" w14:textId="77777777" w:rsidR="00EA608E" w:rsidRPr="001A57F8" w:rsidRDefault="00EA608E" w:rsidP="000D51A6">
            <w:pPr>
              <w:spacing w:line="480" w:lineRule="auto"/>
              <w:rPr>
                <w:rFonts w:ascii="Times New Roman" w:eastAsia="Times New Roman" w:hAnsi="Times New Roman" w:cs="Times New Roman"/>
                <w:lang w:val="en-GB" w:eastAsia="en-GB"/>
              </w:rPr>
            </w:pPr>
          </w:p>
        </w:tc>
        <w:tc>
          <w:tcPr>
            <w:tcW w:w="1475" w:type="dxa"/>
            <w:tcBorders>
              <w:top w:val="single" w:sz="6" w:space="0" w:color="000000"/>
              <w:left w:val="single" w:sz="6" w:space="0" w:color="000000"/>
              <w:bottom w:val="single" w:sz="18" w:space="0" w:color="000000"/>
              <w:right w:val="single" w:sz="6" w:space="0" w:color="000000"/>
            </w:tcBorders>
            <w:shd w:val="clear" w:color="auto" w:fill="D9D9D9"/>
            <w:hideMark/>
          </w:tcPr>
          <w:p w14:paraId="7E96FCD4"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Arguments for position</w:t>
            </w:r>
            <w:r w:rsidRPr="00A00EB3">
              <w:rPr>
                <w:rFonts w:ascii="Times New Roman" w:eastAsia="Times New Roman" w:hAnsi="Times New Roman" w:cs="Times New Roman"/>
                <w:color w:val="000000"/>
                <w:lang w:val="en-GB" w:eastAsia="en-GB"/>
              </w:rPr>
              <w:t> </w:t>
            </w:r>
          </w:p>
        </w:tc>
        <w:tc>
          <w:tcPr>
            <w:tcW w:w="1120" w:type="dxa"/>
            <w:tcBorders>
              <w:top w:val="single" w:sz="6" w:space="0" w:color="000000"/>
              <w:left w:val="single" w:sz="6" w:space="0" w:color="000000"/>
              <w:bottom w:val="single" w:sz="18" w:space="0" w:color="000000"/>
              <w:right w:val="single" w:sz="6" w:space="0" w:color="000000"/>
            </w:tcBorders>
            <w:shd w:val="clear" w:color="auto" w:fill="D9D9D9"/>
            <w:hideMark/>
          </w:tcPr>
          <w:p w14:paraId="016E459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Evidence for position</w:t>
            </w:r>
            <w:r w:rsidRPr="00A00EB3">
              <w:rPr>
                <w:rFonts w:ascii="Times New Roman" w:eastAsia="Times New Roman" w:hAnsi="Times New Roman" w:cs="Times New Roman"/>
                <w:color w:val="000000"/>
                <w:lang w:val="en-GB" w:eastAsia="en-GB"/>
              </w:rPr>
              <w:t> </w:t>
            </w:r>
          </w:p>
        </w:tc>
        <w:tc>
          <w:tcPr>
            <w:tcW w:w="1106" w:type="dxa"/>
            <w:tcBorders>
              <w:top w:val="single" w:sz="6" w:space="0" w:color="000000"/>
              <w:left w:val="single" w:sz="6" w:space="0" w:color="000000"/>
              <w:bottom w:val="single" w:sz="18" w:space="0" w:color="000000"/>
              <w:right w:val="single" w:sz="6" w:space="0" w:color="000000"/>
            </w:tcBorders>
            <w:shd w:val="clear" w:color="auto" w:fill="auto"/>
            <w:hideMark/>
          </w:tcPr>
          <w:p w14:paraId="7E71170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Impact of issue on actor</w:t>
            </w:r>
            <w:r w:rsidRPr="00A00EB3">
              <w:rPr>
                <w:rFonts w:ascii="Times New Roman" w:eastAsia="Times New Roman" w:hAnsi="Times New Roman" w:cs="Times New Roman"/>
                <w:color w:val="000000"/>
                <w:lang w:val="en-GB" w:eastAsia="en-GB"/>
              </w:rPr>
              <w:t> </w:t>
            </w:r>
          </w:p>
        </w:tc>
        <w:tc>
          <w:tcPr>
            <w:tcW w:w="3309" w:type="dxa"/>
            <w:tcBorders>
              <w:top w:val="single" w:sz="6" w:space="0" w:color="000000"/>
              <w:left w:val="single" w:sz="6" w:space="0" w:color="000000"/>
              <w:bottom w:val="single" w:sz="18" w:space="0" w:color="000000"/>
              <w:right w:val="single" w:sz="6" w:space="0" w:color="000000"/>
            </w:tcBorders>
            <w:shd w:val="clear" w:color="auto" w:fill="D9D9D9"/>
            <w:hideMark/>
          </w:tcPr>
          <w:p w14:paraId="538E8CC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Can an adjustment to the policy address arguments?</w:t>
            </w:r>
            <w:r w:rsidRPr="00A00EB3">
              <w:rPr>
                <w:rFonts w:ascii="Times New Roman" w:eastAsia="Times New Roman" w:hAnsi="Times New Roman" w:cs="Times New Roman"/>
                <w:color w:val="000000"/>
                <w:lang w:val="en-GB" w:eastAsia="en-GB"/>
              </w:rPr>
              <w:t> </w:t>
            </w:r>
          </w:p>
        </w:tc>
      </w:tr>
      <w:tr w:rsidR="00EA608E" w:rsidRPr="00A00EB3" w14:paraId="1C05FACF" w14:textId="77777777" w:rsidTr="000D51A6">
        <w:trPr>
          <w:trHeight w:val="300"/>
        </w:trPr>
        <w:tc>
          <w:tcPr>
            <w:tcW w:w="1215" w:type="dxa"/>
            <w:tcBorders>
              <w:top w:val="single" w:sz="18" w:space="0" w:color="000000"/>
              <w:left w:val="single" w:sz="6" w:space="0" w:color="000000"/>
              <w:bottom w:val="single" w:sz="6" w:space="0" w:color="000000"/>
              <w:right w:val="single" w:sz="12" w:space="0" w:color="000000"/>
            </w:tcBorders>
            <w:shd w:val="clear" w:color="auto" w:fill="auto"/>
            <w:hideMark/>
          </w:tcPr>
          <w:p w14:paraId="2F6A6B4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Kenya Medical Association (KMA)</w:t>
            </w:r>
            <w:r w:rsidRPr="00A00EB3">
              <w:rPr>
                <w:rFonts w:ascii="Times New Roman" w:eastAsia="Times New Roman" w:hAnsi="Times New Roman" w:cs="Times New Roman"/>
                <w:color w:val="000000"/>
                <w:lang w:val="en-GB" w:eastAsia="en-GB"/>
              </w:rPr>
              <w:t> </w:t>
            </w:r>
          </w:p>
        </w:tc>
        <w:tc>
          <w:tcPr>
            <w:tcW w:w="2096" w:type="dxa"/>
            <w:tcBorders>
              <w:top w:val="single" w:sz="18" w:space="0" w:color="000000"/>
              <w:left w:val="single" w:sz="12" w:space="0" w:color="000000"/>
              <w:bottom w:val="single" w:sz="6" w:space="0" w:color="000000"/>
              <w:right w:val="single" w:sz="6" w:space="0" w:color="000000"/>
            </w:tcBorders>
            <w:shd w:val="clear" w:color="auto" w:fill="auto"/>
            <w:hideMark/>
          </w:tcPr>
          <w:p w14:paraId="20A37684"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A national association of doctors and dentists mandated to promote the quality practice of medicine in Kenya. Has a strategic position in health sector policy by being in membership of national decision-making boards for the medical practice and </w:t>
            </w:r>
            <w:r w:rsidRPr="00A00EB3">
              <w:rPr>
                <w:rFonts w:ascii="Times New Roman" w:eastAsia="Times New Roman" w:hAnsi="Times New Roman" w:cs="Times New Roman"/>
                <w:color w:val="000000"/>
                <w:lang w:val="en-GB" w:eastAsia="en-GB"/>
              </w:rPr>
              <w:lastRenderedPageBreak/>
              <w:t>protection of patients in Kenya. </w:t>
            </w:r>
          </w:p>
        </w:tc>
        <w:tc>
          <w:tcPr>
            <w:tcW w:w="1451" w:type="dxa"/>
            <w:tcBorders>
              <w:top w:val="single" w:sz="18" w:space="0" w:color="000000"/>
              <w:left w:val="single" w:sz="6" w:space="0" w:color="000000"/>
              <w:bottom w:val="single" w:sz="6" w:space="0" w:color="000000"/>
              <w:right w:val="single" w:sz="6" w:space="0" w:color="000000"/>
            </w:tcBorders>
            <w:shd w:val="clear" w:color="auto" w:fill="auto"/>
            <w:hideMark/>
          </w:tcPr>
          <w:p w14:paraId="3A065E0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High </w:t>
            </w:r>
          </w:p>
        </w:tc>
        <w:tc>
          <w:tcPr>
            <w:tcW w:w="1061" w:type="dxa"/>
            <w:tcBorders>
              <w:top w:val="single" w:sz="18" w:space="0" w:color="000000"/>
              <w:left w:val="single" w:sz="6" w:space="0" w:color="000000"/>
              <w:bottom w:val="single" w:sz="6" w:space="0" w:color="000000"/>
              <w:right w:val="single" w:sz="6" w:space="0" w:color="000000"/>
            </w:tcBorders>
            <w:shd w:val="clear" w:color="auto" w:fill="auto"/>
            <w:hideMark/>
          </w:tcPr>
          <w:p w14:paraId="2150FAB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Medium/ High </w:t>
            </w:r>
          </w:p>
        </w:tc>
        <w:tc>
          <w:tcPr>
            <w:tcW w:w="1109" w:type="dxa"/>
            <w:tcBorders>
              <w:top w:val="single" w:sz="18" w:space="0" w:color="000000"/>
              <w:left w:val="single" w:sz="6" w:space="0" w:color="000000"/>
              <w:bottom w:val="single" w:sz="6" w:space="0" w:color="000000"/>
              <w:right w:val="single" w:sz="6" w:space="0" w:color="000000"/>
            </w:tcBorders>
            <w:shd w:val="clear" w:color="auto" w:fill="auto"/>
            <w:hideMark/>
          </w:tcPr>
          <w:p w14:paraId="3AB03592"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18" w:space="0" w:color="000000"/>
              <w:left w:val="single" w:sz="6" w:space="0" w:color="000000"/>
              <w:bottom w:val="single" w:sz="6" w:space="0" w:color="000000"/>
              <w:right w:val="single" w:sz="6" w:space="0" w:color="000000"/>
            </w:tcBorders>
            <w:shd w:val="clear" w:color="auto" w:fill="D9D9D9"/>
            <w:hideMark/>
          </w:tcPr>
          <w:p w14:paraId="1504071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Important policy area. Public needs to know what they are eating </w:t>
            </w:r>
          </w:p>
        </w:tc>
        <w:tc>
          <w:tcPr>
            <w:tcW w:w="1120" w:type="dxa"/>
            <w:tcBorders>
              <w:top w:val="single" w:sz="18" w:space="0" w:color="000000"/>
              <w:left w:val="single" w:sz="6" w:space="0" w:color="000000"/>
              <w:bottom w:val="single" w:sz="6" w:space="0" w:color="000000"/>
              <w:right w:val="single" w:sz="6" w:space="0" w:color="000000"/>
            </w:tcBorders>
            <w:shd w:val="clear" w:color="auto" w:fill="D9D9D9"/>
            <w:hideMark/>
          </w:tcPr>
          <w:p w14:paraId="5691E50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NA </w:t>
            </w:r>
          </w:p>
        </w:tc>
        <w:tc>
          <w:tcPr>
            <w:tcW w:w="1106" w:type="dxa"/>
            <w:tcBorders>
              <w:top w:val="single" w:sz="18" w:space="0" w:color="000000"/>
              <w:left w:val="single" w:sz="6" w:space="0" w:color="000000"/>
              <w:bottom w:val="single" w:sz="6" w:space="0" w:color="000000"/>
              <w:right w:val="single" w:sz="6" w:space="0" w:color="000000"/>
            </w:tcBorders>
            <w:shd w:val="clear" w:color="auto" w:fill="auto"/>
            <w:hideMark/>
          </w:tcPr>
          <w:p w14:paraId="360B7922" w14:textId="77777777" w:rsidR="00EA608E" w:rsidRPr="00A00EB3" w:rsidRDefault="00EA608E" w:rsidP="000D51A6">
            <w:pPr>
              <w:spacing w:after="0" w:line="480" w:lineRule="auto"/>
              <w:jc w:val="both"/>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w:t>
            </w:r>
          </w:p>
        </w:tc>
        <w:tc>
          <w:tcPr>
            <w:tcW w:w="3309" w:type="dxa"/>
            <w:tcBorders>
              <w:top w:val="single" w:sz="18" w:space="0" w:color="000000"/>
              <w:left w:val="single" w:sz="6" w:space="0" w:color="000000"/>
              <w:bottom w:val="single" w:sz="6" w:space="0" w:color="000000"/>
              <w:right w:val="single" w:sz="6" w:space="0" w:color="000000"/>
            </w:tcBorders>
            <w:shd w:val="clear" w:color="auto" w:fill="D9D9D9"/>
            <w:hideMark/>
          </w:tcPr>
          <w:p w14:paraId="7132ED6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Policies must be followed up with public education. Without advocacy then the FOPL will not have an impact on population dietary choices.  </w:t>
            </w:r>
          </w:p>
          <w:p w14:paraId="49CAA9BD"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w:t>
            </w:r>
          </w:p>
          <w:p w14:paraId="7EDE945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Labels should be easy to understand for the public. </w:t>
            </w:r>
          </w:p>
          <w:p w14:paraId="3BEDE842"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w:t>
            </w:r>
          </w:p>
          <w:p w14:paraId="30F4023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Sensitivity to cultural/ traditional nutritional practices should be applied  </w:t>
            </w:r>
          </w:p>
        </w:tc>
      </w:tr>
      <w:tr w:rsidR="00EA608E" w:rsidRPr="00A00EB3" w14:paraId="53445656"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2C739039"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UNICEF</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687096F2"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 work on maternal, infant and young child nutrition in Kenya. Capacity building of caregivers, health personnel, industry and key decision makers.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425BC39D"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556C47F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3612623E"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7A4FBA3D"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Important that people know the content of the products they are buying and their contribution to the recommended dietary requirements as markets globalise and products with high salt content </w:t>
            </w:r>
            <w:r w:rsidRPr="00A00EB3">
              <w:rPr>
                <w:rFonts w:ascii="Times New Roman" w:eastAsia="Times New Roman" w:hAnsi="Times New Roman" w:cs="Times New Roman"/>
                <w:color w:val="000000"/>
                <w:lang w:val="en-GB" w:eastAsia="en-GB"/>
              </w:rPr>
              <w:lastRenderedPageBreak/>
              <w:t>are introduced for example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5FA8AE91"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NA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653DECFB"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13B9402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Labelling should be considerate of the varying literacy levels in the country. </w:t>
            </w:r>
          </w:p>
          <w:p w14:paraId="44DE483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w:t>
            </w:r>
          </w:p>
          <w:p w14:paraId="1E856D74"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KEBs (regulatory body) should be on board to support policy implementation </w:t>
            </w:r>
          </w:p>
          <w:p w14:paraId="7FC4BE3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w:t>
            </w:r>
          </w:p>
          <w:p w14:paraId="39C19A2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w:t>
            </w:r>
          </w:p>
        </w:tc>
      </w:tr>
      <w:tr w:rsidR="00EA608E" w:rsidRPr="00A00EB3" w14:paraId="3BF33E13"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7FB0FE99"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 xml:space="preserve">NCD Alliance Kenya (NCDAK) </w:t>
            </w:r>
            <w:r w:rsidRPr="00A00EB3">
              <w:rPr>
                <w:rFonts w:ascii="Times New Roman" w:eastAsia="Times New Roman" w:hAnsi="Times New Roman" w:cs="Times New Roman"/>
                <w:b/>
                <w:bCs/>
                <w:i/>
                <w:iCs/>
                <w:color w:val="000000"/>
                <w:lang w:val="en-GB" w:eastAsia="en-GB"/>
              </w:rPr>
              <w:t>*2</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44244039"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CSO coordinating multi stakeholder activities around policy facilitation and advocacy to progress the realization of NCD targets in partnership with national and county level government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3DC0A24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221F246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1FC4B214"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Ambivalent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57F06C4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FOPL- has been an ongoing discussion (there is some interest). There are some businesses that already include FOPL but these are small, able to institute change rapidly and were part of earlier discussions with KEBS in 2018. </w:t>
            </w:r>
            <w:r w:rsidRPr="00A00EB3">
              <w:rPr>
                <w:rFonts w:ascii="Times New Roman" w:eastAsia="Times New Roman" w:hAnsi="Times New Roman" w:cs="Times New Roman"/>
                <w:color w:val="000000"/>
                <w:lang w:val="en-GB" w:eastAsia="en-GB"/>
              </w:rPr>
              <w:lastRenderedPageBreak/>
              <w:t>The challenge is in the cost to industry and the threat of economic troubles.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3D75BBED"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NA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68B7436B"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59A2554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Clear guidelines on standards. </w:t>
            </w:r>
          </w:p>
          <w:p w14:paraId="43AE9D32"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Regulatory bodies to verify claims. </w:t>
            </w:r>
          </w:p>
          <w:p w14:paraId="1CD1728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Public education campaigns. </w:t>
            </w:r>
          </w:p>
          <w:p w14:paraId="2A23D6C6"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t> </w:t>
            </w:r>
          </w:p>
        </w:tc>
      </w:tr>
      <w:tr w:rsidR="00EA608E" w:rsidRPr="00A00EB3" w14:paraId="14875619"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7DA1381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Ministry of Health (MoH) - Food Safety Unity</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2CF0C3D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Develop and review regulations/ guidelines within the food safety space for both public health officers and industry. Sensitization of the media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2B96A71D"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4D95D55B"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0826EB6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5820FAF2"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This is the most challenging policy to enforce as there has been a lot of resistance despite continued conversations. Often SMEs do not package or label their </w:t>
            </w:r>
            <w:r w:rsidRPr="00A00EB3">
              <w:rPr>
                <w:rFonts w:ascii="Times New Roman" w:eastAsia="Times New Roman" w:hAnsi="Times New Roman" w:cs="Times New Roman"/>
                <w:color w:val="000000"/>
                <w:lang w:val="en-GB" w:eastAsia="en-GB"/>
              </w:rPr>
              <w:lastRenderedPageBreak/>
              <w:t>products so their regulation will be difficult.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044808C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NA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5A85A597"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542E6FE4"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w:t>
            </w:r>
          </w:p>
        </w:tc>
      </w:tr>
      <w:tr w:rsidR="00EA608E" w:rsidRPr="00A00EB3" w14:paraId="2D31A6E2"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26FEAF8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Ministry of Health (MoH); Dvsn of Nutrition</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139FF16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Advise government on policies for the development of food friendly environments e.g National Food Security Food Policy, capacity building of healthcare workers, dissemination of policy documents </w:t>
            </w:r>
          </w:p>
          <w:p w14:paraId="79FDF5AE"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r>
            <w:r w:rsidRPr="00A00EB3">
              <w:rPr>
                <w:rFonts w:ascii="Times New Roman" w:eastAsia="Times New Roman" w:hAnsi="Times New Roman" w:cs="Times New Roman"/>
                <w:color w:val="000000"/>
                <w:lang w:val="en-GB" w:eastAsia="en-GB"/>
              </w:rPr>
              <w:t xml:space="preserve">Created a Nutrition strategic plan (2018-2022) and conducted </w:t>
            </w:r>
            <w:r w:rsidRPr="00A00EB3">
              <w:rPr>
                <w:rFonts w:ascii="Times New Roman" w:eastAsia="Times New Roman" w:hAnsi="Times New Roman" w:cs="Times New Roman"/>
                <w:color w:val="000000"/>
                <w:lang w:val="en-GB" w:eastAsia="en-GB"/>
              </w:rPr>
              <w:lastRenderedPageBreak/>
              <w:t>an economic impact of malnutrition assessment called Cost of Hunger of Africa in Kenya (Nutritionists and Dieticians Act 2007 (Cap 253b))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1EC7038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53E0356D"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5B6E8471"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39DBC7D4"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Another priority area in the Dvsn of Nutrition so that consumers identify the nutrition aspect of products (is it healthy?). Food initiative to ensure Kenyans are informed but uncertain about whether </w:t>
            </w:r>
            <w:r w:rsidRPr="00A00EB3">
              <w:rPr>
                <w:rFonts w:ascii="Times New Roman" w:eastAsia="Times New Roman" w:hAnsi="Times New Roman" w:cs="Times New Roman"/>
                <w:color w:val="000000"/>
                <w:lang w:val="en-GB" w:eastAsia="en-GB"/>
              </w:rPr>
              <w:lastRenderedPageBreak/>
              <w:t>Kenyans read labels  </w:t>
            </w:r>
          </w:p>
          <w:p w14:paraId="3F8DF59E"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***will result in increased costs for industry players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441493ED"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NA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647BC9A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7BF414B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Multi-stakeholder involvement. Public education on reading labels. </w:t>
            </w:r>
          </w:p>
          <w:p w14:paraId="5DCB6C6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Credible evidence on the cost (micro and macro level) of disease to the economy to be able to justify policy actions to industry. Perform a cost-benefit analysis of the proposed measures and the impacts on the environment, social development and business to present to the national assembly to consider </w:t>
            </w:r>
          </w:p>
          <w:p w14:paraId="600B510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t> </w:t>
            </w:r>
          </w:p>
        </w:tc>
      </w:tr>
      <w:tr w:rsidR="00EA608E" w:rsidRPr="00A00EB3" w14:paraId="2407DA23"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64DBFE4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Kenya Revenue Authority (KRA)</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66B78D69"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Monitors the production and importation of exercisable goods including tobacco and alcoholic products, sodas and other non-alcoholic beverages and juices. Ensure there is no illicit trade of these products. </w:t>
            </w:r>
            <w:r w:rsidRPr="00A00EB3">
              <w:rPr>
                <w:rFonts w:ascii="Times New Roman" w:eastAsia="Times New Roman" w:hAnsi="Times New Roman" w:cs="Times New Roman"/>
                <w:color w:val="000000"/>
                <w:lang w:val="en-GB" w:eastAsia="en-GB"/>
              </w:rPr>
              <w:lastRenderedPageBreak/>
              <w:t>Monitor production and delivery of these products and ensure they pay taxes.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2AB8F34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Medium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1458ACA1"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Medium-High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28E34FD1"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3379C8A9"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supportive of controlled packing declaration. will be helpful to curb misinformation on foods falsely advertised. Policy would receive political </w:t>
            </w:r>
            <w:r w:rsidRPr="00A00EB3">
              <w:rPr>
                <w:rFonts w:ascii="Times New Roman" w:eastAsia="Times New Roman" w:hAnsi="Times New Roman" w:cs="Times New Roman"/>
                <w:color w:val="000000"/>
                <w:lang w:val="en-GB" w:eastAsia="en-GB"/>
              </w:rPr>
              <w:lastRenderedPageBreak/>
              <w:t>support if policy makers knew these policies are in the best interest of public health.  </w:t>
            </w:r>
          </w:p>
          <w:p w14:paraId="6213DD06"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***Those giving misleading information to the public need to be held accountable for it and their billboards and misleading information taken down. </w:t>
            </w:r>
            <w:r w:rsidRPr="00A00EB3">
              <w:rPr>
                <w:rFonts w:ascii="Times New Roman" w:eastAsia="Times New Roman" w:hAnsi="Times New Roman" w:cs="Times New Roman"/>
                <w:color w:val="000000"/>
                <w:lang w:val="en-GB" w:eastAsia="en-GB"/>
              </w:rPr>
              <w:lastRenderedPageBreak/>
              <w:t xml:space="preserve">There should be tests on samples to ensure there are no contradictions and if there are, products should be permanently withdrawn from the market. Challenges include industry and culture of consumption of fast food. Companies should not be allowed to </w:t>
            </w:r>
            <w:r w:rsidRPr="00A00EB3">
              <w:rPr>
                <w:rFonts w:ascii="Times New Roman" w:eastAsia="Times New Roman" w:hAnsi="Times New Roman" w:cs="Times New Roman"/>
                <w:color w:val="000000"/>
                <w:lang w:val="en-GB" w:eastAsia="en-GB"/>
              </w:rPr>
              <w:lastRenderedPageBreak/>
              <w:t>sponsor sports and other public  events or give talks in schools. Regular surveillance </w:t>
            </w:r>
          </w:p>
          <w:p w14:paraId="2F13230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Civil society would be useful in advocating for policies at parliament and within the ministries. </w:t>
            </w:r>
          </w:p>
          <w:p w14:paraId="0C33499E"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Use of skilled people to advocate.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269BDADD"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NA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4428070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4EA39BD2"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Collaboration between the MoH and MoE would reinforce implementation of these policies. </w:t>
            </w:r>
          </w:p>
          <w:p w14:paraId="759DAB2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Evidence on increased health issues among children. </w:t>
            </w:r>
          </w:p>
          <w:p w14:paraId="3CBC6F5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t> </w:t>
            </w:r>
          </w:p>
        </w:tc>
      </w:tr>
      <w:tr w:rsidR="00EA608E" w:rsidRPr="00A00EB3" w14:paraId="07DAF05F"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5C48246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lastRenderedPageBreak/>
              <w:t xml:space="preserve">County Government </w:t>
            </w:r>
            <w:r w:rsidRPr="00A00EB3">
              <w:rPr>
                <w:rFonts w:ascii="Times New Roman" w:eastAsia="Times New Roman" w:hAnsi="Times New Roman" w:cs="Times New Roman"/>
                <w:b/>
                <w:bCs/>
                <w:i/>
                <w:iCs/>
                <w:color w:val="000000"/>
                <w:lang w:val="en-GB" w:eastAsia="en-GB"/>
              </w:rPr>
              <w:t>*2</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56A9DD1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Implementation of the Country Nutrition Action Plan, ensure that nutritional services are functioning in health facilities and implement programs to prevent and manage malnutrition and NCDs. </w:t>
            </w:r>
          </w:p>
          <w:p w14:paraId="4D93620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w:t>
            </w:r>
          </w:p>
          <w:p w14:paraId="2A24292B"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Plan, implement, supervise, control and monitor national regulations and delivery of health services at county level.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484C17C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2A3A3B17"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16F9A17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01B54B3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Good step. Current labels are not easily legible and understood by consumers </w:t>
            </w:r>
          </w:p>
          <w:p w14:paraId="231290A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r>
            <w:r w:rsidRPr="00A00EB3">
              <w:rPr>
                <w:rFonts w:ascii="Times New Roman" w:eastAsia="Times New Roman" w:hAnsi="Times New Roman" w:cs="Times New Roman"/>
                <w:color w:val="000000"/>
                <w:lang w:val="en-GB" w:eastAsia="en-GB"/>
              </w:rPr>
              <w:t>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1A437E0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NA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2A46C7F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7871CDAE"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Labels should concentrate on macronutrient composition. </w:t>
            </w:r>
          </w:p>
          <w:p w14:paraId="40EC779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Supermarket shelves should also be labelled  </w:t>
            </w:r>
          </w:p>
          <w:p w14:paraId="4AB4743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r>
            <w:r w:rsidRPr="00A00EB3">
              <w:rPr>
                <w:rFonts w:ascii="Times New Roman" w:eastAsia="Times New Roman" w:hAnsi="Times New Roman" w:cs="Times New Roman"/>
                <w:color w:val="000000"/>
                <w:lang w:val="en-GB" w:eastAsia="en-GB"/>
              </w:rPr>
              <w:t> </w:t>
            </w:r>
          </w:p>
        </w:tc>
      </w:tr>
      <w:tr w:rsidR="00EA608E" w:rsidRPr="00A00EB3" w14:paraId="74963518"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75441B3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lastRenderedPageBreak/>
              <w:t>Kenyatta National Hospital (diet advisory clinic)</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50D406D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Nutrition counselling for patients. </w:t>
            </w:r>
          </w:p>
          <w:p w14:paraId="7117FAA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Advise government on policies leading to the development of friendly food environments in Kenya. </w:t>
            </w:r>
          </w:p>
          <w:p w14:paraId="3FF8364E"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i/>
                <w:iCs/>
                <w:color w:val="000000"/>
                <w:lang w:val="en-GB" w:eastAsia="en-GB"/>
              </w:rPr>
              <w:t xml:space="preserve">Design and implement programmes &amp; methods for sensitization on suitable dietary and nutrition habits through competency-oriented trainings and specialization in </w:t>
            </w:r>
            <w:r w:rsidRPr="00A00EB3">
              <w:rPr>
                <w:rFonts w:ascii="Times New Roman" w:eastAsia="Times New Roman" w:hAnsi="Times New Roman" w:cs="Times New Roman"/>
                <w:i/>
                <w:iCs/>
                <w:color w:val="000000"/>
                <w:lang w:val="en-GB" w:eastAsia="en-GB"/>
              </w:rPr>
              <w:lastRenderedPageBreak/>
              <w:t>nutrition service delivery (KNAP)</w:t>
            </w:r>
            <w:r w:rsidRPr="00A00EB3">
              <w:rPr>
                <w:rFonts w:ascii="Times New Roman" w:eastAsia="Times New Roman" w:hAnsi="Times New Roman" w:cs="Times New Roman"/>
                <w:color w:val="000000"/>
                <w:lang w:val="en-GB" w:eastAsia="en-GB"/>
              </w:rPr>
              <w:t>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30483391"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5CEF045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Medium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58873096"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555FCB4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Great tool for consumer information but government consideration for cost of production is key in addition to consumer literacy. </w:t>
            </w:r>
          </w:p>
          <w:p w14:paraId="57071686"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r>
            <w:r w:rsidRPr="00A00EB3">
              <w:rPr>
                <w:rFonts w:ascii="Times New Roman" w:eastAsia="Times New Roman" w:hAnsi="Times New Roman" w:cs="Times New Roman"/>
                <w:b/>
                <w:bCs/>
                <w:color w:val="000000"/>
                <w:lang w:val="en-GB" w:eastAsia="en-GB"/>
              </w:rPr>
              <w:t>S</w:t>
            </w:r>
            <w:r w:rsidRPr="00A00EB3">
              <w:rPr>
                <w:rFonts w:ascii="Times New Roman" w:eastAsia="Times New Roman" w:hAnsi="Times New Roman" w:cs="Times New Roman"/>
                <w:color w:val="000000"/>
                <w:lang w:val="en-GB" w:eastAsia="en-GB"/>
              </w:rPr>
              <w:t>upportive but unsure about the country’s readiness to pay attention to labelling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45F7EC72"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NA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53369C1E"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7110086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Government consideration/ help to ensure companies’ profit margins. Consumer education </w:t>
            </w:r>
          </w:p>
          <w:p w14:paraId="0F1F720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r>
            <w:r w:rsidRPr="00A00EB3">
              <w:rPr>
                <w:rFonts w:ascii="Times New Roman" w:eastAsia="Times New Roman" w:hAnsi="Times New Roman" w:cs="Times New Roman"/>
                <w:color w:val="000000"/>
                <w:lang w:val="en-GB" w:eastAsia="en-GB"/>
              </w:rPr>
              <w:t>Systems should be in place to verify nutrition claims </w:t>
            </w:r>
          </w:p>
          <w:p w14:paraId="446512F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t> </w:t>
            </w:r>
          </w:p>
        </w:tc>
      </w:tr>
      <w:tr w:rsidR="00EA608E" w:rsidRPr="00A00EB3" w14:paraId="76B95B44"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417FDAF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Global Alliance for Improved Nutrition (GAIN)/ Scaling Up of Nutrition (SUN)</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610042AB"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Supporting advocacy and policy pieces as they relate to the triple burden of malnutrition and food security issues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620A8D82"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49E3A9F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Medium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3DFB43BD"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6B62848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Packaging is expensive generally in Kenya. A lot of the foods we consume in Kenya are not packaged.  Need to be easily understood; we need standard and simple ways of labelling (traffic light system)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3D83D55D"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NA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059D16D9"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Medium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76822FF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Align policy recommendations with international standards so our products are not limited to the Kenyan market </w:t>
            </w:r>
          </w:p>
          <w:p w14:paraId="7B75F15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r>
            <w:r w:rsidRPr="00A00EB3">
              <w:rPr>
                <w:rFonts w:ascii="Times New Roman" w:eastAsia="Times New Roman" w:hAnsi="Times New Roman" w:cs="Times New Roman"/>
                <w:color w:val="000000"/>
                <w:lang w:val="en-GB" w:eastAsia="en-GB"/>
              </w:rPr>
              <w:t> </w:t>
            </w:r>
          </w:p>
        </w:tc>
      </w:tr>
      <w:tr w:rsidR="00EA608E" w:rsidRPr="00A00EB3" w14:paraId="1BE15595"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3FEF41DB"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lastRenderedPageBreak/>
              <w:t>Ministry of Health (MoH); Dvsn Health Promotion</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58BE35A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Carry out advocacy and awareness creation on the food environment and NCD.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141DA31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50054A4B"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760002E6"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797C21B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Labelling is already being practiced in Kenya but we really must understand whether people use that information or create an awareness plan. If not, the policy won’t be taken up by people. The issue of NCDs requires a lot of education </w:t>
            </w:r>
            <w:r w:rsidRPr="00A00EB3">
              <w:rPr>
                <w:rFonts w:ascii="Times New Roman" w:eastAsia="Times New Roman" w:hAnsi="Times New Roman" w:cs="Times New Roman"/>
                <w:color w:val="000000"/>
                <w:lang w:val="en-GB" w:eastAsia="en-GB"/>
              </w:rPr>
              <w:lastRenderedPageBreak/>
              <w:t>before we can think about labelling.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2A268CE7"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NA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23F8338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03DE02C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Gov’t consolidates funds for nutrition, NCDs and education (MoE) for child education through syllabi. </w:t>
            </w:r>
          </w:p>
          <w:p w14:paraId="771CAD3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Ensure the availability of incentives and technical support to industry to better implement these changes. </w:t>
            </w:r>
          </w:p>
          <w:p w14:paraId="222DB734"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There is a need for awareness creation projects to support this policy for it to be taken up. </w:t>
            </w:r>
          </w:p>
          <w:p w14:paraId="4ED9FD9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r>
            <w:r w:rsidRPr="00A00EB3">
              <w:rPr>
                <w:rFonts w:ascii="Times New Roman" w:eastAsia="Times New Roman" w:hAnsi="Times New Roman" w:cs="Times New Roman"/>
                <w:color w:val="000000"/>
                <w:lang w:val="en-GB" w:eastAsia="en-GB"/>
              </w:rPr>
              <w:t> </w:t>
            </w:r>
          </w:p>
        </w:tc>
      </w:tr>
      <w:tr w:rsidR="00EA608E" w:rsidRPr="00A00EB3" w14:paraId="3002F553"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2E9CE78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Kenya Defeat Diabetes Association (KDDA)</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546C15C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Deliver peer education on diabetes focusing on diabetes prevention and management through nutrition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518CD31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228B7BC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5C18CB1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3E3377D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It is challenging as very few people read the current labels and very few verification mechanisms are in place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57882D3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NA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1E3BA23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70CA44B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Labels need to be more legible and verification measures need to be in place for claims  </w:t>
            </w:r>
          </w:p>
          <w:p w14:paraId="1ABBC1B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lang w:val="en-GB" w:eastAsia="en-GB"/>
              </w:rPr>
              <w:t> </w:t>
            </w:r>
            <w:r w:rsidRPr="00A00EB3">
              <w:rPr>
                <w:rFonts w:ascii="Times New Roman" w:eastAsia="Times New Roman" w:hAnsi="Times New Roman" w:cs="Times New Roman"/>
                <w:lang w:val="en-GB" w:eastAsia="en-GB"/>
              </w:rPr>
              <w:br/>
            </w:r>
            <w:r w:rsidRPr="00A00EB3">
              <w:rPr>
                <w:rFonts w:ascii="Times New Roman" w:eastAsia="Times New Roman" w:hAnsi="Times New Roman" w:cs="Times New Roman"/>
                <w:color w:val="000000"/>
                <w:lang w:val="en-GB" w:eastAsia="en-GB"/>
              </w:rPr>
              <w:t> </w:t>
            </w:r>
          </w:p>
        </w:tc>
      </w:tr>
      <w:tr w:rsidR="00EA608E" w:rsidRPr="00A00EB3" w14:paraId="633BFCBE"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7C8A504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The Cancer Council/ MAKEL</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6137DAC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Offers training and technical support to government lawyers in the translation of international policy in the areas of tobacco and  control, diet and </w:t>
            </w:r>
            <w:r w:rsidRPr="00A00EB3">
              <w:rPr>
                <w:rFonts w:ascii="Times New Roman" w:eastAsia="Times New Roman" w:hAnsi="Times New Roman" w:cs="Times New Roman"/>
                <w:color w:val="000000"/>
                <w:lang w:val="en-GB" w:eastAsia="en-GB"/>
              </w:rPr>
              <w:lastRenderedPageBreak/>
              <w:t>nutrition and their relation to sustainable development, international trade and investment, and human rights.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36D0529E"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70FE40D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6509DF27"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46C2C8C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Labelling systems are written with chemists in mind and do not make sense to </w:t>
            </w:r>
            <w:r w:rsidRPr="00A00EB3">
              <w:rPr>
                <w:rFonts w:ascii="Times New Roman" w:eastAsia="Times New Roman" w:hAnsi="Times New Roman" w:cs="Times New Roman"/>
                <w:color w:val="000000"/>
                <w:lang w:val="en-GB" w:eastAsia="en-GB"/>
              </w:rPr>
              <w:lastRenderedPageBreak/>
              <w:t>the regular consumer.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399DBD42"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NA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73725894"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04BD0A2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Adoption of a traffic light system (easily understood) </w:t>
            </w:r>
          </w:p>
        </w:tc>
      </w:tr>
      <w:tr w:rsidR="00EA608E" w:rsidRPr="00A00EB3" w14:paraId="448410A5"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0F5BFF29"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Consumer Federation of Kenya (COFEK)</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57587E37"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A multi-sectoral non-profit federation committed to consumer protection, education, research, consultancy, litigation, anti-counterfeit campaigns and business rating on consumerism and customer-care issues.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78EEF844"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02B7455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4BEAC43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0877182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Is a good policy and consumers have the right to information (constitutional rights) .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5BE65F4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Article 46 states that consumers have the right to information necessary for them to gain benefits from goods </w:t>
            </w:r>
            <w:r w:rsidRPr="00A00EB3">
              <w:rPr>
                <w:rFonts w:ascii="Times New Roman" w:eastAsia="Times New Roman" w:hAnsi="Times New Roman" w:cs="Times New Roman"/>
                <w:color w:val="000000"/>
                <w:lang w:val="en-GB" w:eastAsia="en-GB"/>
              </w:rPr>
              <w:lastRenderedPageBreak/>
              <w:t>and services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2FE292E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lastRenderedPageBreak/>
              <w:t>Low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222A1C15"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Need to be verification/ inspection strategies considered to ensure claims are real </w:t>
            </w:r>
          </w:p>
        </w:tc>
      </w:tr>
      <w:tr w:rsidR="00EA608E" w:rsidRPr="00A00EB3" w14:paraId="318D8EDC"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197F5A91"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Kenya Bureau of Standards (KEBs)</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45C2313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Government agency. Promotes standardization in industry and commerce; examination and testing of locally manufactured commodities and goods destined for exports.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45E7AC5A"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63CBE59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2032C298"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56600FAB"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 xml:space="preserve">KEBS is part of the Electronic Working Group (EWG) on FAO/WHO Food Standards Programme Codex Committee on Food Labeling that is working on the creation of draft guidelines for Front of Pack Nutrition </w:t>
            </w:r>
            <w:r w:rsidRPr="00A00EB3">
              <w:rPr>
                <w:rFonts w:ascii="Times New Roman" w:eastAsia="Times New Roman" w:hAnsi="Times New Roman" w:cs="Times New Roman"/>
                <w:color w:val="000000"/>
                <w:lang w:val="en-GB" w:eastAsia="en-GB"/>
              </w:rPr>
              <w:lastRenderedPageBreak/>
              <w:t>Labeling (FOPNL). They are a key stakeholder in consumer protection and labeling of products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3E45F3C7"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1155CC"/>
                <w:u w:val="single"/>
                <w:lang w:val="en-GB" w:eastAsia="en-GB"/>
              </w:rPr>
              <w:lastRenderedPageBreak/>
              <w:t xml:space="preserve">FOPL- </w:t>
            </w:r>
            <w:r w:rsidRPr="00A00EB3">
              <w:rPr>
                <w:rFonts w:ascii="Times New Roman" w:eastAsia="Times New Roman" w:hAnsi="Times New Roman" w:cs="Times New Roman"/>
                <w:color w:val="1155CC"/>
                <w:u w:val="single"/>
                <w:lang w:val="en-GB" w:eastAsia="en-GB"/>
              </w:rPr>
              <w:t>Joint FAO/WHO Food Standard Programme Codex Committee on Food Labelling</w:t>
            </w:r>
            <w:r w:rsidRPr="00A00EB3">
              <w:rPr>
                <w:rFonts w:ascii="Times New Roman" w:eastAsia="Times New Roman" w:hAnsi="Times New Roman" w:cs="Times New Roman"/>
                <w:color w:val="1155CC"/>
                <w:lang w:val="en-GB" w:eastAsia="en-GB"/>
              </w:rPr>
              <w:t>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1CA5FF46"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273EDC13"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NA </w:t>
            </w:r>
          </w:p>
        </w:tc>
      </w:tr>
      <w:tr w:rsidR="00EA608E" w:rsidRPr="00A00EB3" w14:paraId="08B0EEC8" w14:textId="77777777" w:rsidTr="000D51A6">
        <w:trPr>
          <w:trHeight w:val="300"/>
        </w:trPr>
        <w:tc>
          <w:tcPr>
            <w:tcW w:w="1215" w:type="dxa"/>
            <w:tcBorders>
              <w:top w:val="single" w:sz="6" w:space="0" w:color="000000"/>
              <w:left w:val="single" w:sz="6" w:space="0" w:color="000000"/>
              <w:bottom w:val="single" w:sz="6" w:space="0" w:color="000000"/>
              <w:right w:val="single" w:sz="12" w:space="0" w:color="000000"/>
            </w:tcBorders>
            <w:shd w:val="clear" w:color="auto" w:fill="auto"/>
            <w:hideMark/>
          </w:tcPr>
          <w:p w14:paraId="1EAE4C1D"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b/>
                <w:bCs/>
                <w:color w:val="000000"/>
                <w:lang w:val="en-GB" w:eastAsia="en-GB"/>
              </w:rPr>
              <w:t>State Department of Devolution</w:t>
            </w:r>
            <w:r w:rsidRPr="00A00EB3">
              <w:rPr>
                <w:rFonts w:ascii="Times New Roman" w:eastAsia="Times New Roman" w:hAnsi="Times New Roman" w:cs="Times New Roman"/>
                <w:color w:val="000000"/>
                <w:lang w:val="en-GB" w:eastAsia="en-GB"/>
              </w:rPr>
              <w:t> </w:t>
            </w:r>
          </w:p>
        </w:tc>
        <w:tc>
          <w:tcPr>
            <w:tcW w:w="2096" w:type="dxa"/>
            <w:tcBorders>
              <w:top w:val="single" w:sz="6" w:space="0" w:color="000000"/>
              <w:left w:val="single" w:sz="12" w:space="0" w:color="000000"/>
              <w:bottom w:val="single" w:sz="6" w:space="0" w:color="000000"/>
              <w:right w:val="single" w:sz="6" w:space="0" w:color="000000"/>
            </w:tcBorders>
            <w:shd w:val="clear" w:color="auto" w:fill="auto"/>
            <w:hideMark/>
          </w:tcPr>
          <w:p w14:paraId="1FAAC53C"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Supports country governments through policy formulation, capacity support and intergovernmental relations </w:t>
            </w:r>
          </w:p>
        </w:tc>
        <w:tc>
          <w:tcPr>
            <w:tcW w:w="1451" w:type="dxa"/>
            <w:tcBorders>
              <w:top w:val="single" w:sz="6" w:space="0" w:color="000000"/>
              <w:left w:val="single" w:sz="6" w:space="0" w:color="000000"/>
              <w:bottom w:val="single" w:sz="6" w:space="0" w:color="000000"/>
              <w:right w:val="single" w:sz="6" w:space="0" w:color="000000"/>
            </w:tcBorders>
            <w:shd w:val="clear" w:color="auto" w:fill="auto"/>
            <w:hideMark/>
          </w:tcPr>
          <w:p w14:paraId="755D5A52"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Low </w:t>
            </w:r>
          </w:p>
        </w:tc>
        <w:tc>
          <w:tcPr>
            <w:tcW w:w="1061" w:type="dxa"/>
            <w:tcBorders>
              <w:top w:val="single" w:sz="6" w:space="0" w:color="000000"/>
              <w:left w:val="single" w:sz="6" w:space="0" w:color="000000"/>
              <w:bottom w:val="single" w:sz="6" w:space="0" w:color="000000"/>
              <w:right w:val="single" w:sz="6" w:space="0" w:color="000000"/>
            </w:tcBorders>
            <w:shd w:val="clear" w:color="auto" w:fill="auto"/>
            <w:hideMark/>
          </w:tcPr>
          <w:p w14:paraId="195EFF97"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1109" w:type="dxa"/>
            <w:tcBorders>
              <w:top w:val="single" w:sz="6" w:space="0" w:color="000000"/>
              <w:left w:val="single" w:sz="6" w:space="0" w:color="000000"/>
              <w:bottom w:val="single" w:sz="6" w:space="0" w:color="000000"/>
              <w:right w:val="single" w:sz="6" w:space="0" w:color="000000"/>
            </w:tcBorders>
            <w:shd w:val="clear" w:color="auto" w:fill="auto"/>
            <w:hideMark/>
          </w:tcPr>
          <w:p w14:paraId="6C800ACF"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Supportive </w:t>
            </w:r>
          </w:p>
        </w:tc>
        <w:tc>
          <w:tcPr>
            <w:tcW w:w="1475" w:type="dxa"/>
            <w:tcBorders>
              <w:top w:val="single" w:sz="6" w:space="0" w:color="000000"/>
              <w:left w:val="single" w:sz="6" w:space="0" w:color="000000"/>
              <w:bottom w:val="single" w:sz="6" w:space="0" w:color="000000"/>
              <w:right w:val="single" w:sz="6" w:space="0" w:color="000000"/>
            </w:tcBorders>
            <w:shd w:val="clear" w:color="auto" w:fill="D9D9D9"/>
            <w:hideMark/>
          </w:tcPr>
          <w:p w14:paraId="072BA7EE"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Supports county governments in areas of food and nutrition security (KNAP) </w:t>
            </w:r>
          </w:p>
        </w:tc>
        <w:tc>
          <w:tcPr>
            <w:tcW w:w="1120" w:type="dxa"/>
            <w:tcBorders>
              <w:top w:val="single" w:sz="6" w:space="0" w:color="000000"/>
              <w:left w:val="single" w:sz="6" w:space="0" w:color="000000"/>
              <w:bottom w:val="single" w:sz="6" w:space="0" w:color="000000"/>
              <w:right w:val="single" w:sz="6" w:space="0" w:color="000000"/>
            </w:tcBorders>
            <w:shd w:val="clear" w:color="auto" w:fill="D9D9D9"/>
            <w:hideMark/>
          </w:tcPr>
          <w:p w14:paraId="30D60B56"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1155CC"/>
                <w:u w:val="single"/>
                <w:lang w:val="en-GB" w:eastAsia="en-GB"/>
              </w:rPr>
              <w:t>Kenya Nutrition Action Plan (KNAP), 2018-2022</w:t>
            </w:r>
            <w:r w:rsidRPr="00A00EB3">
              <w:rPr>
                <w:rFonts w:ascii="Times New Roman" w:eastAsia="Times New Roman" w:hAnsi="Times New Roman" w:cs="Times New Roman"/>
                <w:color w:val="1155CC"/>
                <w:lang w:val="en-GB" w:eastAsia="en-GB"/>
              </w:rPr>
              <w:t> </w:t>
            </w:r>
          </w:p>
        </w:tc>
        <w:tc>
          <w:tcPr>
            <w:tcW w:w="1106" w:type="dxa"/>
            <w:tcBorders>
              <w:top w:val="single" w:sz="6" w:space="0" w:color="000000"/>
              <w:left w:val="single" w:sz="6" w:space="0" w:color="000000"/>
              <w:bottom w:val="single" w:sz="6" w:space="0" w:color="000000"/>
              <w:right w:val="single" w:sz="6" w:space="0" w:color="000000"/>
            </w:tcBorders>
            <w:shd w:val="clear" w:color="auto" w:fill="auto"/>
            <w:hideMark/>
          </w:tcPr>
          <w:p w14:paraId="1E7DACB9"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High </w:t>
            </w:r>
          </w:p>
        </w:tc>
        <w:tc>
          <w:tcPr>
            <w:tcW w:w="3309" w:type="dxa"/>
            <w:tcBorders>
              <w:top w:val="single" w:sz="6" w:space="0" w:color="000000"/>
              <w:left w:val="single" w:sz="6" w:space="0" w:color="000000"/>
              <w:bottom w:val="single" w:sz="6" w:space="0" w:color="000000"/>
              <w:right w:val="single" w:sz="6" w:space="0" w:color="000000"/>
            </w:tcBorders>
            <w:shd w:val="clear" w:color="auto" w:fill="D9D9D9"/>
            <w:hideMark/>
          </w:tcPr>
          <w:p w14:paraId="5657FDD0" w14:textId="77777777" w:rsidR="00EA608E" w:rsidRPr="00A00EB3" w:rsidRDefault="00EA608E" w:rsidP="000D51A6">
            <w:pPr>
              <w:spacing w:after="0" w:line="480" w:lineRule="auto"/>
              <w:textAlignment w:val="baseline"/>
              <w:rPr>
                <w:rFonts w:ascii="Times New Roman" w:eastAsia="Times New Roman" w:hAnsi="Times New Roman" w:cs="Times New Roman"/>
                <w:lang w:val="en-GB" w:eastAsia="en-GB"/>
              </w:rPr>
            </w:pPr>
            <w:r w:rsidRPr="00A00EB3">
              <w:rPr>
                <w:rFonts w:ascii="Times New Roman" w:eastAsia="Times New Roman" w:hAnsi="Times New Roman" w:cs="Times New Roman"/>
                <w:color w:val="000000"/>
                <w:lang w:val="en-GB" w:eastAsia="en-GB"/>
              </w:rPr>
              <w:t>NA </w:t>
            </w:r>
          </w:p>
        </w:tc>
      </w:tr>
    </w:tbl>
    <w:p w14:paraId="06C51672" w14:textId="77777777" w:rsidR="00EA608E" w:rsidRPr="00831516" w:rsidRDefault="00EA608E" w:rsidP="00EA608E">
      <w:pPr>
        <w:tabs>
          <w:tab w:val="left" w:pos="1305"/>
        </w:tabs>
        <w:spacing w:line="480" w:lineRule="auto"/>
        <w:rPr>
          <w:rFonts w:ascii="Times New Roman" w:hAnsi="Times New Roman" w:cs="Times New Roman"/>
          <w:b/>
          <w:sz w:val="24"/>
          <w:szCs w:val="24"/>
        </w:rPr>
      </w:pPr>
    </w:p>
    <w:p w14:paraId="7C88320C" w14:textId="77777777" w:rsidR="00F553FF" w:rsidRDefault="00F553FF"/>
    <w:sectPr w:rsidR="00F553FF" w:rsidSect="00EF7198">
      <w:type w:val="continuous"/>
      <w:pgSz w:w="15840" w:h="12240" w:orient="landscape"/>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8892653"/>
      <w:docPartObj>
        <w:docPartGallery w:val="Page Numbers (Bottom of Page)"/>
        <w:docPartUnique/>
      </w:docPartObj>
    </w:sdtPr>
    <w:sdtEndPr>
      <w:rPr>
        <w:noProof/>
      </w:rPr>
    </w:sdtEndPr>
    <w:sdtContent>
      <w:p w14:paraId="51FAD833"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F44ECA1"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08E"/>
    <w:rsid w:val="003C2EF4"/>
    <w:rsid w:val="00EA608E"/>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9E675"/>
  <w15:chartTrackingRefBased/>
  <w15:docId w15:val="{0B37B54D-EFFA-4CFF-85F6-461F7F8DA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08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1">
    <w:name w:val="Plain Table 1"/>
    <w:basedOn w:val="TableNormal"/>
    <w:uiPriority w:val="41"/>
    <w:rsid w:val="00EA608E"/>
    <w:pPr>
      <w:spacing w:after="0" w:line="240" w:lineRule="auto"/>
    </w:pPr>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er">
    <w:name w:val="footer"/>
    <w:basedOn w:val="Normal"/>
    <w:link w:val="FooterChar"/>
    <w:uiPriority w:val="99"/>
    <w:unhideWhenUsed/>
    <w:rsid w:val="00EA60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608E"/>
    <w:rPr>
      <w:kern w:val="0"/>
      <w14:ligatures w14:val="none"/>
    </w:rPr>
  </w:style>
  <w:style w:type="character" w:styleId="LineNumber">
    <w:name w:val="line number"/>
    <w:basedOn w:val="DefaultParagraphFont"/>
    <w:uiPriority w:val="99"/>
    <w:semiHidden/>
    <w:unhideWhenUsed/>
    <w:rsid w:val="00EA60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1926</Words>
  <Characters>10981</Characters>
  <Application>Microsoft Office Word</Application>
  <DocSecurity>0</DocSecurity>
  <Lines>91</Lines>
  <Paragraphs>25</Paragraphs>
  <ScaleCrop>false</ScaleCrop>
  <Company>Springer Nature</Company>
  <LinksUpToDate>false</LinksUpToDate>
  <CharactersWithSpaces>12882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2024-01-08T09:49:00Z</dcterms:created>
  <dcterms:modified xsi:type="dcterms:W3CDTF">2024-01-08T09:50:00Z</dcterms:modified>
</cp:coreProperties>
</file>