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812ED" w14:textId="77777777" w:rsidR="00C45A03" w:rsidRDefault="00C45A03" w:rsidP="00C45A03">
      <w:pPr>
        <w:ind w:firstLineChars="0" w:firstLine="0"/>
      </w:pPr>
      <w:r>
        <w:rPr>
          <w:rFonts w:hint="eastAsia"/>
          <w:noProof/>
        </w:rPr>
        <w:drawing>
          <wp:inline distT="0" distB="0" distL="0" distR="0" wp14:anchorId="2B6525B9" wp14:editId="62650385">
            <wp:extent cx="5274310" cy="3843655"/>
            <wp:effectExtent l="0" t="0" r="2540" b="4445"/>
            <wp:docPr id="1733613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13625" name="图片 17336136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AB882" w14:textId="77777777" w:rsidR="00C45A03" w:rsidRDefault="00C45A03" w:rsidP="00C45A03">
      <w:pPr>
        <w:ind w:firstLine="210"/>
      </w:pPr>
      <w:r>
        <w:t>We aim to harness Bioelectrical Impedance Analysis (BIA) as an alternative to Dual-Energy X-ray Absorptiometry (DXA) for assessing osteoporosis and fracture risk. The Indicator Redirection Strategy (IRS) effectively compensates for the absence of DXA reference values.</w:t>
      </w:r>
    </w:p>
    <w:p w14:paraId="7E9B6B90" w14:textId="77777777" w:rsidR="00D30773" w:rsidRDefault="00D30773">
      <w:pPr>
        <w:ind w:firstLine="210"/>
      </w:pPr>
    </w:p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03"/>
    <w:rsid w:val="00854297"/>
    <w:rsid w:val="00C45A03"/>
    <w:rsid w:val="00C76549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0111F"/>
  <w15:chartTrackingRefBased/>
  <w15:docId w15:val="{BDEBE0EE-2E47-4508-9BD6-D3D66DAB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A03"/>
    <w:pPr>
      <w:widowControl w:val="0"/>
      <w:spacing w:after="0" w:line="240" w:lineRule="auto"/>
      <w:ind w:firstLineChars="100" w:firstLine="100"/>
      <w:jc w:val="both"/>
    </w:pPr>
    <w:rPr>
      <w:rFonts w:ascii="Times New Roman" w:eastAsia="SimSun" w:hAnsi="Times New Roman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A03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A03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A03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A03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A03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A03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A03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A03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A03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A03"/>
    <w:pPr>
      <w:widowControl/>
      <w:spacing w:after="80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5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A03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5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A03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5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A03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5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A0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SpringerNature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2024-11-12T04:51:00Z</dcterms:created>
  <dcterms:modified xsi:type="dcterms:W3CDTF">2024-11-12T04:52:00Z</dcterms:modified>
</cp:coreProperties>
</file>