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DA76E" w14:textId="77777777" w:rsidR="0044512E" w:rsidRDefault="0044512E" w:rsidP="00AA63CD">
      <w:pPr>
        <w:pStyle w:val="aa"/>
        <w:spacing w:after="100" w:afterAutospacing="1" w:line="360" w:lineRule="auto"/>
        <w:rPr>
          <w:rStyle w:val="addressChar"/>
          <w:rFonts w:eastAsiaTheme="minorEastAsia" w:cs="Times New Roman"/>
          <w:b/>
          <w:sz w:val="32"/>
        </w:rPr>
      </w:pPr>
    </w:p>
    <w:p w14:paraId="77143EBC" w14:textId="77777777" w:rsidR="00432722" w:rsidRPr="00432722" w:rsidRDefault="00BE5C91" w:rsidP="00432722">
      <w:pPr>
        <w:pStyle w:val="aa"/>
        <w:spacing w:after="100" w:afterAutospacing="1" w:line="360" w:lineRule="auto"/>
        <w:rPr>
          <w:iCs/>
        </w:rPr>
      </w:pPr>
      <w:r w:rsidRPr="00214EFC">
        <w:rPr>
          <w:rStyle w:val="addressChar"/>
          <w:rFonts w:eastAsiaTheme="minorEastAsia" w:cs="Times New Roman"/>
          <w:b/>
          <w:sz w:val="32"/>
        </w:rPr>
        <w:t>Supp</w:t>
      </w:r>
      <w:r w:rsidR="00D50F1D">
        <w:rPr>
          <w:rStyle w:val="addressChar"/>
          <w:rFonts w:eastAsiaTheme="minorEastAsia" w:cs="Times New Roman" w:hint="eastAsia"/>
          <w:b/>
          <w:sz w:val="32"/>
        </w:rPr>
        <w:t>lem</w:t>
      </w:r>
      <w:r w:rsidR="00D50F1D">
        <w:rPr>
          <w:rStyle w:val="addressChar"/>
          <w:rFonts w:eastAsiaTheme="minorEastAsia" w:cs="Times New Roman"/>
          <w:b/>
          <w:sz w:val="32"/>
        </w:rPr>
        <w:t>entary</w:t>
      </w:r>
      <w:r w:rsidRPr="00214EFC">
        <w:rPr>
          <w:rStyle w:val="addressChar"/>
          <w:rFonts w:eastAsiaTheme="minorEastAsia" w:cs="Times New Roman"/>
          <w:b/>
          <w:sz w:val="32"/>
        </w:rPr>
        <w:t xml:space="preserve"> Information</w:t>
      </w:r>
      <w:r w:rsidR="0044512E">
        <w:rPr>
          <w:rStyle w:val="addressChar"/>
          <w:rFonts w:eastAsiaTheme="minorEastAsia" w:cs="Times New Roman"/>
          <w:b/>
          <w:sz w:val="32"/>
        </w:rPr>
        <w:t xml:space="preserve"> for </w:t>
      </w:r>
      <w:r w:rsidR="00432722" w:rsidRPr="00432722">
        <w:rPr>
          <w:iCs/>
        </w:rPr>
        <w:t xml:space="preserve">Global mitigation efforts should prioritize support to the emerging </w:t>
      </w:r>
      <w:proofErr w:type="gramStart"/>
      <w:r w:rsidR="00432722" w:rsidRPr="00432722">
        <w:rPr>
          <w:iCs/>
        </w:rPr>
        <w:t>emitters</w:t>
      </w:r>
      <w:proofErr w:type="gramEnd"/>
    </w:p>
    <w:p w14:paraId="4C72EA6C" w14:textId="5EB7B2DF" w:rsidR="00CA5DCE" w:rsidRPr="00432722" w:rsidRDefault="00CA5DCE" w:rsidP="00432722">
      <w:pPr>
        <w:pStyle w:val="aa"/>
        <w:spacing w:after="100" w:afterAutospacing="1" w:line="360" w:lineRule="auto"/>
      </w:pPr>
    </w:p>
    <w:p w14:paraId="6F3BB881" w14:textId="0CD7F583" w:rsidR="0086278A" w:rsidRDefault="0086278A" w:rsidP="0086278A">
      <w:pPr>
        <w:snapToGrid w:val="0"/>
        <w:spacing w:after="0" w:line="360" w:lineRule="auto"/>
        <w:rPr>
          <w:sz w:val="24"/>
          <w:szCs w:val="24"/>
          <w:vertAlign w:val="superscript"/>
        </w:rPr>
      </w:pPr>
      <w:r w:rsidRPr="00251433">
        <w:rPr>
          <w:sz w:val="24"/>
          <w:szCs w:val="24"/>
        </w:rPr>
        <w:t>Can Cui</w:t>
      </w:r>
      <w:r w:rsidRPr="00251433">
        <w:rPr>
          <w:sz w:val="24"/>
          <w:szCs w:val="24"/>
          <w:vertAlign w:val="superscript"/>
        </w:rPr>
        <w:t>1</w:t>
      </w:r>
      <w:r w:rsidRPr="00251433">
        <w:rPr>
          <w:sz w:val="24"/>
          <w:szCs w:val="24"/>
        </w:rPr>
        <w:t xml:space="preserve">, </w:t>
      </w:r>
      <w:proofErr w:type="spellStart"/>
      <w:r w:rsidRPr="00251433">
        <w:rPr>
          <w:sz w:val="24"/>
          <w:szCs w:val="24"/>
        </w:rPr>
        <w:t>Dabo</w:t>
      </w:r>
      <w:proofErr w:type="spellEnd"/>
      <w:r w:rsidRPr="00251433">
        <w:rPr>
          <w:sz w:val="24"/>
          <w:szCs w:val="24"/>
        </w:rPr>
        <w:t xml:space="preserve"> Guan</w:t>
      </w:r>
      <w:r w:rsidRPr="00251433">
        <w:rPr>
          <w:sz w:val="24"/>
          <w:szCs w:val="24"/>
          <w:vertAlign w:val="superscript"/>
        </w:rPr>
        <w:t>1</w:t>
      </w:r>
      <w:r w:rsidRPr="00251433">
        <w:rPr>
          <w:rFonts w:hint="eastAsia"/>
          <w:sz w:val="24"/>
          <w:szCs w:val="24"/>
          <w:vertAlign w:val="superscript"/>
        </w:rPr>
        <w:t>,</w:t>
      </w:r>
      <w:r w:rsidRPr="00251433">
        <w:rPr>
          <w:sz w:val="24"/>
          <w:szCs w:val="24"/>
          <w:vertAlign w:val="superscript"/>
        </w:rPr>
        <w:t>2*</w:t>
      </w:r>
      <w:r w:rsidRPr="00251433">
        <w:rPr>
          <w:sz w:val="24"/>
          <w:szCs w:val="24"/>
        </w:rPr>
        <w:t xml:space="preserve">, </w:t>
      </w:r>
      <w:proofErr w:type="spellStart"/>
      <w:r w:rsidRPr="00251433">
        <w:rPr>
          <w:sz w:val="24"/>
          <w:szCs w:val="24"/>
        </w:rPr>
        <w:t>Daoping</w:t>
      </w:r>
      <w:proofErr w:type="spellEnd"/>
      <w:r w:rsidRPr="00251433">
        <w:rPr>
          <w:sz w:val="24"/>
          <w:szCs w:val="24"/>
        </w:rPr>
        <w:t xml:space="preserve"> Wang</w:t>
      </w:r>
      <w:r w:rsidRPr="00251433">
        <w:rPr>
          <w:sz w:val="24"/>
          <w:szCs w:val="24"/>
          <w:vertAlign w:val="superscript"/>
        </w:rPr>
        <w:t>3</w:t>
      </w:r>
      <w:r w:rsidRPr="00251433">
        <w:rPr>
          <w:sz w:val="24"/>
          <w:szCs w:val="24"/>
        </w:rPr>
        <w:t>, Vicky Chemutai</w:t>
      </w:r>
      <w:r w:rsidRPr="00251433">
        <w:rPr>
          <w:sz w:val="24"/>
          <w:szCs w:val="24"/>
          <w:vertAlign w:val="superscript"/>
        </w:rPr>
        <w:t>4</w:t>
      </w:r>
      <w:r w:rsidRPr="00251433">
        <w:rPr>
          <w:sz w:val="24"/>
          <w:szCs w:val="24"/>
        </w:rPr>
        <w:t>, Paul Brenton</w:t>
      </w:r>
      <w:r w:rsidRPr="00251433">
        <w:rPr>
          <w:sz w:val="24"/>
          <w:szCs w:val="24"/>
          <w:vertAlign w:val="superscript"/>
        </w:rPr>
        <w:t>4</w:t>
      </w:r>
      <w:r w:rsidRPr="00251433">
        <w:rPr>
          <w:sz w:val="24"/>
          <w:szCs w:val="24"/>
        </w:rPr>
        <w:t xml:space="preserve">, </w:t>
      </w:r>
      <w:proofErr w:type="spellStart"/>
      <w:r>
        <w:rPr>
          <w:sz w:val="24"/>
          <w:szCs w:val="24"/>
        </w:rPr>
        <w:t>Shaohui</w:t>
      </w:r>
      <w:proofErr w:type="spellEnd"/>
      <w:r>
        <w:rPr>
          <w:sz w:val="24"/>
          <w:szCs w:val="24"/>
        </w:rPr>
        <w:t xml:space="preserve"> Zhang</w:t>
      </w:r>
      <w:r w:rsidRPr="00251433">
        <w:rPr>
          <w:sz w:val="24"/>
          <w:szCs w:val="24"/>
          <w:vertAlign w:val="superscript"/>
        </w:rPr>
        <w:t>5</w:t>
      </w:r>
      <w:r w:rsidR="00C77361">
        <w:rPr>
          <w:sz w:val="24"/>
          <w:szCs w:val="24"/>
          <w:vertAlign w:val="superscript"/>
        </w:rPr>
        <w:t>,6</w:t>
      </w:r>
      <w:r>
        <w:rPr>
          <w:sz w:val="24"/>
          <w:szCs w:val="24"/>
        </w:rPr>
        <w:t xml:space="preserve">, </w:t>
      </w:r>
      <w:proofErr w:type="spellStart"/>
      <w:r>
        <w:rPr>
          <w:rFonts w:hint="eastAsia"/>
          <w:sz w:val="24"/>
          <w:szCs w:val="24"/>
        </w:rPr>
        <w:t>Qiang</w:t>
      </w:r>
      <w:proofErr w:type="spellEnd"/>
      <w:r>
        <w:rPr>
          <w:sz w:val="24"/>
          <w:szCs w:val="24"/>
        </w:rPr>
        <w:t xml:space="preserve"> Zhang</w:t>
      </w:r>
      <w:r w:rsidRPr="00A33B5E">
        <w:rPr>
          <w:sz w:val="24"/>
          <w:szCs w:val="24"/>
          <w:vertAlign w:val="superscript"/>
        </w:rPr>
        <w:t>1</w:t>
      </w:r>
      <w:r>
        <w:rPr>
          <w:sz w:val="24"/>
          <w:szCs w:val="24"/>
        </w:rPr>
        <w:t xml:space="preserve">, </w:t>
      </w:r>
      <w:r w:rsidRPr="00251433">
        <w:rPr>
          <w:sz w:val="24"/>
          <w:szCs w:val="24"/>
        </w:rPr>
        <w:t>Steven J. Davis</w:t>
      </w:r>
      <w:r w:rsidR="00C77361">
        <w:rPr>
          <w:sz w:val="24"/>
          <w:szCs w:val="24"/>
          <w:vertAlign w:val="superscript"/>
        </w:rPr>
        <w:t>7</w:t>
      </w:r>
    </w:p>
    <w:p w14:paraId="61221ADB" w14:textId="77777777" w:rsidR="0086278A" w:rsidRDefault="0086278A" w:rsidP="0086278A">
      <w:pPr>
        <w:snapToGrid w:val="0"/>
        <w:spacing w:after="0" w:line="360" w:lineRule="auto"/>
        <w:ind w:firstLine="187"/>
        <w:rPr>
          <w:sz w:val="24"/>
          <w:szCs w:val="24"/>
          <w:vertAlign w:val="superscript"/>
        </w:rPr>
      </w:pPr>
    </w:p>
    <w:p w14:paraId="746D3645" w14:textId="77777777" w:rsidR="0086278A" w:rsidRDefault="0086278A" w:rsidP="0086278A">
      <w:pPr>
        <w:snapToGrid w:val="0"/>
        <w:spacing w:after="0" w:line="360" w:lineRule="auto"/>
        <w:ind w:firstLine="187"/>
        <w:rPr>
          <w:sz w:val="24"/>
          <w:szCs w:val="24"/>
          <w:vertAlign w:val="superscript"/>
        </w:rPr>
      </w:pPr>
    </w:p>
    <w:p w14:paraId="1CC7F8CB" w14:textId="77777777" w:rsidR="0086278A" w:rsidRPr="00251433" w:rsidRDefault="0086278A" w:rsidP="0086278A">
      <w:pPr>
        <w:snapToGrid w:val="0"/>
        <w:spacing w:after="0" w:line="360" w:lineRule="auto"/>
        <w:ind w:firstLine="187"/>
        <w:rPr>
          <w:sz w:val="24"/>
          <w:szCs w:val="24"/>
        </w:rPr>
      </w:pPr>
    </w:p>
    <w:p w14:paraId="3EA043CF" w14:textId="77777777" w:rsidR="0086278A" w:rsidRDefault="0086278A" w:rsidP="0086278A">
      <w:pPr>
        <w:autoSpaceDE w:val="0"/>
        <w:autoSpaceDN w:val="0"/>
        <w:adjustRightInd w:val="0"/>
        <w:spacing w:after="40"/>
        <w:rPr>
          <w:i/>
          <w:sz w:val="20"/>
          <w:szCs w:val="20"/>
        </w:rPr>
      </w:pPr>
      <w:r w:rsidRPr="00407C2A">
        <w:rPr>
          <w:sz w:val="20"/>
          <w:szCs w:val="20"/>
          <w:vertAlign w:val="superscript"/>
        </w:rPr>
        <w:t>1</w:t>
      </w:r>
      <w:r>
        <w:rPr>
          <w:i/>
          <w:sz w:val="20"/>
          <w:szCs w:val="20"/>
        </w:rPr>
        <w:t xml:space="preserve"> </w:t>
      </w:r>
      <w:r w:rsidRPr="00EF41E4">
        <w:rPr>
          <w:i/>
          <w:sz w:val="20"/>
          <w:szCs w:val="20"/>
        </w:rPr>
        <w:t>Department of Earth System Science, Tsinghua University, Beijing, China</w:t>
      </w:r>
    </w:p>
    <w:p w14:paraId="255641A7" w14:textId="77777777" w:rsidR="0086278A" w:rsidRPr="00407C2A" w:rsidRDefault="0086278A" w:rsidP="0086278A">
      <w:pPr>
        <w:autoSpaceDE w:val="0"/>
        <w:autoSpaceDN w:val="0"/>
        <w:adjustRightInd w:val="0"/>
        <w:spacing w:after="40"/>
        <w:rPr>
          <w:sz w:val="20"/>
          <w:szCs w:val="20"/>
        </w:rPr>
      </w:pPr>
      <w:r>
        <w:rPr>
          <w:sz w:val="20"/>
          <w:szCs w:val="20"/>
          <w:vertAlign w:val="superscript"/>
        </w:rPr>
        <w:t>2</w:t>
      </w:r>
      <w:r w:rsidRPr="008A34A2">
        <w:rPr>
          <w:i/>
          <w:sz w:val="20"/>
          <w:szCs w:val="20"/>
        </w:rPr>
        <w:t xml:space="preserve"> </w:t>
      </w:r>
      <w:r w:rsidRPr="001470F4">
        <w:rPr>
          <w:i/>
          <w:sz w:val="20"/>
          <w:szCs w:val="20"/>
        </w:rPr>
        <w:t>The Bartlett School of</w:t>
      </w:r>
      <w:r>
        <w:rPr>
          <w:i/>
          <w:sz w:val="20"/>
          <w:szCs w:val="20"/>
        </w:rPr>
        <w:t xml:space="preserve"> Sustainable </w:t>
      </w:r>
      <w:r w:rsidRPr="001470F4">
        <w:rPr>
          <w:i/>
          <w:sz w:val="20"/>
          <w:szCs w:val="20"/>
        </w:rPr>
        <w:t>Construction, University College London, London, UK</w:t>
      </w:r>
    </w:p>
    <w:p w14:paraId="79217B42" w14:textId="77777777" w:rsidR="0086278A" w:rsidRDefault="0086278A" w:rsidP="0086278A">
      <w:pPr>
        <w:autoSpaceDE w:val="0"/>
        <w:autoSpaceDN w:val="0"/>
        <w:adjustRightInd w:val="0"/>
        <w:spacing w:after="40"/>
        <w:rPr>
          <w:i/>
          <w:iCs/>
          <w:sz w:val="20"/>
          <w:szCs w:val="20"/>
        </w:rPr>
      </w:pPr>
      <w:r>
        <w:rPr>
          <w:sz w:val="20"/>
          <w:szCs w:val="20"/>
          <w:vertAlign w:val="superscript"/>
        </w:rPr>
        <w:t>3</w:t>
      </w:r>
      <w:r>
        <w:rPr>
          <w:i/>
          <w:sz w:val="20"/>
          <w:szCs w:val="20"/>
        </w:rPr>
        <w:t xml:space="preserve"> </w:t>
      </w:r>
      <w:r w:rsidRPr="001470F4">
        <w:rPr>
          <w:i/>
          <w:sz w:val="20"/>
          <w:szCs w:val="20"/>
        </w:rPr>
        <w:t>School of Urban and Regional Science, Shanghai University of Finance and Economics, Shanghai, China.</w:t>
      </w:r>
    </w:p>
    <w:p w14:paraId="148279C8" w14:textId="77777777" w:rsidR="0086278A" w:rsidRDefault="0086278A" w:rsidP="0086278A">
      <w:pPr>
        <w:autoSpaceDE w:val="0"/>
        <w:autoSpaceDN w:val="0"/>
        <w:adjustRightInd w:val="0"/>
        <w:spacing w:after="40"/>
        <w:rPr>
          <w:i/>
          <w:sz w:val="20"/>
          <w:szCs w:val="20"/>
        </w:rPr>
      </w:pPr>
      <w:r>
        <w:rPr>
          <w:sz w:val="20"/>
          <w:szCs w:val="20"/>
          <w:vertAlign w:val="superscript"/>
        </w:rPr>
        <w:t>4</w:t>
      </w:r>
      <w:r>
        <w:rPr>
          <w:i/>
          <w:sz w:val="20"/>
          <w:szCs w:val="20"/>
        </w:rPr>
        <w:t xml:space="preserve"> </w:t>
      </w:r>
      <w:r w:rsidRPr="001470F4">
        <w:rPr>
          <w:i/>
          <w:sz w:val="20"/>
          <w:szCs w:val="20"/>
        </w:rPr>
        <w:t>The World Bank, Washington, DC, USA</w:t>
      </w:r>
    </w:p>
    <w:p w14:paraId="6C86A939" w14:textId="12818A67" w:rsidR="0086278A" w:rsidRDefault="0086278A" w:rsidP="0086278A">
      <w:pPr>
        <w:autoSpaceDE w:val="0"/>
        <w:autoSpaceDN w:val="0"/>
        <w:adjustRightInd w:val="0"/>
        <w:spacing w:after="40"/>
        <w:rPr>
          <w:i/>
          <w:sz w:val="20"/>
          <w:szCs w:val="20"/>
        </w:rPr>
      </w:pPr>
      <w:r>
        <w:rPr>
          <w:sz w:val="20"/>
          <w:szCs w:val="20"/>
          <w:vertAlign w:val="superscript"/>
        </w:rPr>
        <w:t>5</w:t>
      </w:r>
      <w:r>
        <w:rPr>
          <w:i/>
          <w:sz w:val="20"/>
          <w:szCs w:val="20"/>
        </w:rPr>
        <w:t xml:space="preserve"> </w:t>
      </w:r>
      <w:r w:rsidRPr="00A42EEC">
        <w:rPr>
          <w:i/>
          <w:sz w:val="20"/>
          <w:szCs w:val="20"/>
        </w:rPr>
        <w:t xml:space="preserve">School of Economics and Management, </w:t>
      </w:r>
      <w:proofErr w:type="spellStart"/>
      <w:r w:rsidRPr="00A42EEC">
        <w:rPr>
          <w:i/>
          <w:sz w:val="20"/>
          <w:szCs w:val="20"/>
        </w:rPr>
        <w:t>Beihang</w:t>
      </w:r>
      <w:proofErr w:type="spellEnd"/>
      <w:r w:rsidRPr="00A42EEC">
        <w:rPr>
          <w:i/>
          <w:sz w:val="20"/>
          <w:szCs w:val="20"/>
        </w:rPr>
        <w:t xml:space="preserve"> University, Beijing, China</w:t>
      </w:r>
    </w:p>
    <w:p w14:paraId="06081A66" w14:textId="0EA75C6D" w:rsidR="00C77361" w:rsidRPr="00C77361" w:rsidRDefault="00C77361" w:rsidP="0086278A">
      <w:pPr>
        <w:autoSpaceDE w:val="0"/>
        <w:autoSpaceDN w:val="0"/>
        <w:adjustRightInd w:val="0"/>
        <w:spacing w:after="40"/>
        <w:rPr>
          <w:i/>
          <w:iCs/>
          <w:sz w:val="20"/>
          <w:szCs w:val="20"/>
        </w:rPr>
      </w:pPr>
      <w:r>
        <w:rPr>
          <w:i/>
          <w:sz w:val="20"/>
          <w:szCs w:val="20"/>
          <w:vertAlign w:val="superscript"/>
        </w:rPr>
        <w:t>6</w:t>
      </w:r>
      <w:r>
        <w:rPr>
          <w:i/>
          <w:sz w:val="20"/>
          <w:szCs w:val="20"/>
        </w:rPr>
        <w:t xml:space="preserve"> </w:t>
      </w:r>
      <w:bookmarkStart w:id="0" w:name="_Hlk67929328"/>
      <w:r w:rsidRPr="00C77361">
        <w:rPr>
          <w:i/>
          <w:sz w:val="20"/>
          <w:szCs w:val="20"/>
        </w:rPr>
        <w:t xml:space="preserve">International Institute for Applied Systems Analysis, </w:t>
      </w:r>
      <w:proofErr w:type="spellStart"/>
      <w:r w:rsidRPr="00C77361">
        <w:rPr>
          <w:i/>
          <w:sz w:val="20"/>
          <w:szCs w:val="20"/>
        </w:rPr>
        <w:t>Laxenburg</w:t>
      </w:r>
      <w:proofErr w:type="spellEnd"/>
      <w:r w:rsidRPr="00C77361">
        <w:rPr>
          <w:i/>
          <w:sz w:val="20"/>
          <w:szCs w:val="20"/>
        </w:rPr>
        <w:t>, Austria</w:t>
      </w:r>
    </w:p>
    <w:p w14:paraId="0516D90F" w14:textId="10AC1512" w:rsidR="0086278A" w:rsidRPr="00EF41E4" w:rsidRDefault="00C77361" w:rsidP="0086278A">
      <w:pPr>
        <w:autoSpaceDE w:val="0"/>
        <w:autoSpaceDN w:val="0"/>
        <w:adjustRightInd w:val="0"/>
        <w:spacing w:after="40"/>
        <w:rPr>
          <w:i/>
          <w:iCs/>
          <w:sz w:val="20"/>
          <w:szCs w:val="20"/>
        </w:rPr>
      </w:pPr>
      <w:r>
        <w:rPr>
          <w:sz w:val="20"/>
          <w:szCs w:val="20"/>
          <w:vertAlign w:val="superscript"/>
        </w:rPr>
        <w:t>7</w:t>
      </w:r>
      <w:r w:rsidR="0086278A" w:rsidRPr="008A34A2">
        <w:rPr>
          <w:i/>
          <w:sz w:val="20"/>
          <w:szCs w:val="20"/>
        </w:rPr>
        <w:t xml:space="preserve"> </w:t>
      </w:r>
      <w:bookmarkEnd w:id="0"/>
      <w:r w:rsidR="0086278A" w:rsidRPr="008A34A2">
        <w:rPr>
          <w:i/>
          <w:sz w:val="20"/>
          <w:szCs w:val="20"/>
        </w:rPr>
        <w:t>Department of Earth System Science, University of California, Irvine, Irvine, CA, USA</w:t>
      </w:r>
    </w:p>
    <w:p w14:paraId="4E373997" w14:textId="77777777" w:rsidR="00CA5DCE" w:rsidRDefault="00CA5DCE" w:rsidP="00AA63CD">
      <w:pPr>
        <w:snapToGrid w:val="0"/>
        <w:spacing w:after="100" w:afterAutospacing="1" w:line="360" w:lineRule="auto"/>
      </w:pPr>
    </w:p>
    <w:p w14:paraId="37A92B93" w14:textId="77777777" w:rsidR="00CA5DCE" w:rsidRDefault="00CA5DCE" w:rsidP="00AA63CD">
      <w:pPr>
        <w:snapToGrid w:val="0"/>
        <w:spacing w:after="100" w:afterAutospacing="1" w:line="360" w:lineRule="auto"/>
      </w:pPr>
      <w:r>
        <w:t xml:space="preserve">*corresponding email: </w:t>
      </w:r>
      <w:hyperlink r:id="rId8" w:history="1">
        <w:r w:rsidRPr="000A393A">
          <w:rPr>
            <w:rStyle w:val="afb"/>
          </w:rPr>
          <w:t>guandabo@tsinghua.edu.cn</w:t>
        </w:r>
      </w:hyperlink>
      <w:r>
        <w:t xml:space="preserve"> </w:t>
      </w:r>
    </w:p>
    <w:p w14:paraId="15B2C9A5" w14:textId="12DDCC76" w:rsidR="00F4206D" w:rsidRDefault="00F4206D" w:rsidP="00AA63CD">
      <w:pPr>
        <w:spacing w:after="100" w:afterAutospacing="1" w:line="360" w:lineRule="auto"/>
        <w:sectPr w:rsidR="00F4206D">
          <w:footerReference w:type="even" r:id="rId9"/>
          <w:footerReference w:type="default" r:id="rId10"/>
          <w:pgSz w:w="11906" w:h="16838"/>
          <w:pgMar w:top="1440" w:right="1800" w:bottom="1440" w:left="1800" w:header="851" w:footer="992" w:gutter="0"/>
          <w:cols w:space="425"/>
          <w:docGrid w:type="lines" w:linePitch="312"/>
        </w:sectPr>
      </w:pPr>
    </w:p>
    <w:p w14:paraId="2DE9CB98" w14:textId="2AC425D3" w:rsidR="00F929C2" w:rsidRDefault="00D50F1D" w:rsidP="00AA63CD">
      <w:pPr>
        <w:pStyle w:val="1"/>
        <w:numPr>
          <w:ilvl w:val="0"/>
          <w:numId w:val="27"/>
        </w:numPr>
        <w:spacing w:after="100" w:afterAutospacing="1" w:line="360" w:lineRule="auto"/>
        <w:ind w:firstLine="0"/>
      </w:pPr>
      <w:r w:rsidRPr="00214EFC">
        <w:rPr>
          <w:rStyle w:val="addressChar"/>
          <w:rFonts w:eastAsiaTheme="minorEastAsia" w:cs="Times New Roman"/>
          <w:b/>
          <w:sz w:val="24"/>
        </w:rPr>
        <w:lastRenderedPageBreak/>
        <w:t>Supp</w:t>
      </w:r>
      <w:r>
        <w:rPr>
          <w:rStyle w:val="addressChar"/>
          <w:rFonts w:eastAsiaTheme="minorEastAsia" w:cs="Times New Roman"/>
          <w:b/>
          <w:sz w:val="24"/>
        </w:rPr>
        <w:t>lementary</w:t>
      </w:r>
      <w:r w:rsidRPr="00214EFC">
        <w:rPr>
          <w:rStyle w:val="addressChar"/>
          <w:rFonts w:eastAsiaTheme="minorEastAsia" w:cs="Times New Roman"/>
          <w:b/>
          <w:sz w:val="24"/>
        </w:rPr>
        <w:t xml:space="preserve"> </w:t>
      </w:r>
      <w:r w:rsidR="00332EE5" w:rsidRPr="00214EFC">
        <w:rPr>
          <w:rStyle w:val="addressChar"/>
          <w:rFonts w:eastAsiaTheme="minorEastAsia" w:cs="Times New Roman"/>
          <w:b/>
          <w:sz w:val="24"/>
        </w:rPr>
        <w:t>M</w:t>
      </w:r>
      <w:r w:rsidR="00A35EEE" w:rsidRPr="00214EFC">
        <w:rPr>
          <w:rStyle w:val="addressChar"/>
          <w:rFonts w:eastAsiaTheme="minorEastAsia" w:cs="Times New Roman"/>
          <w:b/>
          <w:sz w:val="24"/>
        </w:rPr>
        <w:t>ethod</w:t>
      </w:r>
      <w:r w:rsidR="00504709">
        <w:rPr>
          <w:rStyle w:val="addressChar"/>
          <w:rFonts w:eastAsiaTheme="minorEastAsia" w:cs="Times New Roman"/>
          <w:b/>
          <w:sz w:val="24"/>
        </w:rPr>
        <w:t>s</w:t>
      </w:r>
    </w:p>
    <w:p w14:paraId="65346C0B" w14:textId="51852284" w:rsidR="0044512E" w:rsidRPr="00E309AB" w:rsidRDefault="0044512E" w:rsidP="00AA63CD">
      <w:pPr>
        <w:spacing w:after="100" w:afterAutospacing="1" w:line="360" w:lineRule="auto"/>
      </w:pPr>
      <w:r>
        <w:rPr>
          <w:rFonts w:hint="eastAsia"/>
        </w:rPr>
        <w:t>T</w:t>
      </w:r>
      <w:r>
        <w:t xml:space="preserve">his section provides supplementary methods for the main text. In this work, country-level </w:t>
      </w:r>
      <w:r w:rsidR="009669F6" w:rsidRPr="009669F6">
        <w:t>CO</w:t>
      </w:r>
      <w:r w:rsidR="009669F6" w:rsidRPr="009669F6">
        <w:rPr>
          <w:vertAlign w:val="subscript"/>
        </w:rPr>
        <w:t>2</w:t>
      </w:r>
      <w:r>
        <w:t xml:space="preserve"> emissions data cover a time span of 2010-2040, in which the data of 2010-20</w:t>
      </w:r>
      <w:r w:rsidR="00EB68F6">
        <w:t>19</w:t>
      </w:r>
      <w:r>
        <w:t xml:space="preserve"> are mainly collected from International Energy Agency, the data of 2020-2024 are resulted from Adaptive Regional Input Output model (section </w:t>
      </w:r>
      <w:r>
        <w:fldChar w:fldCharType="begin"/>
      </w:r>
      <w:r>
        <w:instrText xml:space="preserve"> REF _Ref67686756 \r \h </w:instrText>
      </w:r>
      <w:r>
        <w:fldChar w:fldCharType="separate"/>
      </w:r>
      <w:r w:rsidR="00E309AB">
        <w:t>1.1</w:t>
      </w:r>
      <w:r>
        <w:fldChar w:fldCharType="end"/>
      </w:r>
      <w:r>
        <w:t>), and the data of 2025-2040</w:t>
      </w:r>
      <w:r w:rsidR="00012C58">
        <w:t xml:space="preserve"> are updated according to the trend of IIASA</w:t>
      </w:r>
      <w:r w:rsidR="005B0851">
        <w:t>’s</w:t>
      </w:r>
      <w:r w:rsidR="00012C58">
        <w:t xml:space="preserve"> GAINS</w:t>
      </w:r>
      <w:r w:rsidR="005B0851">
        <w:t xml:space="preserve"> SSP2 scenario</w:t>
      </w:r>
      <w:r w:rsidR="00012C58">
        <w:t xml:space="preserve">, the COVID impact and the historical trend, as shown in </w:t>
      </w:r>
      <w:r w:rsidR="00012C58">
        <w:fldChar w:fldCharType="begin"/>
      </w:r>
      <w:r w:rsidR="00012C58">
        <w:instrText xml:space="preserve"> REF _Ref67691634 \h </w:instrText>
      </w:r>
      <w:r w:rsidR="00012C58">
        <w:fldChar w:fldCharType="separate"/>
      </w:r>
      <w:r w:rsidR="00E309AB">
        <w:t xml:space="preserve">Figure S </w:t>
      </w:r>
      <w:r w:rsidR="00E309AB">
        <w:rPr>
          <w:noProof/>
        </w:rPr>
        <w:t>1</w:t>
      </w:r>
      <w:r w:rsidR="00012C58">
        <w:fldChar w:fldCharType="end"/>
      </w:r>
      <w:r w:rsidR="00012C58">
        <w:t xml:space="preserve">. Considering different levels of COVID lockdown, a no-COVID baseline and three COVID lockdown scenarios are simulated in the period of 2020-2024; after that, three sets of low-carbon scenarios, </w:t>
      </w:r>
      <w:proofErr w:type="gramStart"/>
      <w:r w:rsidR="00012C58">
        <w:t>i.e.</w:t>
      </w:r>
      <w:proofErr w:type="gramEnd"/>
      <w:r w:rsidR="00012C58">
        <w:t xml:space="preserve"> no policy, low carbon, and extreme low carbon are </w:t>
      </w:r>
      <w:r w:rsidR="005B0851">
        <w:t>developed</w:t>
      </w:r>
      <w:r w:rsidR="00012C58">
        <w:t xml:space="preserve"> during the period 2025-2040. Then, over 2025-2040 there are 3*4=12 scenarios combining different COVID lockdown impact and low-carbon pathways. Detailed descriptions of the scenarios are in section </w:t>
      </w:r>
      <w:r w:rsidR="00CF2524">
        <w:fldChar w:fldCharType="begin"/>
      </w:r>
      <w:r w:rsidR="00CF2524">
        <w:instrText xml:space="preserve"> REF _Ref67686756 \r \h </w:instrText>
      </w:r>
      <w:r w:rsidR="00CF2524">
        <w:fldChar w:fldCharType="separate"/>
      </w:r>
      <w:r w:rsidR="00E309AB">
        <w:t>1.1</w:t>
      </w:r>
      <w:r w:rsidR="00CF2524">
        <w:fldChar w:fldCharType="end"/>
      </w:r>
      <w:r w:rsidR="00CF2524">
        <w:t xml:space="preserve"> and </w:t>
      </w:r>
      <w:r w:rsidR="00CF2524">
        <w:fldChar w:fldCharType="begin"/>
      </w:r>
      <w:r w:rsidR="00CF2524">
        <w:instrText xml:space="preserve"> REF _Ref67687275 \r \h </w:instrText>
      </w:r>
      <w:r w:rsidR="00CF2524">
        <w:fldChar w:fldCharType="separate"/>
      </w:r>
      <w:r w:rsidR="00E309AB">
        <w:t>1.2</w:t>
      </w:r>
      <w:r w:rsidR="00CF2524">
        <w:fldChar w:fldCharType="end"/>
      </w:r>
      <w:r w:rsidR="00CF2524">
        <w:t>.</w:t>
      </w:r>
    </w:p>
    <w:p w14:paraId="50022C75" w14:textId="664F63C9" w:rsidR="00F929C2" w:rsidRDefault="00CC5E22" w:rsidP="00AA63CD">
      <w:pPr>
        <w:spacing w:after="100" w:afterAutospacing="1" w:line="360" w:lineRule="auto"/>
      </w:pPr>
      <w:r>
        <w:rPr>
          <w:noProof/>
        </w:rPr>
        <w:drawing>
          <wp:inline distT="0" distB="0" distL="0" distR="0" wp14:anchorId="7A74D612" wp14:editId="054FED4D">
            <wp:extent cx="5270500" cy="36957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0" cy="3695700"/>
                    </a:xfrm>
                    <a:prstGeom prst="rect">
                      <a:avLst/>
                    </a:prstGeom>
                    <a:noFill/>
                    <a:ln>
                      <a:noFill/>
                    </a:ln>
                  </pic:spPr>
                </pic:pic>
              </a:graphicData>
            </a:graphic>
          </wp:inline>
        </w:drawing>
      </w:r>
    </w:p>
    <w:p w14:paraId="3CA63B65" w14:textId="430BFAA9" w:rsidR="0044512E" w:rsidRPr="005951B5" w:rsidRDefault="0044512E" w:rsidP="00AA63CD">
      <w:pPr>
        <w:pStyle w:val="af6"/>
        <w:spacing w:after="100" w:afterAutospacing="1" w:line="360" w:lineRule="auto"/>
      </w:pPr>
      <w:bookmarkStart w:id="1" w:name="_Ref67691634"/>
      <w:r>
        <w:t xml:space="preserve">Figure S </w:t>
      </w:r>
      <w:fldSimple w:instr=" SEQ Figure_S \* ARABIC ">
        <w:r w:rsidR="001E11D5">
          <w:rPr>
            <w:noProof/>
          </w:rPr>
          <w:t>1</w:t>
        </w:r>
      </w:fldSimple>
      <w:bookmarkEnd w:id="1"/>
      <w:r>
        <w:t xml:space="preserve"> Framework of the methods and data in this work.</w:t>
      </w:r>
      <w:r w:rsidR="004A4CC7">
        <w:t xml:space="preserve"> T</w:t>
      </w:r>
      <w:r w:rsidR="004A4CC7">
        <w:rPr>
          <w:rFonts w:hint="eastAsia"/>
        </w:rPr>
        <w:t>he</w:t>
      </w:r>
      <w:r w:rsidR="004A4CC7">
        <w:t xml:space="preserve"> orange rectangles represent the 12 scenarios over 2025-2040, which are combinations of four COVID lockdown scenarios and three low-carbon pathways (shown in blue-bordered rectangles). Scenarios in bold are presented in the main text. </w:t>
      </w:r>
      <w:r w:rsidR="004A4CC7">
        <w:lastRenderedPageBreak/>
        <w:t xml:space="preserve">Detailed descriptions of the scenarios are in section </w:t>
      </w:r>
      <w:r w:rsidR="004A4CC7">
        <w:fldChar w:fldCharType="begin"/>
      </w:r>
      <w:r w:rsidR="004A4CC7">
        <w:instrText xml:space="preserve"> REF _Ref67686756 \r \h </w:instrText>
      </w:r>
      <w:r w:rsidR="004A4CC7">
        <w:fldChar w:fldCharType="separate"/>
      </w:r>
      <w:r w:rsidR="004A4CC7">
        <w:t>1.1</w:t>
      </w:r>
      <w:r w:rsidR="004A4CC7">
        <w:fldChar w:fldCharType="end"/>
      </w:r>
      <w:r w:rsidR="004A4CC7">
        <w:t xml:space="preserve"> and </w:t>
      </w:r>
      <w:r w:rsidR="004A4CC7">
        <w:fldChar w:fldCharType="begin"/>
      </w:r>
      <w:r w:rsidR="004A4CC7">
        <w:instrText xml:space="preserve"> REF _Ref67687275 \r \h </w:instrText>
      </w:r>
      <w:r w:rsidR="004A4CC7">
        <w:fldChar w:fldCharType="separate"/>
      </w:r>
      <w:r w:rsidR="004A4CC7">
        <w:t>1.2</w:t>
      </w:r>
      <w:r w:rsidR="004A4CC7">
        <w:fldChar w:fldCharType="end"/>
      </w:r>
      <w:r w:rsidR="004A4CC7">
        <w:t>.</w:t>
      </w:r>
    </w:p>
    <w:p w14:paraId="7C39C08C" w14:textId="35342D50" w:rsidR="00A35EEE" w:rsidRPr="00504709" w:rsidRDefault="00EB0F85" w:rsidP="00AA63CD">
      <w:pPr>
        <w:pStyle w:val="2"/>
        <w:numPr>
          <w:ilvl w:val="1"/>
          <w:numId w:val="27"/>
        </w:numPr>
        <w:spacing w:after="100" w:afterAutospacing="1" w:line="360" w:lineRule="auto"/>
        <w:ind w:firstLine="0"/>
      </w:pPr>
      <w:bookmarkStart w:id="2" w:name="_Ref67686756"/>
      <w:r>
        <w:t>Socioeconomic development</w:t>
      </w:r>
      <w:r w:rsidR="005D5118">
        <w:t>s</w:t>
      </w:r>
      <w:r>
        <w:t xml:space="preserve"> and emissions during </w:t>
      </w:r>
      <w:r w:rsidR="00B76719" w:rsidRPr="00504709">
        <w:t>COVID</w:t>
      </w:r>
      <w:r w:rsidR="00504709" w:rsidRPr="00504709">
        <w:t>-</w:t>
      </w:r>
      <w:r w:rsidR="00B76719" w:rsidRPr="00504709">
        <w:t>19</w:t>
      </w:r>
      <w:r w:rsidR="005D5118">
        <w:t xml:space="preserve"> (2020-2024)</w:t>
      </w:r>
      <w:bookmarkEnd w:id="2"/>
      <w:r w:rsidR="00B76719" w:rsidRPr="00504709">
        <w:t xml:space="preserve"> </w:t>
      </w:r>
    </w:p>
    <w:p w14:paraId="7C39C08D" w14:textId="042AD10B" w:rsidR="00A35EEE" w:rsidRPr="00214EFC" w:rsidRDefault="00EE352C" w:rsidP="00AA63CD">
      <w:pPr>
        <w:pStyle w:val="3"/>
        <w:numPr>
          <w:ilvl w:val="0"/>
          <w:numId w:val="0"/>
        </w:numPr>
        <w:spacing w:after="100" w:afterAutospacing="1" w:line="360" w:lineRule="auto"/>
        <w:ind w:left="720"/>
      </w:pPr>
      <w:r>
        <w:rPr>
          <w:rFonts w:hint="eastAsia"/>
        </w:rPr>
        <w:t>1</w:t>
      </w:r>
      <w:r w:rsidR="00D50F1D">
        <w:t xml:space="preserve">.1.1 </w:t>
      </w:r>
      <w:r w:rsidR="00A35EEE" w:rsidRPr="00214EFC">
        <w:t>Economic impact model</w:t>
      </w:r>
      <w:r w:rsidR="00CA5DCE">
        <w:rPr>
          <w:rFonts w:hint="eastAsia"/>
        </w:rPr>
        <w:t>l</w:t>
      </w:r>
      <w:r w:rsidR="00CA5DCE">
        <w:t>ing based on D</w:t>
      </w:r>
      <w:r w:rsidR="0084302E" w:rsidRPr="00E309AB">
        <w:rPr>
          <w:rFonts w:hint="eastAsia"/>
        </w:rPr>
        <w:t>i</w:t>
      </w:r>
      <w:r w:rsidR="0084302E" w:rsidRPr="00E309AB">
        <w:t xml:space="preserve">saster </w:t>
      </w:r>
      <w:r w:rsidR="00CA5DCE">
        <w:t>F</w:t>
      </w:r>
      <w:r w:rsidR="0084302E" w:rsidRPr="00E309AB">
        <w:t xml:space="preserve">ootprint </w:t>
      </w:r>
      <w:r w:rsidR="00CA5DCE">
        <w:t>Analysis</w:t>
      </w:r>
    </w:p>
    <w:p w14:paraId="66B00967" w14:textId="711E8980" w:rsidR="00A40127" w:rsidRDefault="00A35EEE" w:rsidP="00AA63CD">
      <w:pPr>
        <w:snapToGrid w:val="0"/>
        <w:spacing w:after="100" w:afterAutospacing="1" w:line="360" w:lineRule="auto"/>
        <w:rPr>
          <w:rStyle w:val="revised"/>
          <w:rFonts w:ascii="Times New Roman" w:hAnsi="Times New Roman" w:cs="Times New Roman"/>
          <w:color w:val="auto"/>
        </w:rPr>
      </w:pPr>
      <w:bookmarkStart w:id="3" w:name="_Hlk56527103"/>
      <w:bookmarkStart w:id="4" w:name="OLE_LINK14"/>
      <w:r w:rsidRPr="00214EFC">
        <w:t>Bo</w:t>
      </w:r>
      <w:bookmarkStart w:id="5" w:name="_Hlk56527084"/>
      <w:r w:rsidRPr="00214EFC">
        <w:t>th</w:t>
      </w:r>
      <w:bookmarkEnd w:id="5"/>
      <w:r w:rsidRPr="00214EFC">
        <w:t xml:space="preserve"> Input-Output (IO) model and Computable General Equilibrium (CGE) model are widely used in assessing the economic consequences of disaster events. IO is more popular for sudden disasters </w:t>
      </w:r>
      <w:bookmarkEnd w:id="3"/>
      <w:bookmarkEnd w:id="4"/>
      <w:r w:rsidRPr="00214EFC">
        <w:t>with the benefits in its simplicity and ability to reflect interdependencies of economic sectors, while CGE may be overly optimistic in terms of market flexibility in the short run</w:t>
      </w:r>
      <w:r w:rsidR="00894129">
        <w:fldChar w:fldCharType="begin"/>
      </w:r>
      <w:r w:rsidR="00894129">
        <w:instrText xml:space="preserve"> ADDIN ZOTERO_ITEM CSL_CITATION {"citationID":"RdVOa2yL","properties":{"formattedCitation":"\\super 1\\nosupersub{}","plainCitation":"1","noteIndex":0},"citationItems":[{"id":1151,"uris":["http://zotero.org/users/4340498/items/QLA62YZ7"],"uri":["http://zotero.org/users/4340498/items/QLA62YZ7"],"itemData":{"id":1151,"type":"article-journal","abstract":"A variety of models have been applied to assess the economic losses of disasters, of which the most common ones are input-output (IO) and computable general equilibrium (CGE) models. In addition, an increasing number of scholars have developed hybrid approaches: one that combines both or either of them in combination with noneconomic methods. While both IO and CGE models are widely used, they are mainly compared on theoretical grounds. Few studies have compared disaster impacts of different model types in a systematic way and for the same geographical area, using similar input data. Such a comparison is valuable from both a scientific and policy perspective as the magnitude and the spatial distribution of the estimated losses are born likely to vary with the chosen modelling approach (IO, CGE, or hybrid). Hence, regional disaster impact loss estimates resulting from a range of models facilitate better decisions and policy making. Therefore, this study analyses the economic consequences for a specific case study, using three regional disaster impact models: two hybrid IO models and a CGE model. The case study concerns two flood scenarios in the Po River basin in Italy. Modelling results indicate that the difference in estimated total (national) economic losses and the regional distribution of those losses may vary by up to a factor of 7 between the three models, depending on the type of recovery path. Total economic impact, comprising all Italian regions, is negative in all models though.","container-title":"Natural Hazards and Earth System Sciences","ISSN":"1561-8633","issue":"8","language":"en","note":"publisher: Copernicus Publications","source":"ora.ox.ac.uk","title":"Regional disaster impact analysis: comparing input–output and computable general equilibrium models","title-short":"Regional disaster impact analysis","URL":"https://ora.ox.ac.uk/objects/uuid:51e94d62-735e-4b26-b9c4-d64ea5cc12e8","volume":"16","author":[{"family":"Koks","given":"E. E."},{"family":"Carrera","given":"L."},{"family":"Jonkeren","given":"O."},{"family":"Aerts","given":"Jcjh"},{"family":"Husby","given":"T. G."},{"family":"Thissen","given":"M."},{"family":"Standardi","given":"G."},{"family":"Mysiak","given":"J."}],"accessed":{"date-parts":[["2020",11,26]]},"issued":{"date-parts":[["2016"]]}}}],"schema":"https://github.com/citation-style-language/schema/raw/master/csl-citation.json"} </w:instrText>
      </w:r>
      <w:r w:rsidR="00894129">
        <w:fldChar w:fldCharType="separate"/>
      </w:r>
      <w:r w:rsidR="00894129" w:rsidRPr="00894129">
        <w:rPr>
          <w:kern w:val="0"/>
          <w:szCs w:val="24"/>
          <w:vertAlign w:val="superscript"/>
        </w:rPr>
        <w:t>1</w:t>
      </w:r>
      <w:r w:rsidR="00894129">
        <w:fldChar w:fldCharType="end"/>
      </w:r>
      <w:r w:rsidRPr="00214EFC">
        <w:t xml:space="preserve">. To overcome the rigidity of IO (i.e. the flexibility of economic transactions is ignored), </w:t>
      </w:r>
      <w:r w:rsidR="00894129">
        <w:t>H</w:t>
      </w:r>
      <w:r w:rsidR="00894129">
        <w:rPr>
          <w:rFonts w:hint="eastAsia"/>
        </w:rPr>
        <w:t>allegatte</w:t>
      </w:r>
      <w:r w:rsidR="00894129">
        <w:fldChar w:fldCharType="begin"/>
      </w:r>
      <w:r w:rsidR="00894129">
        <w:instrText xml:space="preserve"> ADDIN ZOTERO_ITEM CSL_CITATION {"citationID":"lIEgJRRi","properties":{"formattedCitation":"\\super 2\\nosupersub{}","plainCitation":"2","noteIndex":0},"citationItems":[{"id":1137,"uris":["http://zotero.org/users/4340498/items/U9QM4SZR"],"uri":["http://zo</w:instrText>
      </w:r>
      <w:r w:rsidR="00894129">
        <w:rPr>
          <w:rFonts w:hint="eastAsia"/>
        </w:rPr>
        <w:instrText>tero.org/users/4340498/items/U9QM4SZR"],"itemData":{"id":1137,"type":"article-journal","container-title":"Risk Analysis","title":"An Adaptive Regional Input</w:instrText>
      </w:r>
      <w:r w:rsidR="00894129">
        <w:rPr>
          <w:rFonts w:hint="eastAsia"/>
        </w:rPr>
        <w:instrText>‐</w:instrText>
      </w:r>
      <w:r w:rsidR="00894129">
        <w:rPr>
          <w:rFonts w:hint="eastAsia"/>
        </w:rPr>
        <w:instrText>Output Model and its Application to the Assessment of the Economic Cost of Katrina","URL":"https:/</w:instrText>
      </w:r>
      <w:r w:rsidR="00894129">
        <w:instrText xml:space="preserve">/onlinelibrary.wiley.com/doi/full/10.1111/j.1539-6924.2008.01046.x","author":[{"family":"Hallegatte","given":"Stéphane"}],"accessed":{"date-parts":[["2020",11,26]]},"issued":{"date-parts":[["2008"]]}}}],"schema":"https://github.com/citation-style-language/schema/raw/master/csl-citation.json"} </w:instrText>
      </w:r>
      <w:r w:rsidR="00894129">
        <w:fldChar w:fldCharType="separate"/>
      </w:r>
      <w:r w:rsidR="00894129" w:rsidRPr="00894129">
        <w:rPr>
          <w:kern w:val="0"/>
          <w:szCs w:val="24"/>
          <w:vertAlign w:val="superscript"/>
        </w:rPr>
        <w:t>2</w:t>
      </w:r>
      <w:r w:rsidR="00894129">
        <w:fldChar w:fldCharType="end"/>
      </w:r>
      <w:r w:rsidR="00894129">
        <w:t xml:space="preserve"> </w:t>
      </w:r>
      <w:r w:rsidRPr="00214EFC">
        <w:t xml:space="preserve">developed an Adaptive Regional Input-Output model (ARIO). The ARIO model can be used to </w:t>
      </w:r>
      <w:proofErr w:type="spellStart"/>
      <w:r w:rsidRPr="00214EFC">
        <w:t>analyse</w:t>
      </w:r>
      <w:proofErr w:type="spellEnd"/>
      <w:r w:rsidRPr="00214EFC">
        <w:t xml:space="preserve"> the disaster-induced influence on regional economy by incorporating the production capacity constraints resulting from capital loss and changes of consumption </w:t>
      </w:r>
      <w:proofErr w:type="spellStart"/>
      <w:r w:rsidRPr="00214EFC">
        <w:t>behaviour</w:t>
      </w:r>
      <w:proofErr w:type="spellEnd"/>
      <w:r w:rsidRPr="00214EFC">
        <w:t xml:space="preserve"> within pre- and post-disaster period, as well as possibilities of over-production</w:t>
      </w:r>
      <w:bookmarkStart w:id="6" w:name="OLE_LINK1"/>
      <w:r w:rsidR="00894129">
        <w:fldChar w:fldCharType="begin"/>
      </w:r>
      <w:r w:rsidR="00894129">
        <w:instrText xml:space="preserve"> ADDIN ZOTERO_ITEM CSL_CITATION {"citationID":"e4H6wQrD","properties":{"formattedCitation":"\\super 3,4\\nosupersub{}","plainCitation":"3,4","noteIndex":0},"citationItems":[{"id":1139,"uris":["http://zotero.org/users/4340498/items/GNMHXZSJ"],"uri":["http://zotero.org/users/4340498/items/GNMHXZSJ"],"itemData":{"id":1139,"type":"article-journal","abstract":"Estimates of the cost of potential disasters, including indirect economic consequences, are an important input in the design of risk management strategies. The adaptive regional input-output (ARIO) inventory model is a tool to assess indirect disaster losses and to analyze their drivers. It is based on an input-output structure, but it also (i) explicitly represents production bottlenecks and input scarcity and (ii) introduces inventories as an additional flexibility in the production system. This modeling strategy distinguishes between (i) essential supplies that cannot be stocked (e.g., electricity, water) and whose scarcity can paralyze all economic activity; (ii) essential supplies that can be stocked at least temporarily (e.g., steel, chemicals), whose scarcity creates problems only over the medium term; and (iii) supplies that are not essential in the production process, whose scarcity is problematic only over the long run and are therefore easy to replace with imports. The model is applied to the landfall of Hurricane Katrina in Louisiana and identifies two periods in the disaster aftermath: (1) the first year, during which production bottlenecks are responsible for large output losses; (2) the rest of the reconstruction period, during which bottlenecks are inexistent and output losses lower. This analysis also suggests important research questions and policy options to mitigate disaster-related output losses.","container-title":"Risk Analysis","DOI":"https://doi.org/10.1111/risa.12090","ISSN":"1539-6924","issue":"1","language":"en","note":"_eprint: https://onlinelibrary.wiley.com/doi/pdf/10.1111/risa.12090","page":"152-167","source":"Wiley Online Library","title":"Modeling the Role of Inventories and Heterogeneity in the Assessment of the Economic Costs of Natural Disasters","volume":"34","author":[{"family":"Hallegatte","given":"Stéphane"}],"issued":{"date-parts":[["2014"]]}}},{"id":1140,"uris":["http://zotero.org/users/4340498/items/C454BAE6"],"uri":["http://zotero.org/users/4340498/items/C454BAE6"],"itemData":{"id":1140,"type":"article-journal","abstract":"Social and economic networks can be a channel of negative shocks and thus deteriorate resilience and sustainability in societies. This study focuses on supply chains, or supplier–customer networks of firms and examines how these supply chains enable production losses caused by natural disasters to propagate and persist in regions not directly affected by the disaster. We apply an agent-based model to the actual supply chains of nearly one million firms in Japan to estimate the direct and indirect effects of the 2011 Great East Japan earthquake. We then employ the same model to predict the effect of the Nankai Trough earthquake, a mega earthquake predicted to hit major industrial cities in Japan in the near future. We find that the indirect effects of the disasters on production due to propagation (10.6% of gross domestic product in the case of the Nankai earthquake) are substantially larger than their direct effects (0.5%). Our simulation analyses to compare the actual network with hypothetical networks suggest that these indirect effects are more prominent and persistent when supply chains are characterized by scale-free properties, difficulty in substitution among intermediate products, and complex cycles in networks.","container-title":"Nature Sustainability","DOI":"10.1038/s41893-019-0351-x","ISSN":"2398-9629","issue":"9","language":"en","note":"number: 9\npublisher: Nature Publishing Group","page":"841-847","source":"www.nature.com","title":"Firm-level propagation of shocks through supply-chain networks","volume":"2","author":[{"family":"Inoue","given":"Hiroyasu"},{"family":"Todo","given":"Yasuyuki"}],"issued":{"date-parts":[["2019",9]]}}}],"schema":"https://github.com/citation-style-language/schema/raw/master/csl-citation.json"} </w:instrText>
      </w:r>
      <w:r w:rsidR="00894129">
        <w:fldChar w:fldCharType="separate"/>
      </w:r>
      <w:r w:rsidR="00894129" w:rsidRPr="00894129">
        <w:rPr>
          <w:kern w:val="0"/>
          <w:szCs w:val="24"/>
          <w:vertAlign w:val="superscript"/>
        </w:rPr>
        <w:t>3,4</w:t>
      </w:r>
      <w:r w:rsidR="00894129">
        <w:fldChar w:fldCharType="end"/>
      </w:r>
      <w:bookmarkEnd w:id="6"/>
      <w:r w:rsidRPr="00214EFC">
        <w:t xml:space="preserve">. </w:t>
      </w:r>
      <w:r w:rsidRPr="00214EFC">
        <w:rPr>
          <w:rStyle w:val="revised"/>
          <w:rFonts w:ascii="Times New Roman" w:hAnsi="Times New Roman" w:cs="Times New Roman"/>
          <w:color w:val="auto"/>
        </w:rPr>
        <w:t xml:space="preserve">Equipped with different datasets of input-output linkages, the ARIO model has been used for the impact of COVID-19 in different regions on the local economy. </w:t>
      </w:r>
      <w:r w:rsidR="00894129">
        <w:rPr>
          <w:rStyle w:val="revised"/>
          <w:rFonts w:ascii="Times New Roman" w:hAnsi="Times New Roman" w:cs="Times New Roman"/>
          <w:color w:val="auto"/>
        </w:rPr>
        <w:t xml:space="preserve">Inoue and </w:t>
      </w:r>
      <w:proofErr w:type="spellStart"/>
      <w:r w:rsidR="00894129">
        <w:rPr>
          <w:rStyle w:val="revised"/>
          <w:rFonts w:ascii="Times New Roman" w:hAnsi="Times New Roman" w:cs="Times New Roman"/>
          <w:color w:val="auto"/>
        </w:rPr>
        <w:t>Todo</w:t>
      </w:r>
      <w:proofErr w:type="spellEnd"/>
      <w:r w:rsidR="00894129">
        <w:rPr>
          <w:rStyle w:val="revised"/>
          <w:rFonts w:ascii="Times New Roman" w:hAnsi="Times New Roman" w:cs="Times New Roman"/>
          <w:color w:val="auto"/>
        </w:rPr>
        <w:fldChar w:fldCharType="begin"/>
      </w:r>
      <w:r w:rsidR="00894129">
        <w:rPr>
          <w:rStyle w:val="revised"/>
          <w:rFonts w:ascii="Times New Roman" w:hAnsi="Times New Roman" w:cs="Times New Roman"/>
          <w:color w:val="auto"/>
        </w:rPr>
        <w:instrText xml:space="preserve"> ADDIN ZOTERO_ITEM CSL_CITATION {"citationID":"kKILbmaQ","properties":{"formattedCitation":"\\super 5\\nosupersub{}","plainCitation":"5","noteIndex":0},"citationItems":[{"id":3399,"uris":["http://zotero.org/users/4340498/items/KY6JK6UE"],"uri":["http://zotero.org/users/4340498/items/KY6JK6UE"],"itemData":{"id":3399,"type":"article-journal","abstract":"This study quantifies the economic effect of a possible lockdown of Tokyo to prevent the spread of COVID-19. The negative effect of such a lockdown may propagate to other regions through supply chains because of supply and demand shortages. Applying an agent-based model to the actual supply chains of nearly 1.6 million firms in Japan, we simulate what would happen to production activities outside Tokyo if production activities that are not essential to citizens’ survival in Tokyo were shut down for a certain period. We find that if Tokyo were locked down for a month, the indirect effect on other regions would be twice as large as the direct effect on Tokyo, leading to a total production loss of 27 trillion yen in Japan or 5.2% of the country’s annual GDP. Although the production that would be shut down in Tokyo accounts for 21% of the total production in Japan, the lockdown would result in an 86% reduction of the daily production in Japan after one month.","container-title":"PLOS ONE","DOI":"10.1371/journal.pone.0239251","ISSN":"1932-6203","issue":"9","journalAbbreviation":"PLOS ONE","language":"en","note":"publisher: Public Library of Science","page":"e0239251","source":"PLoS Journals","title":"The propagation of economic impacts through supply chains: The case of a mega-city lockdown to prevent the spread of COVID-19","title-short":"The propagation of economic impacts through supply chains","volume":"15","author":[{"family":"Inoue","given":"Hiroyasu"},{"family":"Todo","given":"Yasuyuki"}],"issued":{"date-parts":[["2020",9,15]]}}}],"schema":"https://github.com/citation-style-language/schema/raw/master/csl-citation.json"} </w:instrText>
      </w:r>
      <w:r w:rsidR="00894129">
        <w:rPr>
          <w:rStyle w:val="revised"/>
          <w:rFonts w:ascii="Times New Roman" w:hAnsi="Times New Roman" w:cs="Times New Roman"/>
          <w:color w:val="auto"/>
        </w:rPr>
        <w:fldChar w:fldCharType="separate"/>
      </w:r>
      <w:r w:rsidR="00894129" w:rsidRPr="00894129">
        <w:rPr>
          <w:kern w:val="0"/>
          <w:szCs w:val="24"/>
          <w:vertAlign w:val="superscript"/>
        </w:rPr>
        <w:t>5</w:t>
      </w:r>
      <w:r w:rsidR="00894129">
        <w:rPr>
          <w:rStyle w:val="revised"/>
          <w:rFonts w:ascii="Times New Roman" w:hAnsi="Times New Roman" w:cs="Times New Roman"/>
          <w:color w:val="auto"/>
        </w:rPr>
        <w:fldChar w:fldCharType="end"/>
      </w:r>
      <w:r w:rsidRPr="00214EFC">
        <w:rPr>
          <w:rStyle w:val="revised"/>
          <w:rFonts w:ascii="Times New Roman" w:hAnsi="Times New Roman" w:cs="Times New Roman"/>
          <w:color w:val="auto"/>
        </w:rPr>
        <w:t xml:space="preserve"> quantifies the economic effect of a possible lockdown of Tokyo to prevent spread of COVID-19 by applying ARIO model to the actual supply chains of nearly 1.6 million firms in Japan. </w:t>
      </w:r>
      <w:r w:rsidRPr="00214EFC">
        <w:fldChar w:fldCharType="begin"/>
      </w:r>
      <w:r w:rsidR="00E96E4B" w:rsidRPr="00214EFC">
        <w:instrText xml:space="preserve"> ADDIN EN.CITE &lt;EndNote&gt;&lt;Cite AuthorYear="1"&gt;&lt;Author&gt;Pichler&lt;/Author&gt;&lt;Year&gt;2020&lt;/Year&gt;&lt;RecNum&gt;5254&lt;/RecNum&gt;&lt;DisplayText&gt;Pichler, et al. &lt;style face="superscript"&gt;6&lt;/style&gt;&lt;/DisplayText&gt;&lt;record&gt;&lt;rec-number&gt;5254&lt;/rec-number&gt;&lt;foreign-keys&gt;&lt;key app="EN" db-id="9azte9a5ia5pr2evpac5pda3sr5x2dfwfert" timestamp="1601736261"&gt;5254&lt;/key&gt;&lt;/foreign-keys&gt;&lt;ref-type name="Journal Article"&gt;17&lt;/ref-type&gt;&lt;contributors&gt;&lt;authors&gt;&lt;author&gt;Pichler, Anton&lt;/author&gt;&lt;author&gt;Pangallo, Marco&lt;/author&gt;&lt;author&gt;del Rio-Chanona, R Maria&lt;/author&gt;&lt;author&gt;Lafond, François&lt;/author&gt;&lt;author&gt;Farmer, J Doyne &lt;/author&gt;&lt;/authors&gt;&lt;/contributors&gt;&lt;titles&gt;&lt;title&gt;Production networks and epidemic spreading: How to restart the UK economy?&lt;/title&gt;&lt;secondary-title&gt;arXiv preprint&lt;/secondary-title&gt;&lt;/titles&gt;&lt;periodical&gt;&lt;full-title&gt;arXiv preprint&lt;/full-title&gt;&lt;/periodical&gt;&lt;volume&gt;2005.10585&lt;/volume&gt;&lt;dates&gt;&lt;year&gt;2020&lt;/year&gt;&lt;/dates&gt;&lt;urls&gt;&lt;/urls&gt;&lt;/record&gt;&lt;/Cite&gt;&lt;/EndNote&gt;</w:instrText>
      </w:r>
      <w:r w:rsidRPr="00214EFC">
        <w:fldChar w:fldCharType="end"/>
      </w:r>
      <w:r w:rsidR="00894129">
        <w:t>Pichler, et al.</w:t>
      </w:r>
      <w:r w:rsidR="00894129">
        <w:fldChar w:fldCharType="begin"/>
      </w:r>
      <w:r w:rsidR="00894129">
        <w:instrText xml:space="preserve"> ADDIN ZOTERO_ITEM CSL_CITATION {"citationID":"i98xBv8L","properties":{"formattedCitation":"\\super 6\\nosupersub{}","plainCitation":"6","noteIndex":0},"citationItems":[{"id":1142,"uris":["http://zotero.org/users/4340498/items/BTBF24BF"],"uri":["http://zotero.org/users/4340498/items/BTBF24BF"],"itemData":{"id":1142,"type":"report","abstract":"We analyse the economics and epidemiology of different scenarios for a phased restart of the UK economy. Our economic model is designed to address the unique features of the COVID-19 pandemic.Social distancing measures affect both supply and demand, and input-output constraints play a key role in restricting economic output. Standard models for production functions are not adequate to model the short-term effects of lockdown. A survey of industry analysts conducted by IHS Markit allows us to evaluate which inputs for each industry are absolutely necessary for production over a two month period.Our model also includes inventory dynamics and feedback between unemployment and consumption. We demonstrate that economic outcomes are very sensitive to the choice of production function, show how supply constraints cause strong network effects, and find some counter-intuitive effects, such as that reopening only a few industries can actually lower aggregate output.  Occupation-specific data and contact surveys allow us to estimate how different industries affect the transmission rate of the disease. We investigate six different re-opening scenarios, presenting our best estimates for the increase in R0 and the increase in GDP. Our results suggest that there is a reasonable compromise that yields a relatively small increase in R0 and delivers a substantial boost in economic output. This corresponds to a situation in which all non-consumer facing industries reopen, schools are open only for workers who need childcare, and everyone who can work from home continues to work from home.","event-place":"Rochester, NY","genre":"SSRN Scholarly Paper","language":"en","note":"DOI: 10.2139/ssrn.3606984","number":"ID 3606984","publisher":"Social Science Research Network","publisher-place":"Rochester, NY","source":"papers.ssrn.com","title":"Production Networks and Epidemic Spreading: How to Restart the UK Economy?","title-short":"Production Networks and Epidemic Spreading","URL":"https://papers.ssrn.com/abstract=3606984","author":[{"family":"Pichler","given":"Anton"},{"family":"Pangallo","given":"Marco"},{"family":"Rio-Chanona","given":"R. Maria","non-dropping-particle":"del"},{"family":"Lafond","given":"François"},{"family":"Farmer","given":"J. Doyne"}],"accessed":{"date-parts":[["2020",11,26]]},"issued":{"date-parts":[["2020",5,21]]}}}],"schema":"https://github.com/citation-style-language/schema/raw/master/csl-citation.json"} </w:instrText>
      </w:r>
      <w:r w:rsidR="00894129">
        <w:fldChar w:fldCharType="separate"/>
      </w:r>
      <w:r w:rsidR="00894129" w:rsidRPr="00894129">
        <w:rPr>
          <w:kern w:val="0"/>
          <w:szCs w:val="24"/>
          <w:vertAlign w:val="superscript"/>
        </w:rPr>
        <w:t>6</w:t>
      </w:r>
      <w:r w:rsidR="00894129">
        <w:fldChar w:fldCharType="end"/>
      </w:r>
      <w:r w:rsidRPr="00214EFC">
        <w:rPr>
          <w:rStyle w:val="revised"/>
          <w:rFonts w:ascii="Times New Roman" w:hAnsi="Times New Roman" w:cs="Times New Roman"/>
          <w:color w:val="auto"/>
        </w:rPr>
        <w:t xml:space="preserve"> employed the ARIO model to assess six re-opening scenarios of the UK economy to find an appropriate economic restart strategy. </w:t>
      </w:r>
    </w:p>
    <w:p w14:paraId="7C39C08E" w14:textId="360E24BD" w:rsidR="00A35EEE" w:rsidRPr="00214EFC" w:rsidRDefault="00FB69CA" w:rsidP="00AA63CD">
      <w:pPr>
        <w:snapToGrid w:val="0"/>
        <w:spacing w:after="100" w:afterAutospacing="1" w:line="360" w:lineRule="auto"/>
      </w:pPr>
      <w:r>
        <w:t>Based on the ARIO model, we built the</w:t>
      </w:r>
      <w:r w:rsidR="00A40127" w:rsidRPr="00F834DC">
        <w:t xml:space="preserve"> </w:t>
      </w:r>
      <w:r w:rsidR="00A40127">
        <w:t xml:space="preserve">Disaster Footprint </w:t>
      </w:r>
      <w:r w:rsidR="00A40127" w:rsidRPr="00F834DC">
        <w:t>model</w:t>
      </w:r>
      <w:r>
        <w:t xml:space="preserve"> that</w:t>
      </w:r>
      <w:r w:rsidR="00A40127" w:rsidRPr="00F834DC">
        <w:t xml:space="preserve"> </w:t>
      </w:r>
      <w:r w:rsidR="00A40127">
        <w:t xml:space="preserve">can </w:t>
      </w:r>
      <w:r w:rsidR="00A40127" w:rsidRPr="00F834DC">
        <w:t xml:space="preserve">overcome the rigidity of </w:t>
      </w:r>
      <w:r w:rsidR="00A40127">
        <w:t xml:space="preserve">input-output model </w:t>
      </w:r>
      <w:r w:rsidR="00A40127" w:rsidRPr="00F834DC">
        <w:t>(i.e. the flexibility of economic transactions is ignored)</w:t>
      </w:r>
      <w:r w:rsidR="00A40127">
        <w:t xml:space="preserve">, which is </w:t>
      </w:r>
      <w:r w:rsidR="00A40127" w:rsidRPr="00F834DC">
        <w:t>used to analyze the disaster-induced influence on regional economy by incorporating the production capacity constraints resulting from capital loss and changes of consumption behavior within pre- and post-disaster period, as well as possibilities of over-production</w:t>
      </w:r>
      <w:r w:rsidR="00894129">
        <w:fldChar w:fldCharType="begin"/>
      </w:r>
      <w:r w:rsidR="00894129">
        <w:instrText xml:space="preserve"> ADDIN ZOTERO_ITEM CSL_CITATION {"citationID":"ySFjixMR","properties":{"formattedCitation":"\\super 3,4\\nosupersub{}","plainCitation":"3,4","noteIndex":0},"citationItems":[{"id":1139,"uris":["http://zotero.org/users/4340498/items/GNMHXZSJ"],"uri":["http://zotero.org/users/4340498/items/GNMHXZSJ"],"itemData":{"id":1139,"type":"article-journal","abstract":"Estimates of the cost of potential disasters, including indirect economic consequences, are an important input in the design of risk management strategies. The adaptive regional input-output (ARIO) inventory model is a tool to assess indirect disaster losses and to analyze their drivers. It is based on an input-output structure, but it also (i) explicitly represents production bottlenecks and input scarcity and (ii) introduces inventories as an additional flexibility in the production system. This modeling strategy distinguishes between (i) essential supplies that cannot be stocked (e.g., electricity, water) and whose scarcity can paralyze all economic activity; (ii) essential supplies that can be stocked at least temporarily (e.g., steel, chemicals), whose scarcity creates problems only over the medium term; and (iii) supplies that are not essential in the production process, whose scarcity is problematic only over the long run and are therefore easy to replace with imports. The model is applied to the landfall of Hurricane Katrina in Louisiana and identifies two periods in the disaster aftermath: (1) the first year, during which production bottlenecks are responsible for large output losses; (2) the rest of the reconstruction period, during which bottlenecks are inexistent and output losses lower. This analysis also suggests important research questions and policy options to mitigate disaster-related output losses.","container-title":"Risk Analysis","DOI":"https://doi.org/10.1111/risa.12090","ISSN":"1539-6924","issue":"1","language":"en","note":"_eprint: https://onlinelibrary.wiley.com/doi/pdf/10.1111/risa.12090","page":"152-167","source":"Wiley Online Library","title":"Modeling the Role of Inventories and Heterogeneity in the Assessment of the Economic Costs of Natural Disasters","volume":"34","author":[{"family":"Hallegatte","given":"Stéphane"}],"issued":{"date-parts":[["2014"]]}}},{"id":1140,"uris":["http://zotero.org/users/4340498/items/C454BAE6"],"uri":["http://zotero.org/users/4340498/items/C454BAE6"],"itemData":{"id":1140,"type":"article-journal","abstract":"Social and economic networks can be a channel of negative shocks and thus deteriorate resilience and sustainability in societies. This study focuses on supply chains, or supplier–customer networks of firms and examines how these supply chains enable production losses caused by natural disasters to propagate and persist in regions not directly affected by the disaster. We apply an agent-based model to the actual supply chains of nearly one million firms in Japan to estimate the direct and indirect effects of the 2011 Great East Japan earthquake. We then employ the same model to predict the effect of the Nankai Trough earthquake, a mega earthquake predicted to hit major industrial cities in Japan in the near future. We find that the indirect effects of the disasters on production due to propagation (10.6% of gross domestic product in the case of the Nankai earthquake) are substantially larger than their direct effects (0.5%). Our simulation analyses to compare the actual network with hypothetical networks suggest that these indirect effects are more prominent and persistent when supply chains are characterized by scale-free properties, difficulty in substitution among intermediate products, and complex cycles in networks.","container-title":"Nature Sustainability","DOI":"10.1038/s41893-019-0351-x","ISSN":"2398-9629","issue":"9","language":"en","note":"number: 9\npublisher: Nature Publishing Group","page":"841-847","source":"www.nature.com","title":"Firm-level propagation of shocks through supply-chain networks","volume":"2","author":[{"family":"Inoue","given":"Hiroyasu"},{"family":"Todo","given":"Yasuyuki"}],"issued":{"date-parts":[["2019",9]]}}}],"schema":"https://github.com/citation-style-language/schema/raw/master/csl-citation.json"} </w:instrText>
      </w:r>
      <w:r w:rsidR="00894129">
        <w:fldChar w:fldCharType="separate"/>
      </w:r>
      <w:r w:rsidR="00894129" w:rsidRPr="00894129">
        <w:rPr>
          <w:kern w:val="0"/>
          <w:szCs w:val="24"/>
          <w:vertAlign w:val="superscript"/>
        </w:rPr>
        <w:t>3,4</w:t>
      </w:r>
      <w:r w:rsidR="00894129">
        <w:fldChar w:fldCharType="end"/>
      </w:r>
      <w:r w:rsidR="00A40127" w:rsidRPr="00F834DC">
        <w:t xml:space="preserve">. </w:t>
      </w:r>
      <w:r w:rsidR="00A40127" w:rsidRPr="00F834DC">
        <w:rPr>
          <w:lang w:val="en-GB"/>
        </w:rPr>
        <w:t xml:space="preserve">Here, we extended the model to a multiregional economic impact model, which </w:t>
      </w:r>
      <w:proofErr w:type="gramStart"/>
      <w:r w:rsidR="00A40127" w:rsidRPr="00F834DC">
        <w:rPr>
          <w:lang w:val="en-GB"/>
        </w:rPr>
        <w:t>has the ability to</w:t>
      </w:r>
      <w:proofErr w:type="gramEnd"/>
      <w:r w:rsidR="00A40127" w:rsidRPr="00F834DC">
        <w:rPr>
          <w:lang w:val="en-GB"/>
        </w:rPr>
        <w:t xml:space="preserve"> simulate the propagation of the shocks in multiple regions.</w:t>
      </w:r>
      <w:r w:rsidR="00A40127" w:rsidRPr="00F834DC">
        <w:t xml:space="preserve"> After calibrating the model with the latest GTAP database </w:t>
      </w:r>
      <w:r w:rsidR="00A40127">
        <w:t>version 10</w:t>
      </w:r>
      <w:r w:rsidR="00894129">
        <w:fldChar w:fldCharType="begin"/>
      </w:r>
      <w:r w:rsidR="00894129">
        <w:instrText xml:space="preserve"> ADDIN ZOTERO_ITEM CSL_CITATION {"citationID":"ndzil4Gu","properties":{"formattedCitation":"\\super 7\\nosupersub{}","plainCitation":"7","noteIndex":0},"citationItems":[{"id":1143,"uris":["http://zotero.org/users/4340498/items/JI857PCY"],"uri":["http://zotero.org/users/4340498/items/JI857PCY"],"itemData":{"id":1143,"type":"article-journal","abstract":"This paper highlights the numerous improvements to the Global Trade, Assistance, and Production (GTAP) Data Base, version 10 (also referred to as GTAP 10). The Data Base describes the world economy for 4 reference years (2004, 2007, 2011, and 2014) and distinguishes 65 sectors, up from 57 in the previous release, in each of the 141 countries/regions. The 121 countries in the Data Base account for 98% of world GDP and 92% of world population. For each country/region, the Data Base reports production, intermediate and final uses, international trade and transport margins, and taxes/subsidies. This Data Base underlies most, if not all, applied global general equilibrium models. We use the time series GTAP 10 Data Base to examine the evolution of carbon dioxide emissions embodied in bilateral merchandise and services trade over the 2004-2014 period.","container-title":"Journal of Global Economic Analysis","DOI":"10.21642/JGEA.040101AF","ISSN":"2377-2999","issue":"1","language":"en","note":"number: 1","page":"1-27","source":"www.jgea.org","title":"The GTAP Data Base: Version 10","title-short":"The GTAP Data Base","volume":"4","author":[{"family":"Aguiar","given":"Angel"},{"family":"Chepeliev","given":"Maksym"},{"family":"Corong","given":"Erwin L."},{"family":"McDougall","given":"Robert"},{"family":"Mensbrugghe","given":"Dominique","dropping-particle":"van der"}],"issued":{"date-parts":[["2019",6,26]]}}}],"schema":"https://github.com/citation-style-language/schema/raw/master/csl-citation.json"} </w:instrText>
      </w:r>
      <w:r w:rsidR="00894129">
        <w:fldChar w:fldCharType="separate"/>
      </w:r>
      <w:r w:rsidR="00894129" w:rsidRPr="00894129">
        <w:rPr>
          <w:kern w:val="0"/>
          <w:szCs w:val="24"/>
          <w:vertAlign w:val="superscript"/>
        </w:rPr>
        <w:t>7</w:t>
      </w:r>
      <w:r w:rsidR="00894129">
        <w:fldChar w:fldCharType="end"/>
      </w:r>
      <w:r w:rsidR="00A40127" w:rsidRPr="00F834DC">
        <w:t>, we assess the dynamic impact of COVID-19 control measures on the global economy throughout production supply chains by considering available production imbalances and consumer behavior changes</w:t>
      </w:r>
      <w:r w:rsidR="00F90B46">
        <w:fldChar w:fldCharType="begin"/>
      </w:r>
      <w:r w:rsidR="00F90B46">
        <w:instrText xml:space="preserve"> ADDIN ZOTERO_ITEM CSL_CITATION {"citationID":"BA935RFU","properties":{"formattedCitation":"\\super 8\\nosupersub{}","plainCitation":"8","noteIndex":0},"citationItems":[{"id":1144,"uris":["http://zotero.org/users/4340498/items/S5U78GAK"],"uri":["http://zotero.org/users/4340498/items/S5U78GAK"],"itemData":{"id":1144,"type":"article-journal","abstract":"Countries have sought to stop the spread of coronavirus disease 2019 (COVID-19) by severely restricting travel and in-person commercial activities. Here, we analyse the supply-chain effects of a set of idealized lockdown scenarios, using the latest global trade modelling framework. We find that supply-chain losses that are related to initial COVID-19 lockdowns are largely dependent on the number of countries imposing restrictions and that losses are more sensitive to the duration of a lockdown than its strictness. However, a longer containment that can eradicate the disease imposes a smaller loss than shorter ones. Earlier, stricter and shorter lockdowns can minimize overall losses. A ‘go-slow’ approach to lifting restrictions may reduce overall damages if it avoids the need for further lockdowns. Regardless of the strategy, the complexity of global supply chains will magnify losses beyond the direct effects of COVID-19. Thus, pandemic control is a public good that requires collective efforts and support to lower-capacity countries.","container-title":"Nature Human Behaviour","DOI":"10.1038/s41562-020-0896-8","ISSN":"2397-3374","issue":"6","language":"en","note":"number: 6\npublisher: Nature Publishing Group","page":"577-587","source":"www.nature.com","title":"Global supply-chain effects of COVID-19 control measures","volume":"4","author":[{"family":"Guan","given":"Dabo"},{"family":"Wang","given":"Daoping"},{"family":"Hallegatte","given":"Stephane"},{"family":"Davis","given":"Steven J."},{"family":"Huo","given":"Jingwen"},{"family":"Li","given":"Shuping"},{"family":"Bai","given":"Yangchun"},{"family":"Lei","given":"Tianyang"},{"family":"Xue","given":"Qianyu"},{"family":"Coffman","given":"D’Maris"},{"family":"Cheng","given":"Danyang"},{"family":"Chen","given":"Peipei"},{"family":"Liang","given":"Xi"},{"family":"Xu","given":"Bing"},{"family":"Lu","given":"Xiaosheng"},{"family":"Wang","given":"Shouyang"},{"family":"Hubacek","given":"Klaus"},{"family":"Gong","given":"Peng"}],"issued":{"date-parts":[["2020",6]]}}}],"schema":"https://github.com/citation-style-language/schema/raw/master/csl-citation.json"} </w:instrText>
      </w:r>
      <w:r w:rsidR="00F90B46">
        <w:fldChar w:fldCharType="separate"/>
      </w:r>
      <w:r w:rsidR="00F90B46" w:rsidRPr="00F90B46">
        <w:rPr>
          <w:kern w:val="0"/>
          <w:szCs w:val="24"/>
          <w:vertAlign w:val="superscript"/>
        </w:rPr>
        <w:t>8</w:t>
      </w:r>
      <w:r w:rsidR="00F90B46">
        <w:fldChar w:fldCharType="end"/>
      </w:r>
      <w:r w:rsidR="00A40127" w:rsidRPr="00F834DC">
        <w:t xml:space="preserve">. </w:t>
      </w:r>
    </w:p>
    <w:p w14:paraId="7C39C08F" w14:textId="77777777" w:rsidR="00A35EEE" w:rsidRPr="00214EFC" w:rsidRDefault="00A35EEE" w:rsidP="00AA63CD">
      <w:pPr>
        <w:spacing w:after="100" w:afterAutospacing="1" w:line="360" w:lineRule="auto"/>
      </w:pPr>
      <w:r w:rsidRPr="00214EFC">
        <w:t xml:space="preserve">In our model, there are two types of agents, i.e., producers and households. In an economy, each sector can be regarded as a producer, in which </w:t>
      </w:r>
      <w:proofErr w:type="spellStart"/>
      <w:r w:rsidRPr="00214EFC">
        <w:t>labour</w:t>
      </w:r>
      <w:proofErr w:type="spellEnd"/>
      <w:r w:rsidRPr="00214EFC">
        <w:t xml:space="preserve"> and capital are the two main inputs for producing products. Meanwhile, economic sectors are also consumers that require intermediate </w:t>
      </w:r>
      <w:r w:rsidRPr="00214EFC">
        <w:lastRenderedPageBreak/>
        <w:t>products from other sectors.</w:t>
      </w:r>
    </w:p>
    <w:p w14:paraId="7C39C090" w14:textId="641747AF" w:rsidR="00A35EEE" w:rsidRPr="00214EFC" w:rsidRDefault="00A35EEE" w:rsidP="00AA63CD">
      <w:pPr>
        <w:spacing w:after="100" w:afterAutospacing="1" w:line="360" w:lineRule="auto"/>
      </w:pPr>
      <w:r w:rsidRPr="00214EFC">
        <w:t>There are various estimation methods for industrial production, such as Leontief production function from IO basic theory</w:t>
      </w:r>
      <w:r w:rsidR="00894129">
        <w:fldChar w:fldCharType="begin"/>
      </w:r>
      <w:r w:rsidR="00894129">
        <w:instrText xml:space="preserve"> ADDIN ZOTERO_ITEM CSL_CITATION {"citationID":"TAo6cRrx","properties":{"formattedCitation":"\\super 9\\nosupersub{}","plainCitation":"9","noteIndex":0},"citationItems":[{"id":703,"uris":["http://zotero.org/users/4340498/items/D6GR4RET"],"uri":["http://zotero.org/users/4340498/items/D6GR4RET"],"itemData":{"id":703,"type":"book","abstract":"Mycotoxins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discussed.","edition":"2","ISBN":"978-0-511-62698-2","note":"PMID: 15003161\narXiv: 1011.1669v3\nDOI: 10.1017/CBO9780511626982\nissue: 6\nISSN: 08628408","number-of-pages":"3-21","publisher":"Cambridge University Press","title":"Input–Output Analysis Foundations and Extensions","URL":"http://ebooks.cambridge.org/ref/id/CBO9780511626982","volume":"64","author":[{"family":"Miller","given":"Ronald E."},{"family":"Blair","given":"Peter D."}],"issued":{"date-parts":[["2009"]]}}}],"schema":"https://github.com/citation-style-language/schema/raw/master/csl-citation.json"} </w:instrText>
      </w:r>
      <w:r w:rsidR="00894129">
        <w:fldChar w:fldCharType="separate"/>
      </w:r>
      <w:r w:rsidR="00894129" w:rsidRPr="00894129">
        <w:rPr>
          <w:kern w:val="0"/>
          <w:szCs w:val="24"/>
          <w:vertAlign w:val="superscript"/>
        </w:rPr>
        <w:t>9</w:t>
      </w:r>
      <w:r w:rsidR="00894129">
        <w:fldChar w:fldCharType="end"/>
      </w:r>
      <w:r w:rsidRPr="00214EFC">
        <w:t>, Cobb-Douglas (C-D) function and Constant Elasticity of Substitution (CES) function</w:t>
      </w:r>
      <w:r w:rsidR="00894129">
        <w:fldChar w:fldCharType="begin"/>
      </w:r>
      <w:r w:rsidR="00894129">
        <w:instrText xml:space="preserve"> ADDIN ZOTERO_ITEM CSL_CITATION {"citationID":"ZA9XZEms","properties":{"formattedCitation":"\\super 1\\nosupersub{}","plainCitation":"1","noteIndex":0},"citationItems":[{"id":1151,"uris":["http://zotero.org/users/4340498/items/QLA62YZ7"],"uri":["http://zotero.org/users/4340498/items/QLA62YZ7"],"itemData":{"id":1151,"type":"article-journal","abstract":"A variety of models have been applied to assess the economic losses of disasters, of which the most common ones are input-output (IO) and computable general equilibrium (CGE) models. In addition, an increasing number of scholars have developed hybrid approaches: one that combines both or either of them in combination with noneconomic methods. While both IO and CGE models are widely used, they are mainly compared on theoretical grounds. Few studies have compared disaster impacts of different model types in a systematic way and for the same geographical area, using similar input data. Such a comparison is valuable from both a scientific and policy perspective as the magnitude and the spatial distribution of the estimated losses are born likely to vary with the chosen modelling approach (IO, CGE, or hybrid). Hence, regional disaster impact loss estimates resulting from a range of models facilitate better decisions and policy making. Therefore, this study analyses the economic consequences for a specific case study, using three regional disaster impact models: two hybrid IO models and a CGE model. The case study concerns two flood scenarios in the Po River basin in Italy. Modelling results indicate that the difference in estimated total (national) economic losses and the regional distribution of those losses may vary by up to a factor of 7 between the three models, depending on the type of recovery path. Total economic impact, comprising all Italian regions, is negative in all models though.","container-title":"Natural Hazards and Earth System Sciences","ISSN":"1561-8633","issue":"8","language":"en","note":"publisher: Copernicus Publications","source":"ora.ox.ac.uk","title":"Regional disaster impact analysis: comparing input–output and computable general equilibrium models","title-short":"Regional disaster impact analysis","URL":"https://ora.ox.ac.uk/objects/uuid:51e94d62-735e-4b26-b9c4-d64ea5cc12e8","volume":"16","author":[{"family":"Koks","given":"E. E."},{"family":"Carrera","given":"L."},{"family":"Jonkeren","given":"O."},{"family":"Aerts","given":"Jcjh"},{"family":"Husby","given":"T. G."},{"family":"Thissen","given":"M."},{"family":"Standardi","given":"G."},{"family":"Mysiak","given":"J."}],"accessed":{"date-parts":[["2020",11,26]]},"issued":{"date-parts":[["2016"]]}}}],"schema":"https://github.com/citation-style-language/schema/raw/master/csl-citation.json"} </w:instrText>
      </w:r>
      <w:r w:rsidR="00894129">
        <w:fldChar w:fldCharType="separate"/>
      </w:r>
      <w:r w:rsidR="00894129" w:rsidRPr="00894129">
        <w:rPr>
          <w:kern w:val="0"/>
          <w:szCs w:val="24"/>
          <w:vertAlign w:val="superscript"/>
        </w:rPr>
        <w:t>1</w:t>
      </w:r>
      <w:r w:rsidR="00894129">
        <w:fldChar w:fldCharType="end"/>
      </w:r>
      <w:r w:rsidRPr="00214EFC">
        <w:t xml:space="preserve">; in particular, the Leontief production function does not allow for substitution between inputs and is more suitable for this study, as the pandemic occurs without any predication and economic agents cannot make timely adjustments. According to the Leontief function, the output from sector </w:t>
      </w:r>
      <m:oMath>
        <m:r>
          <w:rPr>
            <w:rFonts w:ascii="Cambria Math" w:hAnsi="Cambria Math"/>
          </w:rPr>
          <m:t>i</m:t>
        </m:r>
      </m:oMath>
      <w:r w:rsidRPr="00214EFC">
        <w:t xml:space="preserve"> in region </w:t>
      </w:r>
      <m:oMath>
        <m:r>
          <w:rPr>
            <w:rFonts w:ascii="Cambria Math" w:hAnsi="Cambria Math"/>
          </w:rPr>
          <m:t>r</m:t>
        </m:r>
      </m:oMath>
      <w:r w:rsidRPr="00214EFC">
        <w:t xml:space="preserve"> (</w:t>
      </w:r>
      <m:oMath>
        <m:sSub>
          <m:sSubPr>
            <m:ctrlPr>
              <w:rPr>
                <w:rFonts w:ascii="Cambria Math" w:hAnsi="Cambria Math"/>
                <w:i/>
              </w:rPr>
            </m:ctrlPr>
          </m:sSubPr>
          <m:e>
            <m:r>
              <w:rPr>
                <w:rFonts w:ascii="Cambria Math" w:hAnsi="Cambria Math"/>
              </w:rPr>
              <m:t>x</m:t>
            </m:r>
          </m:e>
          <m:sub>
            <m:r>
              <w:rPr>
                <w:rFonts w:ascii="Cambria Math" w:hAnsi="Cambria Math"/>
              </w:rPr>
              <m:t>i,r</m:t>
            </m:r>
          </m:sub>
        </m:sSub>
      </m:oMath>
      <w:r w:rsidRPr="00214EFC">
        <w:t xml:space="preserve">) can be expressed in </w:t>
      </w:r>
      <w:r w:rsidRPr="00214EFC">
        <w:fldChar w:fldCharType="begin"/>
      </w:r>
      <w:r w:rsidRPr="00214EFC">
        <w:instrText xml:space="preserve"> REF _Ref42436725 \h </w:instrText>
      </w:r>
      <w:r w:rsidR="00052B68" w:rsidRPr="00214EFC">
        <w:instrText xml:space="preserve"> \* MERGEFORMAT </w:instrText>
      </w:r>
      <w:r w:rsidRPr="00214EFC">
        <w:fldChar w:fldCharType="separate"/>
      </w:r>
      <w:r w:rsidR="00E309AB" w:rsidRPr="00214EFC">
        <w:t xml:space="preserve">Equation </w:t>
      </w:r>
      <w:r w:rsidR="00E309AB">
        <w:rPr>
          <w:noProof/>
        </w:rPr>
        <w:t>1</w:t>
      </w:r>
      <w:r w:rsidRPr="00214EFC">
        <w:fldChar w:fldCharType="end"/>
      </w:r>
      <w:r w:rsidRPr="00214EFC">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A35EEE" w:rsidRPr="00214EFC" w14:paraId="7C39C093" w14:textId="77777777" w:rsidTr="009B570D">
        <w:tc>
          <w:tcPr>
            <w:tcW w:w="4148" w:type="dxa"/>
            <w:vAlign w:val="center"/>
          </w:tcPr>
          <w:p w14:paraId="7C39C091" w14:textId="77777777" w:rsidR="00A35EEE" w:rsidRPr="00214EFC" w:rsidRDefault="002D7B00" w:rsidP="00AA63CD">
            <w:pPr>
              <w:pStyle w:val="Table"/>
              <w:spacing w:after="100" w:afterAutospacing="1" w:line="360" w:lineRule="auto"/>
              <w:jc w:val="left"/>
              <w:rPr>
                <w:rFonts w:ascii="Times New Roman"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x</m:t>
                  </m:r>
                </m:e>
                <m:sub>
                  <m:r>
                    <w:rPr>
                      <w:rFonts w:ascii="Cambria Math" w:hAnsi="Cambria Math" w:cs="Times New Roman"/>
                      <w:color w:val="auto"/>
                    </w:rPr>
                    <m:t>i,r</m:t>
                  </m:r>
                </m:sub>
              </m:sSub>
              <m:r>
                <w:rPr>
                  <w:rFonts w:ascii="Cambria Math" w:hAnsi="Cambria Math" w:cs="Times New Roman"/>
                  <w:color w:val="auto"/>
                </w:rPr>
                <m:t>=min</m:t>
              </m:r>
              <m:d>
                <m:dPr>
                  <m:ctrlPr>
                    <w:rPr>
                      <w:rFonts w:ascii="Cambria Math" w:hAnsi="Cambria Math" w:cs="Times New Roman"/>
                      <w:i/>
                      <w:color w:val="auto"/>
                    </w:rPr>
                  </m:ctrlPr>
                </m:dPr>
                <m:e>
                  <m:r>
                    <m:rPr>
                      <m:sty m:val="p"/>
                    </m:rPr>
                    <w:rPr>
                      <w:rFonts w:ascii="Cambria Math" w:hAnsi="Cambria Math" w:cs="Times New Roman"/>
                      <w:color w:val="auto"/>
                    </w:rPr>
                    <m:t>for all</m:t>
                  </m:r>
                  <m:r>
                    <w:rPr>
                      <w:rFonts w:ascii="Cambria Math" w:hAnsi="Cambria Math" w:cs="Times New Roman"/>
                      <w:color w:val="auto"/>
                    </w:rPr>
                    <m:t xml:space="preserve"> p, </m:t>
                  </m:r>
                  <m:f>
                    <m:fPr>
                      <m:ctrlPr>
                        <w:rPr>
                          <w:rFonts w:ascii="Cambria Math" w:hAnsi="Cambria Math" w:cs="Times New Roman"/>
                          <w:i/>
                          <w:color w:val="auto"/>
                        </w:rPr>
                      </m:ctrlPr>
                    </m:fPr>
                    <m:num>
                      <m:sSubSup>
                        <m:sSubSupPr>
                          <m:ctrlPr>
                            <w:rPr>
                              <w:rFonts w:ascii="Cambria Math" w:hAnsi="Cambria Math" w:cs="Times New Roman"/>
                              <w:i/>
                              <w:color w:val="auto"/>
                            </w:rPr>
                          </m:ctrlPr>
                        </m:sSubSupPr>
                        <m:e>
                          <m:r>
                            <w:rPr>
                              <w:rFonts w:ascii="Cambria Math" w:hAnsi="Cambria Math" w:cs="Times New Roman"/>
                              <w:color w:val="auto"/>
                            </w:rPr>
                            <m:t>z</m:t>
                          </m:r>
                        </m:e>
                        <m:sub>
                          <m:r>
                            <w:rPr>
                              <w:rFonts w:ascii="Cambria Math" w:hAnsi="Cambria Math" w:cs="Times New Roman"/>
                              <w:color w:val="auto"/>
                            </w:rPr>
                            <m:t>i,r</m:t>
                          </m:r>
                        </m:sub>
                        <m:sup>
                          <m:r>
                            <w:rPr>
                              <w:rFonts w:ascii="Cambria Math" w:hAnsi="Cambria Math" w:cs="Times New Roman"/>
                              <w:color w:val="auto"/>
                            </w:rPr>
                            <m:t>p</m:t>
                          </m:r>
                        </m:sup>
                      </m:sSubSup>
                    </m:num>
                    <m:den>
                      <m:sSubSup>
                        <m:sSubSupPr>
                          <m:ctrlPr>
                            <w:rPr>
                              <w:rFonts w:ascii="Cambria Math" w:hAnsi="Cambria Math" w:cs="Times New Roman"/>
                              <w:i/>
                              <w:color w:val="auto"/>
                            </w:rPr>
                          </m:ctrlPr>
                        </m:sSubSupPr>
                        <m:e>
                          <m:r>
                            <w:rPr>
                              <w:rFonts w:ascii="Cambria Math" w:hAnsi="Cambria Math" w:cs="Times New Roman"/>
                              <w:color w:val="auto"/>
                            </w:rPr>
                            <m:t>a</m:t>
                          </m:r>
                        </m:e>
                        <m:sub>
                          <m:r>
                            <w:rPr>
                              <w:rFonts w:ascii="Cambria Math" w:hAnsi="Cambria Math" w:cs="Times New Roman"/>
                              <w:color w:val="auto"/>
                            </w:rPr>
                            <m:t>i,r</m:t>
                          </m:r>
                        </m:sub>
                        <m:sup>
                          <m:r>
                            <w:rPr>
                              <w:rFonts w:ascii="Cambria Math" w:hAnsi="Cambria Math" w:cs="Times New Roman"/>
                              <w:color w:val="auto"/>
                            </w:rPr>
                            <m:t>p</m:t>
                          </m:r>
                        </m:sup>
                      </m:sSubSup>
                    </m:den>
                  </m:f>
                  <m:r>
                    <w:rPr>
                      <w:rFonts w:ascii="Cambria Math" w:hAnsi="Cambria Math" w:cs="Times New Roman"/>
                      <w:color w:val="auto"/>
                    </w:rPr>
                    <m:t xml:space="preserve">; </m:t>
                  </m:r>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va</m:t>
                          </m:r>
                        </m:e>
                        <m:sub>
                          <m:r>
                            <w:rPr>
                              <w:rFonts w:ascii="Cambria Math" w:hAnsi="Cambria Math" w:cs="Times New Roman"/>
                              <w:color w:val="auto"/>
                            </w:rPr>
                            <m:t>i,r</m:t>
                          </m:r>
                        </m:sub>
                      </m:sSub>
                    </m:num>
                    <m:den>
                      <m:sSub>
                        <m:sSubPr>
                          <m:ctrlPr>
                            <w:rPr>
                              <w:rFonts w:ascii="Cambria Math" w:hAnsi="Cambria Math" w:cs="Times New Roman"/>
                              <w:i/>
                              <w:color w:val="auto"/>
                            </w:rPr>
                          </m:ctrlPr>
                        </m:sSubPr>
                        <m:e>
                          <m:r>
                            <w:rPr>
                              <w:rFonts w:ascii="Cambria Math" w:hAnsi="Cambria Math" w:cs="Times New Roman"/>
                              <w:color w:val="auto"/>
                            </w:rPr>
                            <m:t>b</m:t>
                          </m:r>
                        </m:e>
                        <m:sub>
                          <m:r>
                            <w:rPr>
                              <w:rFonts w:ascii="Cambria Math" w:hAnsi="Cambria Math" w:cs="Times New Roman"/>
                              <w:color w:val="auto"/>
                            </w:rPr>
                            <m:t>i,r</m:t>
                          </m:r>
                        </m:sub>
                      </m:sSub>
                    </m:den>
                  </m:f>
                </m:e>
              </m:d>
            </m:oMath>
            <w:r w:rsidR="00A35EEE" w:rsidRPr="00214EFC">
              <w:rPr>
                <w:rFonts w:ascii="Times New Roman" w:hAnsi="Times New Roman" w:cs="Times New Roman"/>
                <w:color w:val="auto"/>
              </w:rPr>
              <w:t xml:space="preserve"> </w:t>
            </w:r>
          </w:p>
        </w:tc>
        <w:tc>
          <w:tcPr>
            <w:tcW w:w="4148" w:type="dxa"/>
            <w:vAlign w:val="center"/>
          </w:tcPr>
          <w:p w14:paraId="7C39C092" w14:textId="10B37CA2" w:rsidR="00A35EEE" w:rsidRPr="00214EFC" w:rsidRDefault="00A35EEE" w:rsidP="00AA63CD">
            <w:pPr>
              <w:pStyle w:val="Table"/>
              <w:spacing w:after="100" w:afterAutospacing="1" w:line="360" w:lineRule="auto"/>
              <w:jc w:val="right"/>
              <w:rPr>
                <w:rFonts w:ascii="Times New Roman" w:hAnsi="Times New Roman" w:cs="Times New Roman"/>
                <w:color w:val="auto"/>
              </w:rPr>
            </w:pPr>
            <w:bookmarkStart w:id="7" w:name="_Ref42436725"/>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1</w:t>
            </w:r>
            <w:r w:rsidRPr="00214EFC">
              <w:rPr>
                <w:rFonts w:ascii="Times New Roman" w:hAnsi="Times New Roman" w:cs="Times New Roman"/>
                <w:color w:val="auto"/>
              </w:rPr>
              <w:fldChar w:fldCharType="end"/>
            </w:r>
            <w:bookmarkEnd w:id="7"/>
          </w:p>
        </w:tc>
      </w:tr>
    </w:tbl>
    <w:p w14:paraId="7C39C094" w14:textId="39E36FF2" w:rsidR="00A35EEE" w:rsidRPr="00214EFC" w:rsidRDefault="00A35EEE" w:rsidP="00AA63CD">
      <w:pPr>
        <w:snapToGrid w:val="0"/>
        <w:spacing w:after="100" w:afterAutospacing="1" w:line="360" w:lineRule="auto"/>
      </w:pPr>
      <w:r w:rsidRPr="00214EFC">
        <w:t xml:space="preserve">where </w:t>
      </w:r>
      <w:r w:rsidRPr="00214EFC">
        <w:rPr>
          <w:i/>
          <w:iCs/>
        </w:rPr>
        <w:t>p</w:t>
      </w:r>
      <w:r w:rsidRPr="00214EFC">
        <w:t xml:space="preserve"> denotes type of intermediate products;</w:t>
      </w:r>
      <m:oMath>
        <m:r>
          <w:rPr>
            <w:rFonts w:ascii="Cambria Math" w:hAnsi="Cambria Math"/>
          </w:rPr>
          <m:t xml:space="preserve"> </m:t>
        </m:r>
        <m:sSubSup>
          <m:sSubSupPr>
            <m:ctrlPr>
              <w:rPr>
                <w:rFonts w:ascii="Cambria Math" w:hAnsi="Cambria Math"/>
                <w:i/>
              </w:rPr>
            </m:ctrlPr>
          </m:sSubSupPr>
          <m:e>
            <m:r>
              <w:rPr>
                <w:rFonts w:ascii="Cambria Math" w:hAnsi="Cambria Math"/>
              </w:rPr>
              <m:t>z</m:t>
            </m:r>
          </m:e>
          <m:sub>
            <m:r>
              <w:rPr>
                <w:rFonts w:ascii="Cambria Math" w:hAnsi="Cambria Math"/>
              </w:rPr>
              <m:t>i,r</m:t>
            </m:r>
          </m:sub>
          <m:sup>
            <m:r>
              <w:rPr>
                <w:rFonts w:ascii="Cambria Math" w:hAnsi="Cambria Math"/>
              </w:rPr>
              <m:t>p</m:t>
            </m:r>
          </m:sup>
        </m:sSubSup>
      </m:oMath>
      <w:r w:rsidRPr="00214EFC">
        <w:t xml:space="preserve"> refers the intermediate product </w:t>
      </w:r>
      <m:oMath>
        <m:r>
          <w:rPr>
            <w:rFonts w:ascii="Cambria Math" w:hAnsi="Cambria Math"/>
          </w:rPr>
          <m:t>p</m:t>
        </m:r>
      </m:oMath>
      <w:r w:rsidRPr="00214EFC">
        <w:t xml:space="preserve"> used in sector</w:t>
      </w:r>
      <m:oMath>
        <m:r>
          <w:rPr>
            <w:rFonts w:ascii="Cambria Math" w:hAnsi="Cambria Math"/>
          </w:rPr>
          <m:t xml:space="preserve"> i</m:t>
        </m:r>
      </m:oMath>
      <w:r w:rsidRPr="00214EFC">
        <w:t>;</w:t>
      </w:r>
      <m:oMath>
        <m:r>
          <w:rPr>
            <w:rFonts w:ascii="Cambria Math" w:hAnsi="Cambria Math"/>
          </w:rPr>
          <m:t xml:space="preserve"> </m:t>
        </m:r>
        <m:sSub>
          <m:sSubPr>
            <m:ctrlPr>
              <w:rPr>
                <w:rFonts w:ascii="Cambria Math" w:hAnsi="Cambria Math"/>
                <w:i/>
              </w:rPr>
            </m:ctrlPr>
          </m:sSubPr>
          <m:e>
            <m:r>
              <w:rPr>
                <w:rFonts w:ascii="Cambria Math" w:hAnsi="Cambria Math"/>
              </w:rPr>
              <m:t>va</m:t>
            </m:r>
          </m:e>
          <m:sub>
            <m:r>
              <w:rPr>
                <w:rFonts w:ascii="Cambria Math" w:hAnsi="Cambria Math"/>
              </w:rPr>
              <m:t>i,r</m:t>
            </m:r>
          </m:sub>
        </m:sSub>
      </m:oMath>
      <w:r w:rsidRPr="00214EFC">
        <w:t xml:space="preserve"> refers the primary inputs for the sector </w:t>
      </w:r>
      <m:oMath>
        <m:r>
          <w:rPr>
            <w:rFonts w:ascii="Cambria Math" w:hAnsi="Cambria Math"/>
          </w:rPr>
          <m:t>i</m:t>
        </m:r>
      </m:oMath>
      <w:r w:rsidRPr="00214EFC">
        <w:t>, including labour (</w:t>
      </w:r>
      <m:oMath>
        <m:r>
          <w:rPr>
            <w:rFonts w:ascii="Cambria Math" w:hAnsi="Cambria Math"/>
          </w:rPr>
          <m:t>L</m:t>
        </m:r>
      </m:oMath>
      <w:r w:rsidRPr="00214EFC">
        <w:t>) and capital (</w:t>
      </w:r>
      <m:oMath>
        <m:r>
          <w:rPr>
            <w:rFonts w:ascii="Cambria Math" w:hAnsi="Cambria Math"/>
          </w:rPr>
          <m:t>K</m:t>
        </m:r>
      </m:oMath>
      <w:r w:rsidRPr="00214EFC">
        <w:t>).</w:t>
      </w:r>
      <m:oMath>
        <m:r>
          <w:rPr>
            <w:rFonts w:ascii="Cambria Math" w:hAnsi="Cambria Math"/>
          </w:rPr>
          <m:t xml:space="preserve"> </m:t>
        </m:r>
        <m:sSubSup>
          <m:sSubSupPr>
            <m:ctrlPr>
              <w:rPr>
                <w:rFonts w:ascii="Cambria Math" w:hAnsi="Cambria Math"/>
                <w:i/>
              </w:rPr>
            </m:ctrlPr>
          </m:sSubSupPr>
          <m:e>
            <m:r>
              <w:rPr>
                <w:rFonts w:ascii="Cambria Math" w:hAnsi="Cambria Math"/>
              </w:rPr>
              <m:t>a</m:t>
            </m:r>
          </m:e>
          <m:sub>
            <m:r>
              <w:rPr>
                <w:rFonts w:ascii="Cambria Math" w:hAnsi="Cambria Math"/>
              </w:rPr>
              <m:t>i,r</m:t>
            </m:r>
          </m:sub>
          <m:sup>
            <m:r>
              <w:rPr>
                <w:rFonts w:ascii="Cambria Math" w:hAnsi="Cambria Math"/>
              </w:rPr>
              <m:t>p</m:t>
            </m:r>
          </m:sup>
        </m:sSubSup>
      </m:oMath>
      <w:r w:rsidRPr="00214EFC">
        <w:t xml:space="preserve"> and </w:t>
      </w:r>
      <m:oMath>
        <m:sSub>
          <m:sSubPr>
            <m:ctrlPr>
              <w:rPr>
                <w:rFonts w:ascii="Cambria Math" w:hAnsi="Cambria Math"/>
                <w:i/>
              </w:rPr>
            </m:ctrlPr>
          </m:sSubPr>
          <m:e>
            <m:r>
              <w:rPr>
                <w:rFonts w:ascii="Cambria Math" w:hAnsi="Cambria Math"/>
              </w:rPr>
              <m:t>b</m:t>
            </m:r>
          </m:e>
          <m:sub>
            <m:r>
              <w:rPr>
                <w:rFonts w:ascii="Cambria Math" w:hAnsi="Cambria Math"/>
              </w:rPr>
              <m:t>i,r</m:t>
            </m:r>
          </m:sub>
        </m:sSub>
        <m:r>
          <w:rPr>
            <w:rFonts w:ascii="Cambria Math" w:hAnsi="Cambria Math"/>
          </w:rPr>
          <m:t xml:space="preserve"> </m:t>
        </m:r>
      </m:oMath>
      <w:r w:rsidRPr="00214EFC">
        <w:t xml:space="preserve">are the input coefficients of intermediate products </w:t>
      </w:r>
      <m:oMath>
        <m:r>
          <w:rPr>
            <w:rFonts w:ascii="Cambria Math" w:hAnsi="Cambria Math"/>
          </w:rPr>
          <m:t>p</m:t>
        </m:r>
      </m:oMath>
      <w:r w:rsidRPr="00214EFC">
        <w:t xml:space="preserve"> and primary inputs of sector </w:t>
      </w:r>
      <m:oMath>
        <m:r>
          <w:rPr>
            <w:rFonts w:ascii="Cambria Math" w:hAnsi="Cambria Math"/>
          </w:rPr>
          <m:t>i</m:t>
        </m:r>
      </m:oMath>
      <w:r w:rsidRPr="00214EFC">
        <w:t xml:space="preserve">, which can be calculated in </w:t>
      </w:r>
      <w:r w:rsidRPr="00214EFC">
        <w:fldChar w:fldCharType="begin"/>
      </w:r>
      <w:r w:rsidRPr="00214EFC">
        <w:instrText xml:space="preserve"> REF _Ref42437077 \h </w:instrText>
      </w:r>
      <w:r w:rsidR="00052B68" w:rsidRPr="00214EFC">
        <w:instrText xml:space="preserve"> \* MERGEFORMAT </w:instrText>
      </w:r>
      <w:r w:rsidRPr="00214EFC">
        <w:fldChar w:fldCharType="separate"/>
      </w:r>
      <w:r w:rsidR="00E309AB" w:rsidRPr="00214EFC">
        <w:t xml:space="preserve">Equation </w:t>
      </w:r>
      <w:r w:rsidR="00E309AB">
        <w:rPr>
          <w:noProof/>
        </w:rPr>
        <w:t>2</w:t>
      </w:r>
      <w:r w:rsidRPr="00214EFC">
        <w:fldChar w:fldCharType="end"/>
      </w:r>
      <w:r w:rsidRPr="00214EFC">
        <w:t>. All the economic transactions and industrial interdependence are expressed as monetary values.</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A35EEE" w:rsidRPr="00214EFC" w14:paraId="7C39C097" w14:textId="77777777" w:rsidTr="009B570D">
        <w:tc>
          <w:tcPr>
            <w:tcW w:w="4148" w:type="dxa"/>
            <w:vAlign w:val="center"/>
          </w:tcPr>
          <w:p w14:paraId="7C39C095" w14:textId="77777777" w:rsidR="00A35EEE" w:rsidRPr="00214EFC" w:rsidRDefault="002D7B00" w:rsidP="00AA63CD">
            <w:pPr>
              <w:pStyle w:val="Table"/>
              <w:spacing w:after="100" w:afterAutospacing="1" w:line="360" w:lineRule="auto"/>
              <w:jc w:val="left"/>
              <w:rPr>
                <w:rFonts w:ascii="Times New Roman" w:hAnsi="Times New Roman" w:cs="Times New Roman"/>
                <w:i/>
                <w:color w:val="auto"/>
              </w:rPr>
            </w:pPr>
            <m:oMath>
              <m:sSubSup>
                <m:sSubSupPr>
                  <m:ctrlPr>
                    <w:rPr>
                      <w:rFonts w:ascii="Cambria Math" w:hAnsi="Cambria Math" w:cs="Times New Roman"/>
                      <w:i/>
                      <w:color w:val="auto"/>
                    </w:rPr>
                  </m:ctrlPr>
                </m:sSubSupPr>
                <m:e>
                  <m:r>
                    <w:rPr>
                      <w:rFonts w:ascii="Cambria Math" w:hAnsi="Cambria Math" w:cs="Times New Roman"/>
                      <w:color w:val="auto"/>
                    </w:rPr>
                    <m:t>a</m:t>
                  </m:r>
                </m:e>
                <m:sub>
                  <m:r>
                    <w:rPr>
                      <w:rFonts w:ascii="Cambria Math" w:hAnsi="Cambria Math" w:cs="Times New Roman"/>
                      <w:color w:val="auto"/>
                    </w:rPr>
                    <m:t>i,r</m:t>
                  </m:r>
                </m:sub>
                <m:sup>
                  <m:r>
                    <w:rPr>
                      <w:rFonts w:ascii="Cambria Math" w:hAnsi="Cambria Math" w:cs="Times New Roman"/>
                      <w:color w:val="auto"/>
                    </w:rPr>
                    <m:t>p</m:t>
                  </m:r>
                </m:sup>
              </m:sSubSup>
              <m:r>
                <w:rPr>
                  <w:rFonts w:ascii="Cambria Math" w:hAnsi="Cambria Math" w:cs="Times New Roman"/>
                  <w:color w:val="auto"/>
                </w:rPr>
                <m:t xml:space="preserve">= </m:t>
              </m:r>
              <m:f>
                <m:fPr>
                  <m:ctrlPr>
                    <w:rPr>
                      <w:rFonts w:ascii="Cambria Math" w:hAnsi="Cambria Math" w:cs="Times New Roman"/>
                      <w:i/>
                      <w:color w:val="auto"/>
                    </w:rPr>
                  </m:ctrlPr>
                </m:fPr>
                <m:num>
                  <m:sSubSup>
                    <m:sSubSupPr>
                      <m:ctrlPr>
                        <w:rPr>
                          <w:rFonts w:ascii="Cambria Math" w:hAnsi="Cambria Math" w:cs="Times New Roman"/>
                          <w:i/>
                          <w:color w:val="auto"/>
                        </w:rPr>
                      </m:ctrlPr>
                    </m:sSubSupPr>
                    <m:e>
                      <m:acc>
                        <m:accPr>
                          <m:chr m:val="̅"/>
                          <m:ctrlPr>
                            <w:rPr>
                              <w:rFonts w:ascii="Cambria Math" w:hAnsi="Cambria Math" w:cs="Times New Roman"/>
                              <w:i/>
                              <w:color w:val="auto"/>
                            </w:rPr>
                          </m:ctrlPr>
                        </m:accPr>
                        <m:e>
                          <m:r>
                            <w:rPr>
                              <w:rFonts w:ascii="Cambria Math" w:hAnsi="Cambria Math" w:cs="Times New Roman"/>
                              <w:color w:val="auto"/>
                            </w:rPr>
                            <m:t>z</m:t>
                          </m:r>
                        </m:e>
                      </m:acc>
                    </m:e>
                    <m:sub>
                      <m:r>
                        <w:rPr>
                          <w:rFonts w:ascii="Cambria Math" w:hAnsi="Cambria Math" w:cs="Times New Roman"/>
                          <w:color w:val="auto"/>
                        </w:rPr>
                        <m:t>i,r</m:t>
                      </m:r>
                    </m:sub>
                    <m:sup>
                      <m:r>
                        <w:rPr>
                          <w:rFonts w:ascii="Cambria Math" w:hAnsi="Cambria Math" w:cs="Times New Roman"/>
                          <w:color w:val="auto"/>
                        </w:rPr>
                        <m:t>p</m:t>
                      </m:r>
                    </m:sup>
                  </m:sSubSup>
                </m:num>
                <m:den>
                  <m:sSub>
                    <m:sSubPr>
                      <m:ctrlPr>
                        <w:rPr>
                          <w:rFonts w:ascii="Cambria Math" w:hAnsi="Cambria Math" w:cs="Times New Roman"/>
                          <w:i/>
                          <w:color w:val="auto"/>
                        </w:rPr>
                      </m:ctrlPr>
                    </m:sSubPr>
                    <m:e>
                      <m:acc>
                        <m:accPr>
                          <m:chr m:val="̅"/>
                          <m:ctrlPr>
                            <w:rPr>
                              <w:rFonts w:ascii="Cambria Math" w:hAnsi="Cambria Math" w:cs="Times New Roman"/>
                              <w:i/>
                              <w:color w:val="auto"/>
                            </w:rPr>
                          </m:ctrlPr>
                        </m:accPr>
                        <m:e>
                          <m:r>
                            <w:rPr>
                              <w:rFonts w:ascii="Cambria Math" w:hAnsi="Cambria Math" w:cs="Times New Roman"/>
                              <w:color w:val="auto"/>
                            </w:rPr>
                            <m:t>x</m:t>
                          </m:r>
                        </m:e>
                      </m:acc>
                    </m:e>
                    <m:sub>
                      <m:r>
                        <w:rPr>
                          <w:rFonts w:ascii="Cambria Math" w:hAnsi="Cambria Math" w:cs="Times New Roman"/>
                          <w:color w:val="auto"/>
                        </w:rPr>
                        <m:t>i,r</m:t>
                      </m:r>
                    </m:sub>
                  </m:sSub>
                </m:den>
              </m:f>
            </m:oMath>
            <w:r w:rsidR="00A35EEE" w:rsidRPr="00214EFC">
              <w:rPr>
                <w:rFonts w:ascii="Times New Roman" w:hAnsi="Times New Roman" w:cs="Times New Roman"/>
                <w:i/>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b</m:t>
                  </m:r>
                </m:e>
                <m:sub>
                  <m:r>
                    <w:rPr>
                      <w:rFonts w:ascii="Cambria Math" w:hAnsi="Cambria Math" w:cs="Times New Roman"/>
                      <w:color w:val="auto"/>
                    </w:rPr>
                    <m:t>i,r</m:t>
                  </m:r>
                </m:sub>
              </m:sSub>
              <m:r>
                <w:rPr>
                  <w:rFonts w:ascii="Cambria Math" w:hAnsi="Cambria Math" w:cs="Times New Roman"/>
                  <w:color w:val="auto"/>
                </w:rPr>
                <m:t xml:space="preserve">= </m:t>
              </m:r>
              <m:f>
                <m:fPr>
                  <m:ctrlPr>
                    <w:rPr>
                      <w:rFonts w:ascii="Cambria Math" w:hAnsi="Cambria Math" w:cs="Times New Roman"/>
                      <w:i/>
                      <w:color w:val="auto"/>
                    </w:rPr>
                  </m:ctrlPr>
                </m:fPr>
                <m:num>
                  <m:sSub>
                    <m:sSubPr>
                      <m:ctrlPr>
                        <w:rPr>
                          <w:rFonts w:ascii="Cambria Math" w:hAnsi="Cambria Math" w:cs="Times New Roman"/>
                          <w:i/>
                          <w:color w:val="auto"/>
                        </w:rPr>
                      </m:ctrlPr>
                    </m:sSubPr>
                    <m:e>
                      <m:acc>
                        <m:accPr>
                          <m:chr m:val="̅"/>
                          <m:ctrlPr>
                            <w:rPr>
                              <w:rFonts w:ascii="Cambria Math" w:hAnsi="Cambria Math" w:cs="Times New Roman"/>
                              <w:i/>
                              <w:color w:val="auto"/>
                            </w:rPr>
                          </m:ctrlPr>
                        </m:accPr>
                        <m:e>
                          <m:r>
                            <w:rPr>
                              <w:rFonts w:ascii="Cambria Math" w:hAnsi="Cambria Math" w:cs="Times New Roman"/>
                              <w:color w:val="auto"/>
                            </w:rPr>
                            <m:t>va</m:t>
                          </m:r>
                        </m:e>
                      </m:acc>
                    </m:e>
                    <m:sub>
                      <m:r>
                        <w:rPr>
                          <w:rFonts w:ascii="Cambria Math" w:hAnsi="Cambria Math" w:cs="Times New Roman"/>
                          <w:color w:val="auto"/>
                        </w:rPr>
                        <m:t>i,r</m:t>
                      </m:r>
                    </m:sub>
                  </m:sSub>
                </m:num>
                <m:den>
                  <m:sSub>
                    <m:sSubPr>
                      <m:ctrlPr>
                        <w:rPr>
                          <w:rFonts w:ascii="Cambria Math" w:hAnsi="Cambria Math" w:cs="Times New Roman"/>
                          <w:i/>
                          <w:color w:val="auto"/>
                        </w:rPr>
                      </m:ctrlPr>
                    </m:sSubPr>
                    <m:e>
                      <m:acc>
                        <m:accPr>
                          <m:chr m:val="̅"/>
                          <m:ctrlPr>
                            <w:rPr>
                              <w:rFonts w:ascii="Cambria Math" w:hAnsi="Cambria Math" w:cs="Times New Roman"/>
                              <w:i/>
                              <w:color w:val="auto"/>
                            </w:rPr>
                          </m:ctrlPr>
                        </m:accPr>
                        <m:e>
                          <m:r>
                            <w:rPr>
                              <w:rFonts w:ascii="Cambria Math" w:hAnsi="Cambria Math" w:cs="Times New Roman"/>
                              <w:color w:val="auto"/>
                            </w:rPr>
                            <m:t>x</m:t>
                          </m:r>
                        </m:e>
                      </m:acc>
                    </m:e>
                    <m:sub>
                      <m:r>
                        <w:rPr>
                          <w:rFonts w:ascii="Cambria Math" w:hAnsi="Cambria Math" w:cs="Times New Roman"/>
                          <w:color w:val="auto"/>
                        </w:rPr>
                        <m:t>i,r</m:t>
                      </m:r>
                    </m:sub>
                  </m:sSub>
                </m:den>
              </m:f>
            </m:oMath>
          </w:p>
        </w:tc>
        <w:tc>
          <w:tcPr>
            <w:tcW w:w="4148" w:type="dxa"/>
            <w:vAlign w:val="center"/>
          </w:tcPr>
          <w:p w14:paraId="7C39C096" w14:textId="2FF39867" w:rsidR="00A35EEE" w:rsidRPr="00214EFC" w:rsidRDefault="00A35EEE" w:rsidP="00AA63CD">
            <w:pPr>
              <w:pStyle w:val="Table"/>
              <w:spacing w:after="100" w:afterAutospacing="1" w:line="360" w:lineRule="auto"/>
              <w:jc w:val="right"/>
              <w:rPr>
                <w:rFonts w:ascii="Times New Roman" w:hAnsi="Times New Roman" w:cs="Times New Roman"/>
                <w:color w:val="auto"/>
              </w:rPr>
            </w:pPr>
            <w:bookmarkStart w:id="8" w:name="_Ref42437077"/>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2</w:t>
            </w:r>
            <w:r w:rsidRPr="00214EFC">
              <w:rPr>
                <w:rFonts w:ascii="Times New Roman" w:hAnsi="Times New Roman" w:cs="Times New Roman"/>
                <w:color w:val="auto"/>
              </w:rPr>
              <w:fldChar w:fldCharType="end"/>
            </w:r>
            <w:bookmarkEnd w:id="8"/>
          </w:p>
        </w:tc>
      </w:tr>
    </w:tbl>
    <w:p w14:paraId="7C39C098" w14:textId="77777777" w:rsidR="00A35EEE" w:rsidRPr="00214EFC" w:rsidRDefault="00A35EEE" w:rsidP="00AA63CD">
      <w:pPr>
        <w:spacing w:after="100" w:afterAutospacing="1" w:line="360" w:lineRule="auto"/>
      </w:pPr>
      <w:r w:rsidRPr="00214EFC">
        <w:t xml:space="preserve">It assumes that before the COVID-19 occurred, total output should satisfy intermediate demands and final demands from consumers. However, such economic balances are broken by the pandemic and further crush the supply chains. From the view of producer, restriction of </w:t>
      </w:r>
      <w:proofErr w:type="spellStart"/>
      <w:r w:rsidRPr="00214EFC">
        <w:t>labour</w:t>
      </w:r>
      <w:proofErr w:type="spellEnd"/>
      <w:r w:rsidRPr="00214EFC">
        <w:t xml:space="preserve"> input caused by control measures will decrease the production capacity and outputs. </w:t>
      </w:r>
    </w:p>
    <w:p w14:paraId="7C39C09A" w14:textId="4347A1CC" w:rsidR="00A35EEE" w:rsidRDefault="00A35EEE" w:rsidP="00AA63CD">
      <w:pPr>
        <w:spacing w:after="100" w:afterAutospacing="1" w:line="360" w:lineRule="auto"/>
      </w:pPr>
      <w:proofErr w:type="spellStart"/>
      <w:r w:rsidRPr="00214EFC">
        <w:t>Labour</w:t>
      </w:r>
      <w:proofErr w:type="spellEnd"/>
      <w:r w:rsidRPr="00214EFC">
        <w:t xml:space="preserve"> constraints after a disaster may impose severe knock-on effects on the rest of the economy</w:t>
      </w:r>
      <w:r w:rsidR="00F90B46">
        <w:fldChar w:fldCharType="begin"/>
      </w:r>
      <w:r w:rsidR="00F90B46">
        <w:instrText xml:space="preserve"> ADDIN ZOTERO_ITEM CSL_CITATION {"citationID":"VJRCT8bQ","properties":{"formattedCitation":"\\super 8\\nosupersub{}","plainCitation":"8","noteIndex":0},"citationItems":[{"id":1144,"uris":["http://zotero.org/users/4340498/items/S5U78GAK"],"uri":["http://zotero.org/users/4340498/items/S5U78GAK"],"itemData":{"id":1144,"type":"article-journal","abstract":"Countries have sought to stop the spread of coronavirus disease 2019 (COVID-19) by severely restricting travel and in-person commercial activities. Here, we analyse the supply-chain effects of a set of idealized lockdown scenarios, using the latest global trade modelling framework. We find that supply-chain losses that are related to initial COVID-19 lockdowns are largely dependent on the number of countries imposing restrictions and that losses are more sensitive to the duration of a lockdown than its strictness. However, a longer containment that can eradicate the disease imposes a smaller loss than shorter ones. Earlier, stricter and shorter lockdowns can minimize overall losses. A ‘go-slow’ approach to lifting restrictions may reduce overall damages if it avoids the need for further lockdowns. Regardless of the strategy, the complexity of global supply chains will magnify losses beyond the direct effects of COVID-19. Thus, pandemic control is a public good that requires collective efforts and support to lower-capacity countries.","container-title":"Nature Human Behaviour","DOI":"10.1038/s41562-020-0896-8","ISSN":"2397-3374","issue":"6","language":"en","note":"number: 6\npublisher: Nature Publishing Group","page":"577-587","source":"www.nature.com","title":"Global supply-chain effects of COVID-19 control measures","volume":"4","author":[{"family":"Guan","given":"Dabo"},{"family":"Wang","given":"Daoping"},{"family":"Hallegatte","given":"Stephane"},{"family":"Davis","given":"Steven J."},{"family":"Huo","given":"Jingwen"},{"family":"Li","given":"Shuping"},{"family":"Bai","given":"Yangchun"},{"family":"Lei","given":"Tianyang"},{"family":"Xue","given":"Qianyu"},{"family":"Coffman","given":"D’Maris"},{"family":"Cheng","given":"Danyang"},{"family":"Chen","given":"Peipei"},{"family":"Liang","given":"Xi"},{"family":"Xu","given":"Bing"},{"family":"Lu","given":"Xiaosheng"},{"family":"Wang","given":"Shouyang"},{"family":"Hubacek","given":"Klaus"},{"family":"Gong","given":"Peng"}],"issued":{"date-parts":[["2020",6]]}}}],"schema":"https://github.com/citation-style-language/schema/raw/master/csl-citation.json"} </w:instrText>
      </w:r>
      <w:r w:rsidR="00F90B46">
        <w:fldChar w:fldCharType="separate"/>
      </w:r>
      <w:r w:rsidR="00F90B46" w:rsidRPr="00F90B46">
        <w:rPr>
          <w:kern w:val="0"/>
          <w:szCs w:val="24"/>
          <w:vertAlign w:val="superscript"/>
        </w:rPr>
        <w:t>8</w:t>
      </w:r>
      <w:r w:rsidR="00F90B46">
        <w:fldChar w:fldCharType="end"/>
      </w:r>
      <w:r w:rsidRPr="00214EFC">
        <w:t xml:space="preserve">. This makes </w:t>
      </w:r>
      <w:proofErr w:type="spellStart"/>
      <w:r w:rsidRPr="00214EFC">
        <w:t>labour</w:t>
      </w:r>
      <w:proofErr w:type="spellEnd"/>
      <w:r w:rsidRPr="00214EFC">
        <w:t xml:space="preserve"> constraints a key factor to consider in disaster impact analysis. For example, in the case of a pandemic, these constraints can arise from employees’ inability to work </w:t>
      </w:r>
      <w:proofErr w:type="gramStart"/>
      <w:r w:rsidRPr="00214EFC">
        <w:t>as a result of</w:t>
      </w:r>
      <w:proofErr w:type="gramEnd"/>
      <w:r w:rsidRPr="00214EFC">
        <w:t xml:space="preserve"> illness or death, or from the inability to go to work and the requirement to work at home (if possible). In this model, the proportion of surviving productive capacity from the constrained </w:t>
      </w:r>
      <w:proofErr w:type="spellStart"/>
      <w:r w:rsidRPr="00214EFC">
        <w:t>labour</w:t>
      </w:r>
      <w:proofErr w:type="spellEnd"/>
      <w:r w:rsidRPr="00214EFC">
        <w:t xml:space="preserve"> productive capacity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L</m:t>
            </m:r>
          </m:sup>
        </m:sSubSup>
      </m:oMath>
      <w:r w:rsidRPr="00214EFC">
        <w:t xml:space="preserve">) after a shock is defined as: </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D3D2B" w:rsidRPr="00214EFC" w14:paraId="362975E7" w14:textId="77777777" w:rsidTr="00CF5CDD">
        <w:tc>
          <w:tcPr>
            <w:tcW w:w="4148" w:type="dxa"/>
            <w:vAlign w:val="center"/>
          </w:tcPr>
          <w:p w14:paraId="4CB89E41" w14:textId="79BE595B" w:rsidR="00CD3D2B" w:rsidRPr="00CD3D2B" w:rsidRDefault="002D7B00" w:rsidP="00AA63CD">
            <w:pPr>
              <w:pStyle w:val="Table"/>
              <w:spacing w:after="100" w:afterAutospacing="1" w:line="360" w:lineRule="auto"/>
              <w:jc w:val="left"/>
              <w:rPr>
                <w:rFonts w:ascii="Times New Roman" w:hAnsi="Times New Roman" w:cs="Times New Roman"/>
                <w:i/>
                <w:color w:val="auto"/>
              </w:rPr>
            </w:pPr>
            <m:oMathPara>
              <m:oMathParaPr>
                <m:jc m:val="left"/>
              </m:oMathParaP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L</m:t>
                    </m:r>
                  </m:sup>
                </m:sSubSup>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r>
                      <w:rPr>
                        <w:rFonts w:ascii="Cambria Math" w:hAnsi="Cambria Math"/>
                      </w:rPr>
                      <m:t>1-</m:t>
                    </m:r>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d>
                      <m:dPr>
                        <m:ctrlPr>
                          <w:rPr>
                            <w:rFonts w:ascii="Cambria Math" w:hAnsi="Cambria Math"/>
                            <w:i/>
                          </w:rPr>
                        </m:ctrlPr>
                      </m:dPr>
                      <m:e>
                        <m:r>
                          <w:rPr>
                            <w:rFonts w:ascii="Cambria Math" w:hAnsi="Cambria Math"/>
                          </w:rPr>
                          <m:t>t</m:t>
                        </m:r>
                      </m:e>
                    </m:d>
                  </m:e>
                </m:d>
                <m:r>
                  <m:rPr>
                    <m:sty m:val="bi"/>
                  </m:rP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i</m:t>
                    </m:r>
                  </m:sub>
                </m:sSub>
              </m:oMath>
            </m:oMathPara>
          </w:p>
        </w:tc>
        <w:tc>
          <w:tcPr>
            <w:tcW w:w="4148" w:type="dxa"/>
            <w:vAlign w:val="center"/>
          </w:tcPr>
          <w:p w14:paraId="619BEEEA" w14:textId="0DDE2960" w:rsidR="00CD3D2B" w:rsidRPr="00214EFC" w:rsidRDefault="00CD3D2B" w:rsidP="00AA63CD">
            <w:pPr>
              <w:pStyle w:val="Table"/>
              <w:spacing w:after="100" w:afterAutospacing="1" w:line="360" w:lineRule="auto"/>
              <w:jc w:val="right"/>
              <w:rPr>
                <w:rFonts w:ascii="Times New Roman" w:hAnsi="Times New Roman" w:cs="Times New Roman"/>
                <w:color w:val="auto"/>
              </w:rPr>
            </w:pPr>
            <w:r w:rsidRPr="00CD3D2B">
              <w:rPr>
                <w:rFonts w:ascii="Times New Roman" w:hAnsi="Times New Roman" w:cs="Times New Roman"/>
                <w:color w:val="auto"/>
              </w:rPr>
              <w:t xml:space="preserve">Equation </w:t>
            </w:r>
            <w:r w:rsidRPr="00CD3D2B">
              <w:rPr>
                <w:rFonts w:ascii="Times New Roman" w:hAnsi="Times New Roman" w:cs="Times New Roman"/>
                <w:color w:val="auto"/>
              </w:rPr>
              <w:fldChar w:fldCharType="begin"/>
            </w:r>
            <w:r w:rsidRPr="00CD3D2B">
              <w:rPr>
                <w:rFonts w:ascii="Times New Roman" w:hAnsi="Times New Roman" w:cs="Times New Roman"/>
                <w:color w:val="auto"/>
              </w:rPr>
              <w:instrText xml:space="preserve"> SEQ Equation \* ARABIC </w:instrText>
            </w:r>
            <w:r w:rsidRPr="00CD3D2B">
              <w:rPr>
                <w:rFonts w:ascii="Times New Roman" w:hAnsi="Times New Roman" w:cs="Times New Roman"/>
                <w:color w:val="auto"/>
              </w:rPr>
              <w:fldChar w:fldCharType="separate"/>
            </w:r>
            <w:r w:rsidR="00EC2279">
              <w:rPr>
                <w:rFonts w:ascii="Times New Roman" w:hAnsi="Times New Roman" w:cs="Times New Roman"/>
                <w:noProof/>
                <w:color w:val="auto"/>
              </w:rPr>
              <w:t>3</w:t>
            </w:r>
            <w:r w:rsidRPr="00CD3D2B">
              <w:rPr>
                <w:rFonts w:ascii="Times New Roman" w:hAnsi="Times New Roman" w:cs="Times New Roman"/>
                <w:color w:val="auto"/>
              </w:rPr>
              <w:fldChar w:fldCharType="end"/>
            </w:r>
          </w:p>
        </w:tc>
      </w:tr>
    </w:tbl>
    <w:p w14:paraId="7C39C09C" w14:textId="546CA6F0" w:rsidR="00A35EEE" w:rsidRPr="00CD3D2B" w:rsidRDefault="00A35EEE" w:rsidP="00AA63CD">
      <w:pPr>
        <w:spacing w:beforeLines="50" w:before="156" w:after="100" w:afterAutospacing="1" w:line="360" w:lineRule="auto"/>
      </w:pPr>
      <w:r w:rsidRPr="00214EFC">
        <w:lastRenderedPageBreak/>
        <w:t xml:space="preserve">Where </w:t>
      </w: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r>
          <w:rPr>
            <w:rFonts w:ascii="Cambria Math" w:hAnsi="Cambria Math"/>
          </w:rPr>
          <m:t>(t)</m:t>
        </m:r>
      </m:oMath>
      <w:r w:rsidRPr="00214EFC">
        <w:rPr>
          <w:b/>
        </w:rPr>
        <w:t xml:space="preserve"> </w:t>
      </w:r>
      <w:r w:rsidRPr="00214EFC">
        <w:t xml:space="preserve">is the proportion of </w:t>
      </w:r>
      <w:proofErr w:type="spellStart"/>
      <w:r w:rsidRPr="00214EFC">
        <w:t>labour</w:t>
      </w:r>
      <w:proofErr w:type="spellEnd"/>
      <w:r w:rsidRPr="00214EFC">
        <w:t xml:space="preserve"> that is unavailable at each </w:t>
      </w:r>
      <w:r w:rsidR="00D1453B" w:rsidRPr="00214EFC">
        <w:t>period</w:t>
      </w:r>
      <w:r w:rsidRPr="00214EFC">
        <w:t xml:space="preserve"> </w:t>
      </w:r>
      <m:oMath>
        <m:r>
          <w:rPr>
            <w:rFonts w:ascii="Cambria Math" w:hAnsi="Cambria Math"/>
          </w:rPr>
          <m:t>t</m:t>
        </m:r>
      </m:oMath>
      <w:r w:rsidRPr="00214EFC">
        <w:t xml:space="preserve"> during </w:t>
      </w:r>
      <w:proofErr w:type="gramStart"/>
      <w:r w:rsidRPr="00214EFC">
        <w:t>containment.</w:t>
      </w:r>
      <w:proofErr w:type="gramEnd"/>
      <w:r w:rsidRPr="00214EFC">
        <w:t xml:space="preserve"> </w:t>
      </w:r>
      <m:oMath>
        <m:r>
          <w:rPr>
            <w:rFonts w:ascii="Cambria Math" w:hAnsi="Cambria Math"/>
          </w:rPr>
          <m:t>(1-</m:t>
        </m:r>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r>
          <w:rPr>
            <w:rFonts w:ascii="Cambria Math" w:hAnsi="Cambria Math"/>
          </w:rPr>
          <m:t>(t))</m:t>
        </m:r>
      </m:oMath>
      <w:r w:rsidRPr="00214EFC">
        <w:t xml:space="preserve"> contains the available proportion of employment at </w:t>
      </w:r>
      <w:r w:rsidR="00D1453B" w:rsidRPr="00214EFC">
        <w:t xml:space="preserve">period </w:t>
      </w:r>
      <m:oMath>
        <m:r>
          <w:rPr>
            <w:rFonts w:ascii="Cambria Math" w:hAnsi="Cambria Math"/>
          </w:rPr>
          <m:t>t</m:t>
        </m:r>
      </m:oMath>
      <w:r w:rsidRPr="00214EFC">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D3D2B" w:rsidRPr="00214EFC" w14:paraId="1B4F3AFE" w14:textId="77777777" w:rsidTr="00CD3D2B">
        <w:trPr>
          <w:trHeight w:val="60"/>
        </w:trPr>
        <w:tc>
          <w:tcPr>
            <w:tcW w:w="4148" w:type="dxa"/>
            <w:vAlign w:val="center"/>
          </w:tcPr>
          <w:p w14:paraId="6853DC66" w14:textId="6F52BEBF" w:rsidR="00CD3D2B" w:rsidRPr="00CD3D2B" w:rsidRDefault="002D7B00" w:rsidP="00AA63CD">
            <w:pPr>
              <w:pStyle w:val="Table"/>
              <w:spacing w:after="100" w:afterAutospacing="1" w:line="360" w:lineRule="auto"/>
              <w:jc w:val="left"/>
              <w:rPr>
                <w:rFonts w:ascii="Times New Roman" w:hAnsi="Times New Roman" w:cs="Times New Roman"/>
                <w:i/>
                <w:color w:val="auto"/>
              </w:rPr>
            </w:pPr>
            <m:oMathPara>
              <m:oMathParaPr>
                <m:jc m:val="left"/>
              </m:oMathParaPr>
              <m:oMath>
                <m:sSubSup>
                  <m:sSubSupPr>
                    <m:ctrlPr>
                      <w:rPr>
                        <w:rFonts w:ascii="Cambria Math" w:hAnsi="Cambria Math"/>
                        <w:i/>
                      </w:rPr>
                    </m:ctrlPr>
                  </m:sSubSupPr>
                  <m:e>
                    <m:r>
                      <w:rPr>
                        <w:rFonts w:ascii="Cambria Math" w:hAnsi="Cambria Math"/>
                      </w:rPr>
                      <m:t>γ</m:t>
                    </m:r>
                  </m:e>
                  <m:sub>
                    <m:r>
                      <w:rPr>
                        <w:rFonts w:ascii="Cambria Math" w:hAnsi="Cambria Math"/>
                      </w:rPr>
                      <m:t>i</m:t>
                    </m:r>
                  </m:sub>
                  <m:sup>
                    <m:r>
                      <w:rPr>
                        <w:rFonts w:ascii="Cambria Math" w:hAnsi="Cambria Math"/>
                      </w:rPr>
                      <m:t>L</m:t>
                    </m:r>
                  </m:sup>
                </m:sSubSup>
                <m:r>
                  <w:rPr>
                    <w:rFonts w:ascii="Cambria Math" w:hAnsi="Cambria Math"/>
                  </w:rPr>
                  <m:t>(t)=</m:t>
                </m:r>
                <m:d>
                  <m:dPr>
                    <m:ctrlPr>
                      <w:rPr>
                        <w:rFonts w:ascii="Cambria Math" w:hAnsi="Cambria Math"/>
                        <w:i/>
                      </w:rPr>
                    </m:ctrlPr>
                  </m:dPr>
                  <m:e>
                    <m:sSub>
                      <m:sSubPr>
                        <m:ctrlPr>
                          <w:rPr>
                            <w:rFonts w:ascii="Cambria Math" w:hAnsi="Cambria Math"/>
                            <w:bCs/>
                            <w:i/>
                          </w:rPr>
                        </m:ctrlPr>
                      </m:sSubPr>
                      <m:e>
                        <m:acc>
                          <m:accPr>
                            <m:chr m:val="̅"/>
                            <m:ctrlPr>
                              <w:rPr>
                                <w:rFonts w:ascii="Cambria Math" w:hAnsi="Cambria Math"/>
                                <w:bCs/>
                                <w:i/>
                              </w:rPr>
                            </m:ctrlPr>
                          </m:accPr>
                          <m:e>
                            <m:r>
                              <w:rPr>
                                <w:rFonts w:ascii="Cambria Math" w:hAnsi="Cambria Math"/>
                              </w:rPr>
                              <m:t>L</m:t>
                            </m:r>
                          </m:e>
                        </m:acc>
                      </m:e>
                      <m:sub>
                        <m:r>
                          <w:rPr>
                            <w:rFonts w:ascii="Cambria Math" w:hAnsi="Cambria Math"/>
                          </w:rPr>
                          <m:t>i</m:t>
                        </m:r>
                      </m:sub>
                    </m:sSub>
                    <m:r>
                      <w:rPr>
                        <w:rFonts w:ascii="Cambria Math" w:hAnsi="Cambria Math"/>
                      </w:rPr>
                      <m:t>-</m:t>
                    </m:r>
                    <m:sSub>
                      <m:sSubPr>
                        <m:ctrlPr>
                          <w:rPr>
                            <w:rFonts w:ascii="Cambria Math" w:hAnsi="Cambria Math"/>
                            <w:bCs/>
                            <w:i/>
                          </w:rPr>
                        </m:ctrlPr>
                      </m:sSubPr>
                      <m:e>
                        <m:r>
                          <w:rPr>
                            <w:rFonts w:ascii="Cambria Math" w:hAnsi="Cambria Math"/>
                          </w:rPr>
                          <m:t>L</m:t>
                        </m:r>
                      </m:e>
                      <m:sub>
                        <m:r>
                          <w:rPr>
                            <w:rFonts w:ascii="Cambria Math" w:hAnsi="Cambria Math"/>
                          </w:rPr>
                          <m:t>i</m:t>
                        </m:r>
                      </m:sub>
                    </m:sSub>
                    <m:r>
                      <w:rPr>
                        <w:rFonts w:ascii="Cambria Math" w:hAnsi="Cambria Math"/>
                      </w:rPr>
                      <m:t>(t</m:t>
                    </m:r>
                    <m:r>
                      <m:rPr>
                        <m:sty m:val="bi"/>
                      </m:rPr>
                      <w:rPr>
                        <w:rFonts w:ascii="Cambria Math" w:hAnsi="Cambria Math"/>
                      </w:rPr>
                      <m:t>)</m:t>
                    </m:r>
                  </m:e>
                </m:d>
                <m:r>
                  <w:rPr>
                    <w:rFonts w:ascii="Cambria Math" w:hAnsi="Cambria Math"/>
                  </w:rPr>
                  <m:t>/</m:t>
                </m:r>
                <m:sSub>
                  <m:sSubPr>
                    <m:ctrlPr>
                      <w:rPr>
                        <w:rFonts w:ascii="Cambria Math" w:hAnsi="Cambria Math"/>
                        <w:bCs/>
                        <w:i/>
                      </w:rPr>
                    </m:ctrlPr>
                  </m:sSubPr>
                  <m:e>
                    <m:acc>
                      <m:accPr>
                        <m:chr m:val="̅"/>
                        <m:ctrlPr>
                          <w:rPr>
                            <w:rFonts w:ascii="Cambria Math" w:hAnsi="Cambria Math"/>
                            <w:bCs/>
                            <w:i/>
                          </w:rPr>
                        </m:ctrlPr>
                      </m:accPr>
                      <m:e>
                        <m:r>
                          <w:rPr>
                            <w:rFonts w:ascii="Cambria Math" w:hAnsi="Cambria Math"/>
                          </w:rPr>
                          <m:t>L</m:t>
                        </m:r>
                      </m:e>
                    </m:acc>
                  </m:e>
                  <m:sub>
                    <m:r>
                      <w:rPr>
                        <w:rFonts w:ascii="Cambria Math" w:hAnsi="Cambria Math"/>
                      </w:rPr>
                      <m:t>i</m:t>
                    </m:r>
                  </m:sub>
                </m:sSub>
              </m:oMath>
            </m:oMathPara>
          </w:p>
        </w:tc>
        <w:tc>
          <w:tcPr>
            <w:tcW w:w="4148" w:type="dxa"/>
            <w:vAlign w:val="center"/>
          </w:tcPr>
          <w:p w14:paraId="743B2033" w14:textId="38BDC720" w:rsidR="00CD3D2B" w:rsidRPr="00214EFC" w:rsidRDefault="00CD3D2B" w:rsidP="00AA63CD">
            <w:pPr>
              <w:pStyle w:val="Table"/>
              <w:spacing w:after="100" w:afterAutospacing="1" w:line="360" w:lineRule="auto"/>
              <w:jc w:val="right"/>
              <w:rPr>
                <w:rFonts w:ascii="Times New Roman" w:hAnsi="Times New Roman" w:cs="Times New Roman"/>
                <w:color w:val="auto"/>
              </w:rPr>
            </w:pPr>
            <w:r w:rsidRPr="00CD3D2B">
              <w:rPr>
                <w:rFonts w:ascii="Times New Roman" w:hAnsi="Times New Roman" w:cs="Times New Roman"/>
                <w:color w:val="auto"/>
              </w:rPr>
              <w:t xml:space="preserve">Equation </w:t>
            </w:r>
            <w:r w:rsidRPr="00CD3D2B">
              <w:rPr>
                <w:rFonts w:ascii="Times New Roman" w:hAnsi="Times New Roman" w:cs="Times New Roman"/>
                <w:color w:val="auto"/>
              </w:rPr>
              <w:fldChar w:fldCharType="begin"/>
            </w:r>
            <w:r w:rsidRPr="00CD3D2B">
              <w:rPr>
                <w:rFonts w:ascii="Times New Roman" w:hAnsi="Times New Roman" w:cs="Times New Roman"/>
                <w:color w:val="auto"/>
              </w:rPr>
              <w:instrText xml:space="preserve"> SEQ Equation \* ARABIC </w:instrText>
            </w:r>
            <w:r w:rsidRPr="00CD3D2B">
              <w:rPr>
                <w:rFonts w:ascii="Times New Roman" w:hAnsi="Times New Roman" w:cs="Times New Roman"/>
                <w:color w:val="auto"/>
              </w:rPr>
              <w:fldChar w:fldCharType="separate"/>
            </w:r>
            <w:r w:rsidR="00EC2279">
              <w:rPr>
                <w:rFonts w:ascii="Times New Roman" w:hAnsi="Times New Roman" w:cs="Times New Roman"/>
                <w:noProof/>
                <w:color w:val="auto"/>
              </w:rPr>
              <w:t>4</w:t>
            </w:r>
            <w:r w:rsidRPr="00CD3D2B">
              <w:rPr>
                <w:rFonts w:ascii="Times New Roman" w:hAnsi="Times New Roman" w:cs="Times New Roman"/>
                <w:color w:val="auto"/>
              </w:rPr>
              <w:fldChar w:fldCharType="end"/>
            </w:r>
          </w:p>
        </w:tc>
      </w:tr>
    </w:tbl>
    <w:p w14:paraId="7C39C09D" w14:textId="77777777" w:rsidR="00A35EEE" w:rsidRPr="00214EFC" w:rsidRDefault="00A35EEE" w:rsidP="00AA63CD">
      <w:pPr>
        <w:spacing w:beforeLines="50" w:before="156" w:after="100" w:afterAutospacing="1" w:line="360" w:lineRule="auto"/>
      </w:pPr>
      <w:r w:rsidRPr="00214EFC">
        <w:t>The proportion of the available</w:t>
      </w:r>
      <w:r w:rsidRPr="00214EFC" w:rsidDel="00A93D96">
        <w:t xml:space="preserve"> </w:t>
      </w:r>
      <w:r w:rsidRPr="00214EFC">
        <w:t xml:space="preserve">productive capacity of </w:t>
      </w:r>
      <w:proofErr w:type="spellStart"/>
      <w:r w:rsidRPr="00214EFC">
        <w:t>labour</w:t>
      </w:r>
      <w:proofErr w:type="spellEnd"/>
      <w:r w:rsidRPr="00214EFC">
        <w:t xml:space="preserve"> is thus a function of the losses from the sectoral </w:t>
      </w:r>
      <w:proofErr w:type="spellStart"/>
      <w:r w:rsidRPr="00214EFC">
        <w:t>labour</w:t>
      </w:r>
      <w:proofErr w:type="spellEnd"/>
      <w:r w:rsidRPr="00214EFC">
        <w:t xml:space="preserve"> forces and its pre-disaster employment level. Following the assumption of the fixed proportion of production functions, the productive capacity of </w:t>
      </w:r>
      <w:proofErr w:type="spellStart"/>
      <w:r w:rsidRPr="00214EFC">
        <w:t>labour</w:t>
      </w:r>
      <w:proofErr w:type="spellEnd"/>
      <w:r w:rsidRPr="00214EFC">
        <w:t xml:space="preserve"> in each region after a disaster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L</m:t>
            </m:r>
          </m:sup>
        </m:sSubSup>
      </m:oMath>
      <w:r w:rsidRPr="00214EFC">
        <w:t>) will represent a linear proportion of the available</w:t>
      </w:r>
      <w:r w:rsidRPr="00214EFC" w:rsidDel="00A93D96">
        <w:t xml:space="preserve"> </w:t>
      </w:r>
      <w:proofErr w:type="spellStart"/>
      <w:r w:rsidRPr="00214EFC">
        <w:t>labour</w:t>
      </w:r>
      <w:proofErr w:type="spellEnd"/>
      <w:r w:rsidRPr="00214EFC">
        <w:t xml:space="preserve"> capacity at each time step. Take COVID-19 as an example, during an outbreak of an infectious disease, authorities often adopt social distancing and other measures to reduce the risk of infection. This imposes an exogenous negative shock on the economic network.</w:t>
      </w:r>
    </w:p>
    <w:p w14:paraId="7C39C09E" w14:textId="6BABDABA" w:rsidR="00A35EEE" w:rsidRPr="00214EFC" w:rsidRDefault="00A35EEE" w:rsidP="00AA63CD">
      <w:pPr>
        <w:spacing w:after="100" w:afterAutospacing="1" w:line="360" w:lineRule="auto"/>
      </w:pPr>
      <w:r w:rsidRPr="00214EFC">
        <w:t xml:space="preserve">The shortage of intermediate products will further affect the production capacity of downstream sectors and reduce their outputs due to the forward effect. If we consider the limitations of primary and intermediate inputs, the maximum production capacity of sector </w:t>
      </w:r>
      <m:oMath>
        <m:r>
          <w:rPr>
            <w:rFonts w:ascii="Cambria Math" w:hAnsi="Cambria Math"/>
          </w:rPr>
          <m:t>i</m:t>
        </m:r>
      </m:oMath>
      <w:r w:rsidRPr="00214EFC">
        <w:t xml:space="preserve"> in </w:t>
      </w:r>
      <w:r w:rsidR="009B570D" w:rsidRPr="00214EFC">
        <w:t xml:space="preserve">period </w:t>
      </w:r>
      <m:oMath>
        <m:r>
          <w:rPr>
            <w:rFonts w:ascii="Cambria Math" w:hAnsi="Cambria Math"/>
          </w:rPr>
          <m:t>t</m:t>
        </m:r>
      </m:oMath>
      <w:r w:rsidRPr="00214EFC">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i,r</m:t>
            </m:r>
          </m:sub>
          <m:sup>
            <m:r>
              <w:rPr>
                <w:rFonts w:ascii="Cambria Math" w:hAnsi="Cambria Math"/>
              </w:rPr>
              <m:t>max</m:t>
            </m:r>
          </m:sup>
        </m:sSubSup>
        <m:d>
          <m:dPr>
            <m:ctrlPr>
              <w:rPr>
                <w:rFonts w:ascii="Cambria Math" w:hAnsi="Cambria Math"/>
                <w:i/>
              </w:rPr>
            </m:ctrlPr>
          </m:dPr>
          <m:e>
            <m:r>
              <w:rPr>
                <w:rFonts w:ascii="Cambria Math" w:hAnsi="Cambria Math"/>
              </w:rPr>
              <m:t>t</m:t>
            </m:r>
          </m:e>
        </m:d>
      </m:oMath>
      <w:r w:rsidRPr="00214EFC">
        <w:t xml:space="preserve">) can be calculated as </w:t>
      </w:r>
      <w:r w:rsidRPr="00214EFC">
        <w:fldChar w:fldCharType="begin"/>
      </w:r>
      <w:r w:rsidRPr="00214EFC">
        <w:instrText xml:space="preserve"> REF _Ref42437555 \h </w:instrText>
      </w:r>
      <w:r w:rsidR="00052B68" w:rsidRPr="00214EFC">
        <w:instrText xml:space="preserve"> \* MERGEFORMAT </w:instrText>
      </w:r>
      <w:r w:rsidRPr="00214EFC">
        <w:fldChar w:fldCharType="separate"/>
      </w:r>
      <w:r w:rsidR="00CD3D2B" w:rsidRPr="00214EFC">
        <w:t xml:space="preserve">Equation </w:t>
      </w:r>
      <w:r w:rsidR="00CD3D2B">
        <w:rPr>
          <w:noProof/>
        </w:rPr>
        <w:t>5</w:t>
      </w:r>
      <w:r w:rsidRPr="00214EFC">
        <w:fldChar w:fldCharType="end"/>
      </w:r>
      <w:r w:rsidRPr="00214EFC">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775"/>
      </w:tblGrid>
      <w:tr w:rsidR="00A35EEE" w:rsidRPr="00214EFC" w14:paraId="7C39C0A1" w14:textId="77777777" w:rsidTr="009B570D">
        <w:tc>
          <w:tcPr>
            <w:tcW w:w="6521" w:type="dxa"/>
            <w:vAlign w:val="center"/>
          </w:tcPr>
          <w:p w14:paraId="7C39C09F" w14:textId="22028FD8" w:rsidR="00A35EEE" w:rsidRPr="00214EFC" w:rsidRDefault="002D7B00" w:rsidP="00AA63CD">
            <w:pPr>
              <w:pStyle w:val="Table"/>
              <w:spacing w:after="100" w:afterAutospacing="1" w:line="360" w:lineRule="auto"/>
              <w:jc w:val="left"/>
              <w:rPr>
                <w:rFonts w:ascii="Times New Roman" w:hAnsi="Times New Roman" w:cs="Times New Roman"/>
                <w:color w:val="auto"/>
              </w:rPr>
            </w:pPr>
            <m:oMath>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max</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=min</m:t>
              </m:r>
              <m:d>
                <m:dPr>
                  <m:ctrlPr>
                    <w:rPr>
                      <w:rFonts w:ascii="Cambria Math" w:hAnsi="Cambria Math" w:cs="Times New Roman"/>
                      <w:color w:val="auto"/>
                    </w:rPr>
                  </m:ctrlPr>
                </m:dPr>
                <m:e>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m:t>
                      </m:r>
                    </m:sub>
                    <m:sup>
                      <m:r>
                        <w:rPr>
                          <w:rFonts w:ascii="Cambria Math" w:hAnsi="Cambria Math" w:cs="Times New Roman"/>
                          <w:color w:val="auto"/>
                        </w:rPr>
                        <m:t>L</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r>
                    <m:rPr>
                      <m:sty m:val="p"/>
                    </m:rPr>
                    <w:rPr>
                      <w:rFonts w:ascii="Cambria Math" w:hAnsi="Cambria Math" w:cs="Times New Roman"/>
                      <w:color w:val="auto"/>
                    </w:rPr>
                    <m:t>for all</m:t>
                  </m:r>
                  <m:r>
                    <w:rPr>
                      <w:rFonts w:ascii="Cambria Math" w:hAnsi="Cambria Math" w:cs="Times New Roman"/>
                      <w:color w:val="auto"/>
                    </w:rPr>
                    <m:t xml:space="preserve"> i,r, </m:t>
                  </m:r>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p</m:t>
                      </m:r>
                    </m:sup>
                  </m:sSubSup>
                  <m:d>
                    <m:dPr>
                      <m:ctrlPr>
                        <w:rPr>
                          <w:rFonts w:ascii="Cambria Math" w:hAnsi="Cambria Math" w:cs="Times New Roman"/>
                          <w:i/>
                          <w:color w:val="auto"/>
                        </w:rPr>
                      </m:ctrlPr>
                    </m:dPr>
                    <m:e>
                      <m:r>
                        <w:rPr>
                          <w:rFonts w:ascii="Cambria Math" w:hAnsi="Cambria Math" w:cs="Times New Roman"/>
                          <w:color w:val="auto"/>
                        </w:rPr>
                        <m:t>t</m:t>
                      </m:r>
                    </m:e>
                  </m:d>
                </m:e>
              </m:d>
            </m:oMath>
            <w:r w:rsidR="00A35EEE" w:rsidRPr="00214EFC">
              <w:rPr>
                <w:rFonts w:ascii="Times New Roman" w:hAnsi="Times New Roman" w:cs="Times New Roman"/>
                <w:color w:val="auto"/>
              </w:rPr>
              <w:t xml:space="preserve"> </w:t>
            </w:r>
          </w:p>
        </w:tc>
        <w:tc>
          <w:tcPr>
            <w:tcW w:w="1775" w:type="dxa"/>
            <w:vAlign w:val="center"/>
          </w:tcPr>
          <w:p w14:paraId="7C39C0A0" w14:textId="464E47EF" w:rsidR="00A35EEE" w:rsidRPr="00214EFC" w:rsidRDefault="00A35EEE" w:rsidP="00AA63CD">
            <w:pPr>
              <w:pStyle w:val="Table"/>
              <w:spacing w:after="100" w:afterAutospacing="1" w:line="360" w:lineRule="auto"/>
              <w:jc w:val="right"/>
              <w:rPr>
                <w:rFonts w:ascii="Times New Roman" w:hAnsi="Times New Roman" w:cs="Times New Roman"/>
                <w:color w:val="auto"/>
              </w:rPr>
            </w:pPr>
            <w:bookmarkStart w:id="9" w:name="_Ref42437555"/>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5</w:t>
            </w:r>
            <w:r w:rsidRPr="00214EFC">
              <w:rPr>
                <w:rFonts w:ascii="Times New Roman" w:hAnsi="Times New Roman" w:cs="Times New Roman"/>
                <w:color w:val="auto"/>
              </w:rPr>
              <w:fldChar w:fldCharType="end"/>
            </w:r>
            <w:bookmarkEnd w:id="9"/>
          </w:p>
        </w:tc>
      </w:tr>
    </w:tbl>
    <w:p w14:paraId="7C39C0A2" w14:textId="00428272" w:rsidR="00A35EEE" w:rsidRPr="00214EFC" w:rsidRDefault="002D7B00" w:rsidP="00AA63CD">
      <w:pPr>
        <w:snapToGrid w:val="0"/>
        <w:spacing w:after="100" w:afterAutospacing="1" w:line="360" w:lineRule="auto"/>
      </w:pPr>
      <m:oMath>
        <m:sSubSup>
          <m:sSubSupPr>
            <m:ctrlPr>
              <w:rPr>
                <w:rFonts w:ascii="Cambria Math" w:hAnsi="Cambria Math"/>
                <w:i/>
              </w:rPr>
            </m:ctrlPr>
          </m:sSubSupPr>
          <m:e>
            <m:r>
              <w:rPr>
                <w:rFonts w:ascii="Cambria Math" w:hAnsi="Cambria Math"/>
              </w:rPr>
              <m:t>x</m:t>
            </m:r>
          </m:e>
          <m:sub>
            <m:r>
              <w:rPr>
                <w:rFonts w:ascii="Cambria Math" w:hAnsi="Cambria Math"/>
              </w:rPr>
              <m:t>i,r</m:t>
            </m:r>
          </m:sub>
          <m:sup>
            <m:r>
              <w:rPr>
                <w:rFonts w:ascii="Cambria Math" w:hAnsi="Cambria Math"/>
              </w:rPr>
              <m:t>L</m:t>
            </m:r>
          </m:sup>
        </m:sSubSup>
        <m:d>
          <m:dPr>
            <m:ctrlPr>
              <w:rPr>
                <w:rFonts w:ascii="Cambria Math" w:hAnsi="Cambria Math"/>
                <w:i/>
              </w:rPr>
            </m:ctrlPr>
          </m:dPr>
          <m:e>
            <m:r>
              <w:rPr>
                <w:rFonts w:ascii="Cambria Math" w:hAnsi="Cambria Math"/>
              </w:rPr>
              <m:t>t</m:t>
            </m:r>
          </m:e>
        </m:d>
      </m:oMath>
      <w:r w:rsidR="00A35EEE" w:rsidRPr="00214EFC">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i,r</m:t>
            </m:r>
          </m:sub>
          <m:sup>
            <m:r>
              <w:rPr>
                <w:rFonts w:ascii="Cambria Math" w:hAnsi="Cambria Math"/>
              </w:rPr>
              <m:t>p</m:t>
            </m:r>
          </m:sup>
        </m:sSubSup>
        <m:d>
          <m:dPr>
            <m:ctrlPr>
              <w:rPr>
                <w:rFonts w:ascii="Cambria Math" w:hAnsi="Cambria Math"/>
                <w:i/>
              </w:rPr>
            </m:ctrlPr>
          </m:dPr>
          <m:e>
            <m:r>
              <w:rPr>
                <w:rFonts w:ascii="Cambria Math" w:hAnsi="Cambria Math"/>
              </w:rPr>
              <m:t>t</m:t>
            </m:r>
          </m:e>
        </m:d>
      </m:oMath>
      <w:r w:rsidR="00A35EEE" w:rsidRPr="00214EFC">
        <w:t xml:space="preserve"> are the maximum outputs when considering the labour constraints and intermediate input scarcity, respectively.</w:t>
      </w:r>
    </w:p>
    <w:p w14:paraId="7C39C0A3" w14:textId="5936351E" w:rsidR="00A35EEE" w:rsidRPr="00214EFC" w:rsidRDefault="00A35EEE" w:rsidP="00AA63CD">
      <w:pPr>
        <w:spacing w:after="100" w:afterAutospacing="1" w:line="360" w:lineRule="auto"/>
      </w:pPr>
      <w:r w:rsidRPr="00214EFC">
        <w:t>From the view of demand, 1) direct contact business activities become less when keeping social distancing; 2) alternative consuming activities impact on the output of producers through changing demand of consumers (</w:t>
      </w:r>
      <w:proofErr w:type="gramStart"/>
      <w:r w:rsidRPr="00214EFC">
        <w:t>i.e.</w:t>
      </w:r>
      <w:proofErr w:type="gramEnd"/>
      <w:r w:rsidRPr="00214EFC">
        <w:t xml:space="preserve"> backward effect). Hence, the total order demand for the sector </w:t>
      </w:r>
      <m:oMath>
        <m:r>
          <w:rPr>
            <w:rFonts w:ascii="Cambria Math" w:hAnsi="Cambria Math"/>
          </w:rPr>
          <m:t>i</m:t>
        </m:r>
      </m:oMath>
      <w:r w:rsidRPr="00214EFC">
        <w:t xml:space="preserve"> in </w:t>
      </w:r>
      <w:r w:rsidR="009B570D" w:rsidRPr="00214EFC">
        <w:t xml:space="preserve">period </w:t>
      </w:r>
      <m:oMath>
        <m:r>
          <w:rPr>
            <w:rFonts w:ascii="Cambria Math" w:hAnsi="Cambria Math"/>
          </w:rPr>
          <m:t>t</m:t>
        </m:r>
      </m:oMath>
      <w:r w:rsidRPr="00214EFC">
        <w:rPr>
          <w:i/>
          <w:iCs/>
        </w:rPr>
        <w:t xml:space="preserve"> </w:t>
      </w:r>
      <w:r w:rsidRPr="00214EFC">
        <w:t>(</w:t>
      </w:r>
      <m:oMath>
        <m:sSub>
          <m:sSubPr>
            <m:ctrlPr>
              <w:rPr>
                <w:rFonts w:ascii="Cambria Math" w:hAnsi="Cambria Math"/>
                <w:i/>
              </w:rPr>
            </m:ctrlPr>
          </m:sSubPr>
          <m:e>
            <m:r>
              <w:rPr>
                <w:rFonts w:ascii="Cambria Math" w:hAnsi="Cambria Math"/>
              </w:rPr>
              <m:t>TD</m:t>
            </m:r>
          </m:e>
          <m:sub>
            <m:r>
              <w:rPr>
                <w:rFonts w:ascii="Cambria Math" w:hAnsi="Cambria Math"/>
              </w:rPr>
              <m:t>i,r</m:t>
            </m:r>
          </m:sub>
        </m:sSub>
        <m:d>
          <m:dPr>
            <m:ctrlPr>
              <w:rPr>
                <w:rFonts w:ascii="Cambria Math" w:hAnsi="Cambria Math"/>
                <w:i/>
              </w:rPr>
            </m:ctrlPr>
          </m:dPr>
          <m:e>
            <m:r>
              <w:rPr>
                <w:rFonts w:ascii="Cambria Math" w:hAnsi="Cambria Math"/>
              </w:rPr>
              <m:t>t</m:t>
            </m:r>
          </m:e>
        </m:d>
      </m:oMath>
      <w:r w:rsidRPr="00214EFC">
        <w:t>) equals to the sum of intermediate demand and household demand (</w:t>
      </w:r>
      <w:r w:rsidRPr="00214EFC">
        <w:fldChar w:fldCharType="begin"/>
      </w:r>
      <w:r w:rsidRPr="00214EFC">
        <w:instrText xml:space="preserve"> REF _Ref42437988 \h </w:instrText>
      </w:r>
      <w:r w:rsidR="00052B68" w:rsidRPr="00214EFC">
        <w:instrText xml:space="preserve"> \* MERGEFORMAT </w:instrText>
      </w:r>
      <w:r w:rsidRPr="00214EFC">
        <w:fldChar w:fldCharType="separate"/>
      </w:r>
      <w:r w:rsidR="00CD3D2B" w:rsidRPr="00214EFC">
        <w:t xml:space="preserve">Equation </w:t>
      </w:r>
      <w:r w:rsidR="00CD3D2B">
        <w:rPr>
          <w:noProof/>
        </w:rPr>
        <w:t>6</w:t>
      </w:r>
      <w:r w:rsidRPr="00214EFC">
        <w:fldChar w:fldCharType="end"/>
      </w:r>
      <w:r w:rsidRPr="00214EFC">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775"/>
      </w:tblGrid>
      <w:tr w:rsidR="00A35EEE" w:rsidRPr="00214EFC" w14:paraId="7C39C0A6" w14:textId="77777777" w:rsidTr="009B570D">
        <w:tc>
          <w:tcPr>
            <w:tcW w:w="6521" w:type="dxa"/>
            <w:vAlign w:val="center"/>
          </w:tcPr>
          <w:p w14:paraId="7C39C0A4" w14:textId="77777777" w:rsidR="00A35EEE" w:rsidRPr="00214EFC" w:rsidRDefault="002D7B00" w:rsidP="00AA63CD">
            <w:pPr>
              <w:pStyle w:val="Table"/>
              <w:spacing w:after="100" w:afterAutospacing="1" w:line="360" w:lineRule="auto"/>
              <w:jc w:val="left"/>
              <w:rPr>
                <w:rFonts w:ascii="Times New Roman" w:hAnsi="Times New Roman" w:cs="Times New Roman"/>
                <w:color w:val="auto"/>
              </w:rPr>
            </w:pPr>
            <m:oMath>
              <m:sSub>
                <m:sSubPr>
                  <m:ctrlPr>
                    <w:rPr>
                      <w:rFonts w:ascii="Cambria Math" w:hAnsi="Cambria Math" w:cs="Times New Roman"/>
                      <w:i/>
                      <w:color w:val="auto"/>
                    </w:rPr>
                  </m:ctrlPr>
                </m:sSubPr>
                <m:e>
                  <m:r>
                    <w:rPr>
                      <w:rFonts w:ascii="Cambria Math" w:hAnsi="Cambria Math" w:cs="Times New Roman"/>
                      <w:color w:val="auto"/>
                    </w:rPr>
                    <m:t>TD</m:t>
                  </m:r>
                </m:e>
                <m:sub>
                  <m:r>
                    <w:rPr>
                      <w:rFonts w:ascii="Cambria Math" w:hAnsi="Cambria Math" w:cs="Times New Roman"/>
                      <w:color w:val="auto"/>
                    </w:rPr>
                    <m:t>i,r</m:t>
                  </m:r>
                </m:sub>
              </m:sSub>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nary>
                <m:naryPr>
                  <m:chr m:val="∑"/>
                  <m:limLoc m:val="subSup"/>
                  <m:supHide m:val="1"/>
                  <m:ctrlPr>
                    <w:rPr>
                      <w:rFonts w:ascii="Cambria Math" w:hAnsi="Cambria Math" w:cs="Times New Roman"/>
                      <w:i/>
                      <w:color w:val="auto"/>
                    </w:rPr>
                  </m:ctrlPr>
                </m:naryPr>
                <m:sub>
                  <m:r>
                    <w:rPr>
                      <w:rFonts w:ascii="Cambria Math" w:hAnsi="Cambria Math" w:cs="Times New Roman"/>
                      <w:color w:val="auto"/>
                    </w:rPr>
                    <m:t>j,s</m:t>
                  </m:r>
                </m:sub>
                <m:sup/>
                <m:e>
                  <m:r>
                    <w:rPr>
                      <w:rFonts w:ascii="Cambria Math" w:hAnsi="Cambria Math" w:cs="Times New Roman"/>
                      <w:color w:val="auto"/>
                    </w:rPr>
                    <m:t>F</m:t>
                  </m:r>
                  <m:sSubSup>
                    <m:sSubSupPr>
                      <m:ctrlPr>
                        <w:rPr>
                          <w:rFonts w:ascii="Cambria Math" w:hAnsi="Cambria Math" w:cs="Times New Roman"/>
                          <w:i/>
                          <w:color w:val="auto"/>
                        </w:rPr>
                      </m:ctrlPr>
                    </m:sSubSupPr>
                    <m:e>
                      <m:r>
                        <w:rPr>
                          <w:rFonts w:ascii="Cambria Math" w:hAnsi="Cambria Math" w:cs="Times New Roman"/>
                          <w:color w:val="auto"/>
                        </w:rPr>
                        <m:t>D</m:t>
                      </m:r>
                    </m:e>
                    <m:sub>
                      <m:r>
                        <w:rPr>
                          <w:rFonts w:ascii="Cambria Math" w:hAnsi="Cambria Math" w:cs="Times New Roman"/>
                          <w:color w:val="auto"/>
                        </w:rPr>
                        <m:t>i,r</m:t>
                      </m:r>
                    </m:sub>
                    <m:sup>
                      <m:r>
                        <w:rPr>
                          <w:rFonts w:ascii="Cambria Math" w:hAnsi="Cambria Math" w:cs="Times New Roman"/>
                          <w:color w:val="auto"/>
                        </w:rPr>
                        <m:t>j,s</m:t>
                      </m:r>
                    </m:sup>
                  </m:sSubSup>
                  <m:d>
                    <m:dPr>
                      <m:ctrlPr>
                        <w:rPr>
                          <w:rFonts w:ascii="Cambria Math" w:hAnsi="Cambria Math" w:cs="Times New Roman"/>
                          <w:i/>
                          <w:color w:val="auto"/>
                        </w:rPr>
                      </m:ctrlPr>
                    </m:dPr>
                    <m:e>
                      <m:r>
                        <w:rPr>
                          <w:rFonts w:ascii="Cambria Math" w:hAnsi="Cambria Math" w:cs="Times New Roman"/>
                          <w:color w:val="auto"/>
                        </w:rPr>
                        <m:t>t</m:t>
                      </m:r>
                    </m:e>
                  </m:d>
                </m:e>
              </m:nary>
              <m:r>
                <w:rPr>
                  <w:rFonts w:ascii="Cambria Math" w:hAnsi="Cambria Math" w:cs="Times New Roman"/>
                  <w:color w:val="auto"/>
                </w:rPr>
                <m:t>+</m:t>
              </m:r>
              <m:nary>
                <m:naryPr>
                  <m:chr m:val="∑"/>
                  <m:limLoc m:val="subSup"/>
                  <m:supHide m:val="1"/>
                  <m:ctrlPr>
                    <w:rPr>
                      <w:rFonts w:ascii="Cambria Math" w:hAnsi="Cambria Math" w:cs="Times New Roman"/>
                      <w:i/>
                      <w:color w:val="auto"/>
                    </w:rPr>
                  </m:ctrlPr>
                </m:naryPr>
                <m:sub>
                  <m:r>
                    <w:rPr>
                      <w:rFonts w:ascii="Cambria Math" w:hAnsi="Cambria Math" w:cs="Times New Roman"/>
                      <w:color w:val="auto"/>
                    </w:rPr>
                    <m:t>s</m:t>
                  </m:r>
                </m:sub>
                <m:sup/>
                <m:e>
                  <m:sSubSup>
                    <m:sSubSupPr>
                      <m:ctrlPr>
                        <w:rPr>
                          <w:rFonts w:ascii="Cambria Math" w:hAnsi="Cambria Math" w:cs="Times New Roman"/>
                          <w:i/>
                          <w:color w:val="auto"/>
                        </w:rPr>
                      </m:ctrlPr>
                    </m:sSubSupPr>
                    <m:e>
                      <m:r>
                        <w:rPr>
                          <w:rFonts w:ascii="Cambria Math" w:hAnsi="Cambria Math" w:cs="Times New Roman"/>
                          <w:color w:val="auto"/>
                        </w:rPr>
                        <m:t>HD</m:t>
                      </m:r>
                    </m:e>
                    <m:sub>
                      <m:r>
                        <w:rPr>
                          <w:rFonts w:ascii="Cambria Math" w:hAnsi="Cambria Math" w:cs="Times New Roman"/>
                          <w:color w:val="auto"/>
                        </w:rPr>
                        <m:t>i,r</m:t>
                      </m:r>
                    </m:sub>
                    <m:sup>
                      <m:r>
                        <w:rPr>
                          <w:rFonts w:ascii="Cambria Math" w:hAnsi="Cambria Math" w:cs="Times New Roman"/>
                          <w:color w:val="auto"/>
                        </w:rPr>
                        <m:t>s</m:t>
                      </m:r>
                    </m:sup>
                  </m:sSubSup>
                  <m:d>
                    <m:dPr>
                      <m:ctrlPr>
                        <w:rPr>
                          <w:rFonts w:ascii="Cambria Math" w:hAnsi="Cambria Math" w:cs="Times New Roman"/>
                          <w:i/>
                          <w:color w:val="auto"/>
                        </w:rPr>
                      </m:ctrlPr>
                    </m:dPr>
                    <m:e>
                      <m:r>
                        <w:rPr>
                          <w:rFonts w:ascii="Cambria Math" w:hAnsi="Cambria Math" w:cs="Times New Roman"/>
                          <w:color w:val="auto"/>
                        </w:rPr>
                        <m:t>t</m:t>
                      </m:r>
                    </m:e>
                  </m:d>
                </m:e>
              </m:nary>
            </m:oMath>
            <w:r w:rsidR="00A35EEE" w:rsidRPr="00214EFC">
              <w:rPr>
                <w:rFonts w:ascii="Times New Roman" w:hAnsi="Times New Roman" w:cs="Times New Roman"/>
                <w:color w:val="auto"/>
              </w:rPr>
              <w:t xml:space="preserve"> </w:t>
            </w:r>
          </w:p>
        </w:tc>
        <w:tc>
          <w:tcPr>
            <w:tcW w:w="1775" w:type="dxa"/>
            <w:vAlign w:val="center"/>
          </w:tcPr>
          <w:p w14:paraId="7C39C0A5" w14:textId="11FB047A" w:rsidR="00A35EEE" w:rsidRPr="00214EFC" w:rsidRDefault="00A35EEE" w:rsidP="00AA63CD">
            <w:pPr>
              <w:pStyle w:val="Table"/>
              <w:spacing w:after="100" w:afterAutospacing="1" w:line="360" w:lineRule="auto"/>
              <w:jc w:val="right"/>
              <w:rPr>
                <w:rFonts w:ascii="Times New Roman" w:hAnsi="Times New Roman" w:cs="Times New Roman"/>
                <w:color w:val="auto"/>
              </w:rPr>
            </w:pPr>
            <w:bookmarkStart w:id="10" w:name="_Ref42437988"/>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6</w:t>
            </w:r>
            <w:r w:rsidRPr="00214EFC">
              <w:rPr>
                <w:rFonts w:ascii="Times New Roman" w:hAnsi="Times New Roman" w:cs="Times New Roman"/>
                <w:color w:val="auto"/>
              </w:rPr>
              <w:fldChar w:fldCharType="end"/>
            </w:r>
            <w:bookmarkEnd w:id="10"/>
          </w:p>
        </w:tc>
      </w:tr>
    </w:tbl>
    <w:p w14:paraId="7C39C0A7" w14:textId="77777777" w:rsidR="00A35EEE" w:rsidRPr="00214EFC" w:rsidRDefault="00A35EEE" w:rsidP="00AA63CD">
      <w:pPr>
        <w:snapToGrid w:val="0"/>
        <w:spacing w:after="100" w:afterAutospacing="1" w:line="360" w:lineRule="auto"/>
      </w:pPr>
      <w:r w:rsidRPr="00214EFC">
        <w:t xml:space="preserve">where </w:t>
      </w:r>
      <m:oMath>
        <m:r>
          <w:rPr>
            <w:rFonts w:ascii="Cambria Math" w:hAnsi="Cambria Math"/>
          </w:rPr>
          <m:t>F</m:t>
        </m:r>
        <m:sSubSup>
          <m:sSubSupPr>
            <m:ctrlPr>
              <w:rPr>
                <w:rFonts w:ascii="Cambria Math" w:hAnsi="Cambria Math"/>
                <w:i/>
              </w:rPr>
            </m:ctrlPr>
          </m:sSubSupPr>
          <m:e>
            <m:r>
              <w:rPr>
                <w:rFonts w:ascii="Cambria Math" w:hAnsi="Cambria Math"/>
              </w:rPr>
              <m:t>D</m:t>
            </m:r>
          </m:e>
          <m:sub>
            <m:r>
              <w:rPr>
                <w:rFonts w:ascii="Cambria Math" w:hAnsi="Cambria Math"/>
              </w:rPr>
              <m:t>i,r</m:t>
            </m:r>
          </m:sub>
          <m:sup>
            <m:r>
              <w:rPr>
                <w:rFonts w:ascii="Cambria Math" w:hAnsi="Cambria Math"/>
              </w:rPr>
              <m:t>j,s</m:t>
            </m:r>
          </m:sup>
        </m:sSubSup>
        <m:d>
          <m:dPr>
            <m:ctrlPr>
              <w:rPr>
                <w:rFonts w:ascii="Cambria Math" w:hAnsi="Cambria Math"/>
                <w:i/>
              </w:rPr>
            </m:ctrlPr>
          </m:dPr>
          <m:e>
            <m:r>
              <w:rPr>
                <w:rFonts w:ascii="Cambria Math" w:hAnsi="Cambria Math"/>
              </w:rPr>
              <m:t>t</m:t>
            </m:r>
          </m:e>
        </m:d>
      </m:oMath>
      <w:r w:rsidRPr="00214EFC">
        <w:t xml:space="preserve"> refers the order demand that sector</w:t>
      </w:r>
      <w:r w:rsidRPr="00214EFC">
        <w:rPr>
          <w:i/>
          <w:iCs/>
        </w:rPr>
        <w:t xml:space="preserve"> </w:t>
      </w:r>
      <m:oMath>
        <m:r>
          <w:rPr>
            <w:rFonts w:ascii="Cambria Math" w:hAnsi="Cambria Math"/>
          </w:rPr>
          <m:t>j</m:t>
        </m:r>
      </m:oMath>
      <w:r w:rsidRPr="00214EFC">
        <w:rPr>
          <w:i/>
          <w:iCs/>
        </w:rPr>
        <w:t xml:space="preserve"> </w:t>
      </w:r>
      <w:r w:rsidRPr="00214EFC">
        <w:t xml:space="preserve">in region </w:t>
      </w:r>
      <m:oMath>
        <m:r>
          <w:rPr>
            <w:rFonts w:ascii="Cambria Math" w:hAnsi="Cambria Math"/>
          </w:rPr>
          <m:t>s</m:t>
        </m:r>
      </m:oMath>
      <w:r w:rsidRPr="00214EFC">
        <w:t xml:space="preserve"> required from supplier </w:t>
      </w:r>
      <m:oMath>
        <m:r>
          <w:rPr>
            <w:rFonts w:ascii="Cambria Math" w:hAnsi="Cambria Math"/>
          </w:rPr>
          <m:t>i</m:t>
        </m:r>
      </m:oMath>
      <w:r w:rsidRPr="00214EFC">
        <w:rPr>
          <w:i/>
          <w:iCs/>
        </w:rPr>
        <w:t xml:space="preserve"> </w:t>
      </w:r>
      <w:r w:rsidRPr="00214EFC">
        <w:t>in region</w:t>
      </w:r>
      <w:r w:rsidRPr="00214EFC">
        <w:rPr>
          <w:i/>
          <w:iCs/>
        </w:rPr>
        <w:t xml:space="preserve"> </w:t>
      </w:r>
      <m:oMath>
        <m:r>
          <w:rPr>
            <w:rFonts w:ascii="Cambria Math" w:hAnsi="Cambria Math"/>
          </w:rPr>
          <m:t>r</m:t>
        </m:r>
      </m:oMath>
      <w:r w:rsidRPr="00214EFC">
        <w:t xml:space="preserve">; </w:t>
      </w:r>
      <m:oMath>
        <m:sSubSup>
          <m:sSubSupPr>
            <m:ctrlPr>
              <w:rPr>
                <w:rFonts w:ascii="Cambria Math" w:hAnsi="Cambria Math"/>
                <w:i/>
              </w:rPr>
            </m:ctrlPr>
          </m:sSubSupPr>
          <m:e>
            <m:r>
              <w:rPr>
                <w:rFonts w:ascii="Cambria Math" w:hAnsi="Cambria Math"/>
              </w:rPr>
              <m:t>HD</m:t>
            </m:r>
          </m:e>
          <m:sub>
            <m:r>
              <w:rPr>
                <w:rFonts w:ascii="Cambria Math" w:hAnsi="Cambria Math"/>
              </w:rPr>
              <m:t>i,r</m:t>
            </m:r>
          </m:sub>
          <m:sup>
            <m:r>
              <w:rPr>
                <w:rFonts w:ascii="Cambria Math" w:hAnsi="Cambria Math"/>
              </w:rPr>
              <m:t>s</m:t>
            </m:r>
          </m:sup>
        </m:sSubSup>
        <m:d>
          <m:dPr>
            <m:ctrlPr>
              <w:rPr>
                <w:rFonts w:ascii="Cambria Math" w:hAnsi="Cambria Math"/>
                <w:i/>
              </w:rPr>
            </m:ctrlPr>
          </m:dPr>
          <m:e>
            <m:r>
              <w:rPr>
                <w:rFonts w:ascii="Cambria Math" w:hAnsi="Cambria Math"/>
              </w:rPr>
              <m:t>t</m:t>
            </m:r>
          </m:e>
        </m:d>
      </m:oMath>
      <w:r w:rsidRPr="00214EFC">
        <w:t xml:space="preserve"> is the order demand that household in region </w:t>
      </w:r>
      <m:oMath>
        <m:r>
          <w:rPr>
            <w:rFonts w:ascii="Cambria Math" w:hAnsi="Cambria Math"/>
          </w:rPr>
          <m:t>s</m:t>
        </m:r>
      </m:oMath>
      <w:r w:rsidRPr="00214EFC">
        <w:t xml:space="preserve"> required from supplier </w:t>
      </w:r>
      <m:oMath>
        <m:r>
          <w:rPr>
            <w:rFonts w:ascii="Cambria Math" w:hAnsi="Cambria Math"/>
          </w:rPr>
          <m:t>i</m:t>
        </m:r>
      </m:oMath>
      <w:r w:rsidRPr="00214EFC">
        <w:t xml:space="preserve"> in region</w:t>
      </w:r>
      <w:r w:rsidRPr="00214EFC">
        <w:rPr>
          <w:i/>
          <w:iCs/>
        </w:rPr>
        <w:t xml:space="preserve"> </w:t>
      </w:r>
      <m:oMath>
        <m:r>
          <w:rPr>
            <w:rFonts w:ascii="Cambria Math" w:hAnsi="Cambria Math"/>
          </w:rPr>
          <m:t>r</m:t>
        </m:r>
      </m:oMath>
      <w:r w:rsidRPr="00214EFC">
        <w:rPr>
          <w:i/>
          <w:iCs/>
        </w:rPr>
        <w:t>.</w:t>
      </w:r>
    </w:p>
    <w:p w14:paraId="7C39C0A8" w14:textId="2AFFCC3B" w:rsidR="00A35EEE" w:rsidRPr="00214EFC" w:rsidRDefault="00A35EEE" w:rsidP="00AA63CD">
      <w:pPr>
        <w:snapToGrid w:val="0"/>
        <w:spacing w:after="100" w:afterAutospacing="1" w:line="360" w:lineRule="auto"/>
      </w:pPr>
      <w:r w:rsidRPr="00214EFC">
        <w:lastRenderedPageBreak/>
        <w:t xml:space="preserve">To make a more realistic representation to the real production process, we assume that each sector holds some inventory of intermediate goods. In each time step, sectors use intermediate products from their inventories for production, and purchase intermediate products from their supplying sectors in order to restore their inventories </w:t>
      </w:r>
      <w:r w:rsidRPr="00214EFC">
        <w:fldChar w:fldCharType="begin"/>
      </w:r>
      <w:r w:rsidR="00E96E4B" w:rsidRPr="00214EFC">
        <w:instrText xml:space="preserve"> ADDIN EN.CITE &lt;EndNote&gt;&lt;Cite&gt;&lt;Author&gt;Hallegatte&lt;/Author&gt;&lt;Year&gt;2014&lt;/Year&gt;&lt;RecNum&gt;16&lt;/RecNum&gt;&lt;DisplayText&gt;&lt;style face="superscript"&gt;3&lt;/style&gt;&lt;/DisplayText&gt;&lt;record&gt;&lt;rec-number&gt;16&lt;/rec-number&gt;&lt;foreign-keys&gt;&lt;key app="EN" db-id="2v52vztfdw0aeeett015es0ft0dafsefxatv" timestamp="1577518484"&gt;16&lt;/key&gt;&lt;/foreign-keys&gt;&lt;ref-type name="Journal Article"&gt;17&lt;/ref-type&gt;&lt;contributors&gt;&lt;authors&gt;&lt;author&gt;Hallegatte, Stéphane&lt;/author&gt;&lt;/authors&gt;&lt;/contributors&gt;&lt;titles&gt;&lt;title&gt;Modeling the Role of Inventories and Heterogeneity in the Assessment of the Economic Costs of Natural Disasters&lt;/title&gt;&lt;secondary-title&gt;Risk Analysis&lt;/secondary-title&gt;&lt;/titles&gt;&lt;periodical&gt;&lt;full-title&gt;Risk Analysis&lt;/full-title&gt;&lt;/periodical&gt;&lt;pages&gt;152-167&lt;/pages&gt;&lt;volume&gt;34&lt;/volume&gt;&lt;number&gt;1&lt;/number&gt;&lt;dates&gt;&lt;year&gt;2014&lt;/year&gt;&lt;/dates&gt;&lt;isbn&gt;0272-4332&lt;/isbn&gt;&lt;urls&gt;&lt;related-urls&gt;&lt;url&gt;https://onlinelibrary.wiley.com/doi/abs/10.1111/risa.12090&lt;/url&gt;&lt;/related-urls&gt;&lt;/urls&gt;&lt;electronic-resource-num&gt;10.1111/risa.12090&lt;/electronic-resource-num&gt;&lt;/record&gt;&lt;/Cite&gt;&lt;/EndNote&gt;</w:instrText>
      </w:r>
      <w:r w:rsidRPr="00214EFC">
        <w:fldChar w:fldCharType="separate"/>
      </w:r>
      <w:r w:rsidR="00E96E4B" w:rsidRPr="00214EFC">
        <w:rPr>
          <w:noProof/>
          <w:vertAlign w:val="superscript"/>
        </w:rPr>
        <w:t>3</w:t>
      </w:r>
      <w:r w:rsidRPr="00214EFC">
        <w:fldChar w:fldCharType="end"/>
      </w:r>
      <w:r w:rsidRPr="00214EFC">
        <w:t xml:space="preserve">. The amount of intermediate product </w:t>
      </w:r>
      <m:oMath>
        <m:r>
          <w:rPr>
            <w:rFonts w:ascii="Cambria Math" w:hAnsi="Cambria Math"/>
          </w:rPr>
          <m:t>p</m:t>
        </m:r>
      </m:oMath>
      <w:r w:rsidRPr="00214EFC">
        <w:t xml:space="preserve"> hold by sector </w:t>
      </w:r>
      <m:oMath>
        <m:r>
          <w:rPr>
            <w:rFonts w:ascii="Cambria Math" w:hAnsi="Cambria Math"/>
          </w:rPr>
          <m:t>j</m:t>
        </m:r>
      </m:oMath>
      <w:r w:rsidRPr="00214EFC">
        <w:t xml:space="preserve"> in region </w:t>
      </w:r>
      <m:oMath>
        <m:r>
          <w:rPr>
            <w:rFonts w:ascii="Cambria Math" w:hAnsi="Cambria Math"/>
          </w:rPr>
          <m:t>s</m:t>
        </m:r>
      </m:oMath>
      <w:r w:rsidRPr="00214EFC">
        <w:t xml:space="preserve"> in </w:t>
      </w:r>
      <w:r w:rsidR="00CE0FB3" w:rsidRPr="00214EFC">
        <w:t xml:space="preserve">period </w:t>
      </w:r>
      <m:oMath>
        <m:r>
          <w:rPr>
            <w:rFonts w:ascii="Cambria Math" w:hAnsi="Cambria Math"/>
          </w:rPr>
          <m:t>t</m:t>
        </m:r>
      </m:oMath>
      <w:r w:rsidRPr="00214EFC">
        <w:t xml:space="preserve"> is denoted as </w:t>
      </w:r>
      <m:oMath>
        <m:sSubSup>
          <m:sSubSupPr>
            <m:ctrlPr>
              <w:rPr>
                <w:rFonts w:ascii="Cambria Math" w:hAnsi="Cambria Math"/>
                <w:i/>
              </w:rPr>
            </m:ctrlPr>
          </m:sSubSupPr>
          <m:e>
            <m:r>
              <w:rPr>
                <w:rFonts w:ascii="Cambria Math" w:hAnsi="Cambria Math"/>
              </w:rPr>
              <m:t>S</m:t>
            </m:r>
          </m:e>
          <m:sub>
            <m:r>
              <w:rPr>
                <w:rFonts w:ascii="Cambria Math" w:hAnsi="Cambria Math"/>
              </w:rPr>
              <m:t>j,s</m:t>
            </m:r>
          </m:sub>
          <m:sup>
            <m:r>
              <w:rPr>
                <w:rFonts w:ascii="Cambria Math" w:hAnsi="Cambria Math"/>
              </w:rPr>
              <m:t>p</m:t>
            </m:r>
          </m:sup>
        </m:sSubSup>
        <m:d>
          <m:dPr>
            <m:ctrlPr>
              <w:rPr>
                <w:rFonts w:ascii="Cambria Math" w:hAnsi="Cambria Math"/>
                <w:i/>
              </w:rPr>
            </m:ctrlPr>
          </m:dPr>
          <m:e>
            <m:r>
              <w:rPr>
                <w:rFonts w:ascii="Cambria Math" w:hAnsi="Cambria Math"/>
              </w:rPr>
              <m:t>t</m:t>
            </m:r>
          </m:e>
        </m:d>
      </m:oMath>
      <w:r w:rsidRPr="00214EFC">
        <w:t xml:space="preserve">, and we assume the inventory of intermediate product </w:t>
      </w:r>
      <m:oMath>
        <m:r>
          <w:rPr>
            <w:rFonts w:ascii="Cambria Math" w:hAnsi="Cambria Math"/>
          </w:rPr>
          <m:t>p</m:t>
        </m:r>
      </m:oMath>
      <w:r w:rsidRPr="00214EFC">
        <w:t xml:space="preserve"> required by sector </w:t>
      </w:r>
      <m:oMath>
        <m:r>
          <w:rPr>
            <w:rFonts w:ascii="Cambria Math" w:hAnsi="Cambria Math"/>
          </w:rPr>
          <m:t>j</m:t>
        </m:r>
      </m:oMath>
      <w:r w:rsidRPr="00214EFC">
        <w:t xml:space="preserve"> in region </w:t>
      </w:r>
      <m:oMath>
        <m:r>
          <w:rPr>
            <w:rFonts w:ascii="Cambria Math" w:hAnsi="Cambria Math"/>
          </w:rPr>
          <m:t>s</m:t>
        </m:r>
      </m:oMath>
      <w:r w:rsidRPr="00214EFC">
        <w:t xml:space="preserve"> is </w:t>
      </w:r>
      <m:oMath>
        <m:sSubSup>
          <m:sSubSupPr>
            <m:ctrlPr>
              <w:rPr>
                <w:rFonts w:ascii="Cambria Math" w:hAnsi="Cambria Math"/>
                <w:i/>
              </w:rPr>
            </m:ctrlPr>
          </m:sSubSupPr>
          <m:e>
            <m:r>
              <w:rPr>
                <w:rFonts w:ascii="Cambria Math" w:hAnsi="Cambria Math"/>
              </w:rPr>
              <m:t>S</m:t>
            </m:r>
          </m:e>
          <m:sub>
            <m:r>
              <w:rPr>
                <w:rFonts w:ascii="Cambria Math" w:hAnsi="Cambria Math"/>
              </w:rPr>
              <m:t>j,s</m:t>
            </m:r>
          </m:sub>
          <m:sup>
            <m:r>
              <w:rPr>
                <w:rFonts w:ascii="Cambria Math" w:hAnsi="Cambria Math"/>
              </w:rPr>
              <m:t>p,*</m:t>
            </m:r>
          </m:sup>
        </m:sSubSup>
        <m:d>
          <m:dPr>
            <m:ctrlPr>
              <w:rPr>
                <w:rFonts w:ascii="Cambria Math" w:hAnsi="Cambria Math"/>
                <w:i/>
              </w:rPr>
            </m:ctrlPr>
          </m:dPr>
          <m:e>
            <m:r>
              <w:rPr>
                <w:rFonts w:ascii="Cambria Math" w:hAnsi="Cambria Math"/>
              </w:rPr>
              <m:t>t</m:t>
            </m:r>
          </m:e>
        </m:d>
      </m:oMath>
      <w:r w:rsidRPr="00214EFC">
        <w:t xml:space="preserve">, which could fulfil its consumption for </w:t>
      </w:r>
      <m:oMath>
        <m:sSubSup>
          <m:sSubSupPr>
            <m:ctrlPr>
              <w:rPr>
                <w:rFonts w:ascii="Cambria Math" w:hAnsi="Cambria Math"/>
                <w:i/>
              </w:rPr>
            </m:ctrlPr>
          </m:sSubSupPr>
          <m:e>
            <m:r>
              <w:rPr>
                <w:rFonts w:ascii="Cambria Math" w:hAnsi="Cambria Math"/>
              </w:rPr>
              <m:t>n</m:t>
            </m:r>
          </m:e>
          <m:sub>
            <m:r>
              <w:rPr>
                <w:rFonts w:ascii="Cambria Math" w:hAnsi="Cambria Math"/>
              </w:rPr>
              <m:t>j,s</m:t>
            </m:r>
          </m:sub>
          <m:sup>
            <m:r>
              <w:rPr>
                <w:rFonts w:ascii="Cambria Math" w:hAnsi="Cambria Math"/>
              </w:rPr>
              <m:t>p</m:t>
            </m:r>
          </m:sup>
        </m:sSubSup>
      </m:oMath>
      <w:r w:rsidRPr="00214EFC">
        <w:t xml:space="preserve"> days.</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775"/>
      </w:tblGrid>
      <w:tr w:rsidR="00A35EEE" w:rsidRPr="00214EFC" w14:paraId="7C39C0AB" w14:textId="77777777" w:rsidTr="009B570D">
        <w:tc>
          <w:tcPr>
            <w:tcW w:w="6521" w:type="dxa"/>
            <w:vAlign w:val="center"/>
          </w:tcPr>
          <w:p w14:paraId="7C39C0A9" w14:textId="77777777" w:rsidR="00A35EEE" w:rsidRPr="00214EFC" w:rsidRDefault="002D7B00" w:rsidP="00AA63CD">
            <w:pPr>
              <w:pStyle w:val="Table"/>
              <w:spacing w:after="100" w:afterAutospacing="1" w:line="360" w:lineRule="auto"/>
              <w:jc w:val="left"/>
              <w:rPr>
                <w:rFonts w:ascii="Times New Roman" w:hAnsi="Times New Roman" w:cs="Times New Roman"/>
                <w:color w:val="auto"/>
              </w:rPr>
            </w:pPr>
            <m:oMath>
              <m:sSubSup>
                <m:sSubSupPr>
                  <m:ctrlPr>
                    <w:rPr>
                      <w:rFonts w:ascii="Cambria Math" w:hAnsi="Cambria Math" w:cs="Times New Roman"/>
                      <w:i/>
                      <w:color w:val="auto"/>
                    </w:rPr>
                  </m:ctrlPr>
                </m:sSubSupPr>
                <m:e>
                  <m:r>
                    <w:rPr>
                      <w:rFonts w:ascii="Cambria Math" w:hAnsi="Cambria Math" w:cs="Times New Roman"/>
                      <w:color w:val="auto"/>
                    </w:rPr>
                    <m:t>S</m:t>
                  </m:r>
                </m:e>
                <m:sub>
                  <m:r>
                    <w:rPr>
                      <w:rFonts w:ascii="Cambria Math" w:hAnsi="Cambria Math" w:cs="Times New Roman"/>
                      <w:color w:val="auto"/>
                    </w:rPr>
                    <m:t>j,s</m:t>
                  </m:r>
                </m:sub>
                <m:sup>
                  <m:r>
                    <w:rPr>
                      <w:rFonts w:ascii="Cambria Math" w:hAnsi="Cambria Math" w:cs="Times New Roman"/>
                      <w:color w:val="auto"/>
                    </w:rPr>
                    <m:t>p,*</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 xml:space="preserve">= </m:t>
              </m:r>
              <m:sSubSup>
                <m:sSubSupPr>
                  <m:ctrlPr>
                    <w:rPr>
                      <w:rFonts w:ascii="Cambria Math" w:hAnsi="Cambria Math" w:cs="Times New Roman"/>
                      <w:i/>
                      <w:color w:val="auto"/>
                    </w:rPr>
                  </m:ctrlPr>
                </m:sSubSupPr>
                <m:e>
                  <m:r>
                    <w:rPr>
                      <w:rFonts w:ascii="Cambria Math" w:hAnsi="Cambria Math" w:cs="Times New Roman"/>
                      <w:color w:val="auto"/>
                    </w:rPr>
                    <m:t>n</m:t>
                  </m:r>
                </m:e>
                <m:sub>
                  <m:r>
                    <w:rPr>
                      <w:rFonts w:ascii="Cambria Math" w:hAnsi="Cambria Math" w:cs="Times New Roman"/>
                      <w:color w:val="auto"/>
                    </w:rPr>
                    <m:t>j,s</m:t>
                  </m:r>
                </m:sub>
                <m:sup>
                  <m:r>
                    <w:rPr>
                      <w:rFonts w:ascii="Cambria Math" w:hAnsi="Cambria Math" w:cs="Times New Roman"/>
                      <w:color w:val="auto"/>
                    </w:rPr>
                    <m:t>p</m:t>
                  </m:r>
                </m:sup>
              </m:sSubSup>
              <m:r>
                <w:rPr>
                  <w:rFonts w:ascii="Cambria Math" w:hAnsi="Cambria Math" w:cs="Times New Roman"/>
                  <w:color w:val="auto"/>
                </w:rPr>
                <m:t>*</m:t>
              </m:r>
              <m:sSubSup>
                <m:sSubSupPr>
                  <m:ctrlPr>
                    <w:rPr>
                      <w:rFonts w:ascii="Cambria Math" w:hAnsi="Cambria Math" w:cs="Times New Roman"/>
                      <w:i/>
                      <w:color w:val="auto"/>
                    </w:rPr>
                  </m:ctrlPr>
                </m:sSubSupPr>
                <m:e>
                  <m:sSubSup>
                    <m:sSubSupPr>
                      <m:ctrlPr>
                        <w:rPr>
                          <w:rFonts w:ascii="Cambria Math" w:hAnsi="Cambria Math" w:cs="Times New Roman"/>
                          <w:i/>
                          <w:color w:val="auto"/>
                        </w:rPr>
                      </m:ctrlPr>
                    </m:sSubSupPr>
                    <m:e>
                      <m:r>
                        <w:rPr>
                          <w:rFonts w:ascii="Cambria Math" w:hAnsi="Cambria Math" w:cs="Times New Roman"/>
                          <w:color w:val="auto"/>
                        </w:rPr>
                        <m:t>a</m:t>
                      </m:r>
                    </m:e>
                    <m:sub>
                      <m:r>
                        <w:rPr>
                          <w:rFonts w:ascii="Cambria Math" w:hAnsi="Cambria Math" w:cs="Times New Roman"/>
                          <w:color w:val="auto"/>
                        </w:rPr>
                        <m:t>j,s</m:t>
                      </m:r>
                    </m:sub>
                    <m:sup>
                      <m:r>
                        <w:rPr>
                          <w:rFonts w:ascii="Cambria Math" w:hAnsi="Cambria Math" w:cs="Times New Roman"/>
                          <w:color w:val="auto"/>
                        </w:rPr>
                        <m:t>p</m:t>
                      </m:r>
                    </m:sup>
                  </m:sSubSup>
                  <m:r>
                    <w:rPr>
                      <w:rFonts w:ascii="Cambria Math" w:hAnsi="Cambria Math" w:cs="Times New Roman"/>
                      <w:color w:val="auto"/>
                    </w:rPr>
                    <m:t>*x</m:t>
                  </m:r>
                </m:e>
                <m:sub>
                  <m:r>
                    <w:rPr>
                      <w:rFonts w:ascii="Cambria Math" w:hAnsi="Cambria Math" w:cs="Times New Roman"/>
                      <w:color w:val="auto"/>
                    </w:rPr>
                    <m:t>j,s</m:t>
                  </m:r>
                </m:sub>
                <m:sup>
                  <m:r>
                    <w:rPr>
                      <w:rFonts w:ascii="Cambria Math" w:hAnsi="Cambria Math" w:cs="Times New Roman"/>
                      <w:color w:val="auto"/>
                    </w:rPr>
                    <m:t>max</m:t>
                  </m:r>
                </m:sup>
              </m:sSubSup>
              <m:d>
                <m:dPr>
                  <m:ctrlPr>
                    <w:rPr>
                      <w:rFonts w:ascii="Cambria Math" w:hAnsi="Cambria Math" w:cs="Times New Roman"/>
                      <w:i/>
                      <w:color w:val="auto"/>
                    </w:rPr>
                  </m:ctrlPr>
                </m:dPr>
                <m:e>
                  <m:r>
                    <w:rPr>
                      <w:rFonts w:ascii="Cambria Math" w:hAnsi="Cambria Math" w:cs="Times New Roman"/>
                      <w:color w:val="auto"/>
                    </w:rPr>
                    <m:t>t</m:t>
                  </m:r>
                </m:e>
              </m:d>
            </m:oMath>
            <w:r w:rsidR="00A35EEE" w:rsidRPr="00214EFC">
              <w:rPr>
                <w:rFonts w:ascii="Times New Roman" w:hAnsi="Times New Roman" w:cs="Times New Roman"/>
                <w:color w:val="auto"/>
              </w:rPr>
              <w:t xml:space="preserve"> </w:t>
            </w:r>
          </w:p>
        </w:tc>
        <w:tc>
          <w:tcPr>
            <w:tcW w:w="1775" w:type="dxa"/>
            <w:vAlign w:val="center"/>
          </w:tcPr>
          <w:p w14:paraId="7C39C0AA" w14:textId="21FD1EF0" w:rsidR="00A35EEE" w:rsidRPr="00214EFC" w:rsidRDefault="00A35EEE" w:rsidP="00AA63CD">
            <w:pPr>
              <w:pStyle w:val="Table"/>
              <w:spacing w:after="100" w:afterAutospacing="1" w:line="360" w:lineRule="auto"/>
              <w:jc w:val="right"/>
              <w:rPr>
                <w:rFonts w:ascii="Times New Roman" w:hAnsi="Times New Roman" w:cs="Times New Roman"/>
                <w:color w:val="auto"/>
              </w:rPr>
            </w:pPr>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7</w:t>
            </w:r>
            <w:r w:rsidRPr="00214EFC">
              <w:rPr>
                <w:rFonts w:ascii="Times New Roman" w:hAnsi="Times New Roman" w:cs="Times New Roman"/>
                <w:color w:val="auto"/>
              </w:rPr>
              <w:fldChar w:fldCharType="end"/>
            </w:r>
          </w:p>
        </w:tc>
      </w:tr>
    </w:tbl>
    <w:p w14:paraId="7C39C0AC" w14:textId="77777777" w:rsidR="00A35EEE" w:rsidRPr="00214EFC" w:rsidRDefault="00A35EEE" w:rsidP="00AA63CD">
      <w:pPr>
        <w:spacing w:after="100" w:afterAutospacing="1" w:line="360" w:lineRule="auto"/>
      </w:pPr>
      <w:r w:rsidRPr="00214EFC">
        <w:t xml:space="preserve">Then the order issued by sector </w:t>
      </w:r>
      <m:oMath>
        <m:r>
          <w:rPr>
            <w:rFonts w:ascii="Cambria Math" w:hAnsi="Cambria Math"/>
          </w:rPr>
          <m:t>j</m:t>
        </m:r>
      </m:oMath>
      <w:r w:rsidRPr="00214EFC">
        <w:t xml:space="preserve"> to its supplying sector </w:t>
      </w:r>
      <m:oMath>
        <m:r>
          <w:rPr>
            <w:rFonts w:ascii="Cambria Math" w:hAnsi="Cambria Math"/>
          </w:rPr>
          <m:t>i</m:t>
        </m:r>
      </m:oMath>
      <w:r w:rsidRPr="00214EFC">
        <w:t xml:space="preserve"> is</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208"/>
      </w:tblGrid>
      <w:tr w:rsidR="00A35EEE" w:rsidRPr="00214EFC" w14:paraId="7C39C0AF" w14:textId="77777777" w:rsidTr="009B570D">
        <w:tc>
          <w:tcPr>
            <w:tcW w:w="7088" w:type="dxa"/>
            <w:vAlign w:val="center"/>
          </w:tcPr>
          <w:p w14:paraId="7C39C0AD" w14:textId="77777777" w:rsidR="00A35EEE" w:rsidRPr="00214EFC" w:rsidRDefault="002D7B00" w:rsidP="00AA63CD">
            <w:pPr>
              <w:pStyle w:val="Table"/>
              <w:spacing w:after="100" w:afterAutospacing="1" w:line="360" w:lineRule="auto"/>
              <w:jc w:val="left"/>
              <w:rPr>
                <w:rFonts w:ascii="Times New Roman" w:hAnsi="Times New Roman" w:cs="Times New Roman"/>
                <w:color w:val="auto"/>
              </w:rPr>
            </w:pPr>
            <m:oMath>
              <m:sSubSup>
                <m:sSubSupPr>
                  <m:ctrlPr>
                    <w:rPr>
                      <w:rFonts w:ascii="Cambria Math" w:hAnsi="Cambria Math" w:cs="Times New Roman"/>
                      <w:i/>
                      <w:color w:val="auto"/>
                    </w:rPr>
                  </m:ctrlPr>
                </m:sSubSupPr>
                <m:e>
                  <m:r>
                    <w:rPr>
                      <w:rFonts w:ascii="Cambria Math" w:hAnsi="Cambria Math" w:cs="Times New Roman"/>
                      <w:color w:val="auto"/>
                    </w:rPr>
                    <m:t>FD</m:t>
                  </m:r>
                </m:e>
                <m:sub>
                  <m:r>
                    <w:rPr>
                      <w:rFonts w:ascii="Cambria Math" w:hAnsi="Cambria Math" w:cs="Times New Roman"/>
                      <w:color w:val="auto"/>
                    </w:rPr>
                    <m:t>i,r</m:t>
                  </m:r>
                </m:sub>
                <m:sup>
                  <m:r>
                    <w:rPr>
                      <w:rFonts w:ascii="Cambria Math" w:hAnsi="Cambria Math" w:cs="Times New Roman"/>
                      <w:color w:val="auto"/>
                    </w:rPr>
                    <m:t>j,s</m:t>
                  </m:r>
                </m:sup>
              </m:sSubSup>
              <m:r>
                <w:rPr>
                  <w:rFonts w:ascii="Cambria Math" w:hAnsi="Cambria Math" w:cs="Times New Roman"/>
                  <w:color w:val="auto"/>
                </w:rPr>
                <m:t>(t)=</m:t>
              </m:r>
              <m:d>
                <m:dPr>
                  <m:begChr m:val="{"/>
                  <m:endChr m:val=""/>
                  <m:ctrlPr>
                    <w:rPr>
                      <w:rFonts w:ascii="Cambria Math" w:hAnsi="Cambria Math" w:cs="Times New Roman"/>
                      <w:i/>
                      <w:color w:val="auto"/>
                    </w:rPr>
                  </m:ctrlPr>
                </m:dPr>
                <m:e>
                  <m:eqArr>
                    <m:eqArrPr>
                      <m:ctrlPr>
                        <w:rPr>
                          <w:rFonts w:ascii="Cambria Math" w:hAnsi="Cambria Math" w:cs="Times New Roman"/>
                          <w:i/>
                          <w:color w:val="auto"/>
                        </w:rPr>
                      </m:ctrlPr>
                    </m:eqArrPr>
                    <m:e>
                      <m:d>
                        <m:dPr>
                          <m:ctrlPr>
                            <w:rPr>
                              <w:rFonts w:ascii="Cambria Math" w:hAnsi="Cambria Math" w:cs="Times New Roman"/>
                              <w:i/>
                              <w:color w:val="auto"/>
                            </w:rPr>
                          </m:ctrlPr>
                        </m:dPr>
                        <m:e>
                          <m:sSubSup>
                            <m:sSubSupPr>
                              <m:ctrlPr>
                                <w:rPr>
                                  <w:rFonts w:ascii="Cambria Math" w:hAnsi="Cambria Math" w:cs="Times New Roman"/>
                                  <w:i/>
                                  <w:color w:val="auto"/>
                                </w:rPr>
                              </m:ctrlPr>
                            </m:sSubSupPr>
                            <m:e>
                              <m:r>
                                <w:rPr>
                                  <w:rFonts w:ascii="Cambria Math" w:hAnsi="Cambria Math" w:cs="Times New Roman"/>
                                  <w:color w:val="auto"/>
                                </w:rPr>
                                <m:t>S</m:t>
                              </m:r>
                            </m:e>
                            <m:sub>
                              <m:r>
                                <w:rPr>
                                  <w:rFonts w:ascii="Cambria Math" w:hAnsi="Cambria Math" w:cs="Times New Roman"/>
                                  <w:color w:val="auto"/>
                                </w:rPr>
                                <m:t>j,s</m:t>
                              </m:r>
                            </m:sub>
                            <m:sup>
                              <m:r>
                                <w:rPr>
                                  <w:rFonts w:ascii="Cambria Math" w:hAnsi="Cambria Math" w:cs="Times New Roman"/>
                                  <w:color w:val="auto"/>
                                </w:rPr>
                                <m:t>p,*</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sSubSup>
                            <m:sSubSupPr>
                              <m:ctrlPr>
                                <w:rPr>
                                  <w:rFonts w:ascii="Cambria Math" w:hAnsi="Cambria Math" w:cs="Times New Roman"/>
                                  <w:i/>
                                  <w:color w:val="auto"/>
                                </w:rPr>
                              </m:ctrlPr>
                            </m:sSubSupPr>
                            <m:e>
                              <m:r>
                                <w:rPr>
                                  <w:rFonts w:ascii="Cambria Math" w:hAnsi="Cambria Math" w:cs="Times New Roman"/>
                                  <w:color w:val="auto"/>
                                </w:rPr>
                                <m:t>S</m:t>
                              </m:r>
                            </m:e>
                            <m:sub>
                              <m:r>
                                <w:rPr>
                                  <w:rFonts w:ascii="Cambria Math" w:hAnsi="Cambria Math" w:cs="Times New Roman"/>
                                  <w:color w:val="auto"/>
                                </w:rPr>
                                <m:t>j,s</m:t>
                              </m:r>
                            </m:sub>
                            <m:sup>
                              <m:r>
                                <w:rPr>
                                  <w:rFonts w:ascii="Cambria Math" w:hAnsi="Cambria Math" w:cs="Times New Roman"/>
                                  <w:color w:val="auto"/>
                                </w:rPr>
                                <m:t>p</m:t>
                              </m:r>
                            </m:sup>
                          </m:sSubSup>
                          <m:d>
                            <m:dPr>
                              <m:ctrlPr>
                                <w:rPr>
                                  <w:rFonts w:ascii="Cambria Math" w:hAnsi="Cambria Math" w:cs="Times New Roman"/>
                                  <w:i/>
                                  <w:color w:val="auto"/>
                                </w:rPr>
                              </m:ctrlPr>
                            </m:dPr>
                            <m:e>
                              <m:r>
                                <w:rPr>
                                  <w:rFonts w:ascii="Cambria Math" w:hAnsi="Cambria Math" w:cs="Times New Roman"/>
                                  <w:color w:val="auto"/>
                                </w:rPr>
                                <m:t>t</m:t>
                              </m:r>
                            </m:e>
                          </m:d>
                        </m:e>
                      </m:d>
                      <m:r>
                        <w:rPr>
                          <w:rFonts w:ascii="Cambria Math" w:hAnsi="Cambria Math" w:cs="Times New Roman"/>
                          <w:color w:val="auto"/>
                        </w:rPr>
                        <m:t>*</m:t>
                      </m:r>
                      <m:f>
                        <m:fPr>
                          <m:ctrlPr>
                            <w:rPr>
                              <w:rFonts w:ascii="Cambria Math" w:hAnsi="Cambria Math" w:cs="Times New Roman"/>
                              <w:i/>
                              <w:color w:val="auto"/>
                            </w:rPr>
                          </m:ctrlPr>
                        </m:fPr>
                        <m:num>
                          <m:sSubSup>
                            <m:sSubSupPr>
                              <m:ctrlPr>
                                <w:rPr>
                                  <w:rFonts w:ascii="Cambria Math" w:hAnsi="Cambria Math" w:cs="Times New Roman"/>
                                  <w:i/>
                                  <w:color w:val="auto"/>
                                </w:rPr>
                              </m:ctrlPr>
                            </m:sSubSupPr>
                            <m:e>
                              <m:acc>
                                <m:accPr>
                                  <m:chr m:val="̅"/>
                                  <m:ctrlPr>
                                    <w:rPr>
                                      <w:rFonts w:ascii="Cambria Math" w:hAnsi="Cambria Math" w:cs="Times New Roman"/>
                                      <w:i/>
                                      <w:color w:val="auto"/>
                                    </w:rPr>
                                  </m:ctrlPr>
                                </m:accPr>
                                <m:e>
                                  <m:r>
                                    <w:rPr>
                                      <w:rFonts w:ascii="Cambria Math" w:hAnsi="Cambria Math" w:cs="Times New Roman"/>
                                      <w:color w:val="auto"/>
                                    </w:rPr>
                                    <m:t>FD</m:t>
                                  </m:r>
                                </m:e>
                              </m:acc>
                            </m:e>
                            <m:sub>
                              <m:r>
                                <w:rPr>
                                  <w:rFonts w:ascii="Cambria Math" w:hAnsi="Cambria Math" w:cs="Times New Roman"/>
                                  <w:color w:val="auto"/>
                                </w:rPr>
                                <m:t>i,r</m:t>
                              </m:r>
                            </m:sub>
                            <m:sup>
                              <m:r>
                                <w:rPr>
                                  <w:rFonts w:ascii="Cambria Math" w:hAnsi="Cambria Math" w:cs="Times New Roman"/>
                                  <w:color w:val="auto"/>
                                </w:rPr>
                                <m:t>j,s</m:t>
                              </m:r>
                            </m:sup>
                          </m:sSubSup>
                          <m:r>
                            <w:rPr>
                              <w:rFonts w:ascii="Cambria Math" w:hAnsi="Cambria Math" w:cs="Times New Roman"/>
                              <w:color w:val="auto"/>
                            </w:rPr>
                            <m:t>*</m:t>
                          </m:r>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max</m:t>
                              </m:r>
                            </m:sup>
                          </m:sSubSup>
                          <m:r>
                            <w:rPr>
                              <w:rFonts w:ascii="Cambria Math" w:hAnsi="Cambria Math" w:cs="Times New Roman"/>
                              <w:color w:val="auto"/>
                            </w:rPr>
                            <m:t>(t)</m:t>
                          </m:r>
                        </m:num>
                        <m:den>
                          <m:nary>
                            <m:naryPr>
                              <m:chr m:val="∑"/>
                              <m:limLoc m:val="subSup"/>
                              <m:supHide m:val="1"/>
                              <m:ctrlPr>
                                <w:rPr>
                                  <w:rFonts w:ascii="Cambria Math" w:hAnsi="Cambria Math" w:cs="Times New Roman"/>
                                  <w:i/>
                                  <w:color w:val="auto"/>
                                </w:rPr>
                              </m:ctrlPr>
                            </m:naryPr>
                            <m:sub>
                              <m:r>
                                <w:rPr>
                                  <w:rFonts w:ascii="Cambria Math" w:hAnsi="Cambria Math" w:cs="Times New Roman"/>
                                  <w:color w:val="auto"/>
                                </w:rPr>
                                <m:t>j→p</m:t>
                              </m:r>
                            </m:sub>
                            <m:sup/>
                            <m:e>
                              <m:d>
                                <m:dPr>
                                  <m:ctrlPr>
                                    <w:rPr>
                                      <w:rFonts w:ascii="Cambria Math" w:hAnsi="Cambria Math" w:cs="Times New Roman"/>
                                      <w:i/>
                                      <w:color w:val="auto"/>
                                    </w:rPr>
                                  </m:ctrlPr>
                                </m:dPr>
                                <m:e>
                                  <m:sSubSup>
                                    <m:sSubSupPr>
                                      <m:ctrlPr>
                                        <w:rPr>
                                          <w:rFonts w:ascii="Cambria Math" w:hAnsi="Cambria Math" w:cs="Times New Roman"/>
                                          <w:i/>
                                          <w:color w:val="auto"/>
                                        </w:rPr>
                                      </m:ctrlPr>
                                    </m:sSubSupPr>
                                    <m:e>
                                      <m:acc>
                                        <m:accPr>
                                          <m:chr m:val="̅"/>
                                          <m:ctrlPr>
                                            <w:rPr>
                                              <w:rFonts w:ascii="Cambria Math" w:hAnsi="Cambria Math" w:cs="Times New Roman"/>
                                              <w:i/>
                                              <w:color w:val="auto"/>
                                            </w:rPr>
                                          </m:ctrlPr>
                                        </m:accPr>
                                        <m:e>
                                          <m:r>
                                            <w:rPr>
                                              <w:rFonts w:ascii="Cambria Math" w:hAnsi="Cambria Math" w:cs="Times New Roman"/>
                                              <w:color w:val="auto"/>
                                            </w:rPr>
                                            <m:t>FD</m:t>
                                          </m:r>
                                        </m:e>
                                      </m:acc>
                                    </m:e>
                                    <m:sub>
                                      <m:r>
                                        <w:rPr>
                                          <w:rFonts w:ascii="Cambria Math" w:hAnsi="Cambria Math" w:cs="Times New Roman"/>
                                          <w:color w:val="auto"/>
                                        </w:rPr>
                                        <m:t>i,r</m:t>
                                      </m:r>
                                    </m:sub>
                                    <m:sup>
                                      <m:r>
                                        <w:rPr>
                                          <w:rFonts w:ascii="Cambria Math" w:hAnsi="Cambria Math" w:cs="Times New Roman"/>
                                          <w:color w:val="auto"/>
                                        </w:rPr>
                                        <m:t>j,s</m:t>
                                      </m:r>
                                    </m:sup>
                                  </m:sSubSup>
                                  <m:r>
                                    <w:rPr>
                                      <w:rFonts w:ascii="Cambria Math" w:hAnsi="Cambria Math" w:cs="Times New Roman"/>
                                      <w:color w:val="auto"/>
                                    </w:rPr>
                                    <m:t>*</m:t>
                                  </m:r>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max</m:t>
                                      </m:r>
                                    </m:sup>
                                  </m:sSubSup>
                                  <m:r>
                                    <w:rPr>
                                      <w:rFonts w:ascii="Cambria Math" w:hAnsi="Cambria Math" w:cs="Times New Roman"/>
                                      <w:color w:val="auto"/>
                                    </w:rPr>
                                    <m:t>(t)</m:t>
                                  </m:r>
                                </m:e>
                              </m:d>
                            </m:e>
                          </m:nary>
                        </m:den>
                      </m:f>
                      <m:r>
                        <w:rPr>
                          <w:rFonts w:ascii="Cambria Math" w:hAnsi="Cambria Math" w:cs="Times New Roman"/>
                          <w:color w:val="auto"/>
                        </w:rPr>
                        <m:t xml:space="preserve">,     </m:t>
                      </m:r>
                      <m:r>
                        <m:rPr>
                          <m:sty m:val="p"/>
                        </m:rPr>
                        <w:rPr>
                          <w:rFonts w:ascii="Cambria Math" w:hAnsi="Cambria Math" w:cs="Times New Roman"/>
                          <w:color w:val="auto"/>
                        </w:rPr>
                        <m:t>if</m:t>
                      </m:r>
                      <m:r>
                        <w:rPr>
                          <w:rFonts w:ascii="Cambria Math" w:hAnsi="Cambria Math" w:cs="Times New Roman"/>
                          <w:color w:val="auto"/>
                        </w:rPr>
                        <m:t xml:space="preserve">  </m:t>
                      </m:r>
                      <m:sSubSup>
                        <m:sSubSupPr>
                          <m:ctrlPr>
                            <w:rPr>
                              <w:rFonts w:ascii="Cambria Math" w:hAnsi="Cambria Math" w:cs="Times New Roman"/>
                              <w:i/>
                              <w:color w:val="auto"/>
                            </w:rPr>
                          </m:ctrlPr>
                        </m:sSubSupPr>
                        <m:e>
                          <m:r>
                            <w:rPr>
                              <w:rFonts w:ascii="Cambria Math" w:hAnsi="Cambria Math" w:cs="Times New Roman"/>
                              <w:color w:val="auto"/>
                            </w:rPr>
                            <m:t>S</m:t>
                          </m:r>
                        </m:e>
                        <m:sub>
                          <m:r>
                            <w:rPr>
                              <w:rFonts w:ascii="Cambria Math" w:hAnsi="Cambria Math" w:cs="Times New Roman"/>
                              <w:color w:val="auto"/>
                            </w:rPr>
                            <m:t>j,s</m:t>
                          </m:r>
                        </m:sub>
                        <m:sup>
                          <m:r>
                            <w:rPr>
                              <w:rFonts w:ascii="Cambria Math" w:hAnsi="Cambria Math" w:cs="Times New Roman"/>
                              <w:color w:val="auto"/>
                            </w:rPr>
                            <m:t>p,*</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&gt;</m:t>
                      </m:r>
                      <m:sSubSup>
                        <m:sSubSupPr>
                          <m:ctrlPr>
                            <w:rPr>
                              <w:rFonts w:ascii="Cambria Math" w:hAnsi="Cambria Math" w:cs="Times New Roman"/>
                              <w:i/>
                              <w:color w:val="auto"/>
                            </w:rPr>
                          </m:ctrlPr>
                        </m:sSubSupPr>
                        <m:e>
                          <m:r>
                            <w:rPr>
                              <w:rFonts w:ascii="Cambria Math" w:hAnsi="Cambria Math" w:cs="Times New Roman"/>
                              <w:color w:val="auto"/>
                            </w:rPr>
                            <m:t>S</m:t>
                          </m:r>
                        </m:e>
                        <m:sub>
                          <m:r>
                            <w:rPr>
                              <w:rFonts w:ascii="Cambria Math" w:hAnsi="Cambria Math" w:cs="Times New Roman"/>
                              <w:color w:val="auto"/>
                            </w:rPr>
                            <m:t>j,s</m:t>
                          </m:r>
                        </m:sub>
                        <m:sup>
                          <m:r>
                            <w:rPr>
                              <w:rFonts w:ascii="Cambria Math" w:hAnsi="Cambria Math" w:cs="Times New Roman"/>
                              <w:color w:val="auto"/>
                            </w:rPr>
                            <m:t>p</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e>
                    <m:e>
                      <m:r>
                        <w:rPr>
                          <w:rFonts w:ascii="Cambria Math" w:hAnsi="Cambria Math" w:cs="Times New Roman"/>
                          <w:color w:val="auto"/>
                        </w:rPr>
                        <m:t xml:space="preserve">                                0                                                      </m:t>
                      </m:r>
                      <m:r>
                        <m:rPr>
                          <m:sty m:val="p"/>
                        </m:rPr>
                        <w:rPr>
                          <w:rFonts w:ascii="Cambria Math" w:hAnsi="Cambria Math" w:cs="Times New Roman"/>
                          <w:color w:val="auto"/>
                        </w:rPr>
                        <m:t>if</m:t>
                      </m:r>
                      <m:r>
                        <w:rPr>
                          <w:rFonts w:ascii="Cambria Math" w:hAnsi="Cambria Math" w:cs="Times New Roman"/>
                          <w:color w:val="auto"/>
                        </w:rPr>
                        <m:t xml:space="preserve"> </m:t>
                      </m:r>
                      <m:sSubSup>
                        <m:sSubSupPr>
                          <m:ctrlPr>
                            <w:rPr>
                              <w:rFonts w:ascii="Cambria Math" w:hAnsi="Cambria Math" w:cs="Times New Roman"/>
                              <w:i/>
                              <w:color w:val="auto"/>
                            </w:rPr>
                          </m:ctrlPr>
                        </m:sSubSupPr>
                        <m:e>
                          <m:r>
                            <w:rPr>
                              <w:rFonts w:ascii="Cambria Math" w:hAnsi="Cambria Math" w:cs="Times New Roman"/>
                              <w:color w:val="auto"/>
                            </w:rPr>
                            <m:t>S</m:t>
                          </m:r>
                        </m:e>
                        <m:sub>
                          <m:r>
                            <w:rPr>
                              <w:rFonts w:ascii="Cambria Math" w:hAnsi="Cambria Math" w:cs="Times New Roman"/>
                              <w:color w:val="auto"/>
                            </w:rPr>
                            <m:t>j,s</m:t>
                          </m:r>
                        </m:sub>
                        <m:sup>
                          <m:r>
                            <w:rPr>
                              <w:rFonts w:ascii="Cambria Math" w:hAnsi="Cambria Math" w:cs="Times New Roman"/>
                              <w:color w:val="auto"/>
                            </w:rPr>
                            <m:t>p,*</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sSubSup>
                        <m:sSubSupPr>
                          <m:ctrlPr>
                            <w:rPr>
                              <w:rFonts w:ascii="Cambria Math" w:hAnsi="Cambria Math" w:cs="Times New Roman"/>
                              <w:i/>
                              <w:color w:val="auto"/>
                            </w:rPr>
                          </m:ctrlPr>
                        </m:sSubSupPr>
                        <m:e>
                          <m:r>
                            <w:rPr>
                              <w:rFonts w:ascii="Cambria Math" w:hAnsi="Cambria Math" w:cs="Times New Roman"/>
                              <w:color w:val="auto"/>
                            </w:rPr>
                            <m:t>S</m:t>
                          </m:r>
                        </m:e>
                        <m:sub>
                          <m:r>
                            <w:rPr>
                              <w:rFonts w:ascii="Cambria Math" w:hAnsi="Cambria Math" w:cs="Times New Roman"/>
                              <w:color w:val="auto"/>
                            </w:rPr>
                            <m:t>j,s</m:t>
                          </m:r>
                        </m:sub>
                        <m:sup>
                          <m:r>
                            <w:rPr>
                              <w:rFonts w:ascii="Cambria Math" w:hAnsi="Cambria Math" w:cs="Times New Roman"/>
                              <w:color w:val="auto"/>
                            </w:rPr>
                            <m:t>p</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e>
                  </m:eqArr>
                </m:e>
              </m:d>
            </m:oMath>
            <w:r w:rsidR="00A35EEE" w:rsidRPr="00214EFC">
              <w:rPr>
                <w:rFonts w:ascii="Times New Roman" w:hAnsi="Times New Roman" w:cs="Times New Roman"/>
                <w:color w:val="auto"/>
              </w:rPr>
              <w:t xml:space="preserve"> </w:t>
            </w:r>
          </w:p>
        </w:tc>
        <w:tc>
          <w:tcPr>
            <w:tcW w:w="1208" w:type="dxa"/>
            <w:vAlign w:val="center"/>
          </w:tcPr>
          <w:p w14:paraId="7C39C0AE" w14:textId="0C2CB0D3" w:rsidR="00A35EEE" w:rsidRPr="00214EFC" w:rsidRDefault="00A35EEE" w:rsidP="00AA63CD">
            <w:pPr>
              <w:pStyle w:val="Table"/>
              <w:spacing w:after="100" w:afterAutospacing="1" w:line="360" w:lineRule="auto"/>
              <w:jc w:val="right"/>
              <w:rPr>
                <w:rFonts w:ascii="Times New Roman" w:hAnsi="Times New Roman" w:cs="Times New Roman"/>
                <w:color w:val="auto"/>
              </w:rPr>
            </w:pPr>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8</w:t>
            </w:r>
            <w:r w:rsidRPr="00214EFC">
              <w:rPr>
                <w:rFonts w:ascii="Times New Roman" w:hAnsi="Times New Roman" w:cs="Times New Roman"/>
                <w:color w:val="auto"/>
              </w:rPr>
              <w:fldChar w:fldCharType="end"/>
            </w:r>
          </w:p>
        </w:tc>
      </w:tr>
    </w:tbl>
    <w:p w14:paraId="7C39C0B0" w14:textId="77777777" w:rsidR="00A35EEE" w:rsidRPr="00214EFC" w:rsidRDefault="002D7B00" w:rsidP="00AA63CD">
      <w:pPr>
        <w:spacing w:after="100" w:afterAutospacing="1" w:line="360" w:lineRule="auto"/>
      </w:pPr>
      <m:oMath>
        <m:sSubSup>
          <m:sSubSupPr>
            <m:ctrlPr>
              <w:rPr>
                <w:rFonts w:ascii="Cambria Math" w:hAnsi="Cambria Math"/>
                <w:i/>
              </w:rPr>
            </m:ctrlPr>
          </m:sSubSupPr>
          <m:e>
            <m:r>
              <w:rPr>
                <w:rFonts w:ascii="Cambria Math" w:hAnsi="Cambria Math"/>
              </w:rPr>
              <m:t>HD</m:t>
            </m:r>
          </m:e>
          <m:sub>
            <m:r>
              <w:rPr>
                <w:rFonts w:ascii="Cambria Math" w:hAnsi="Cambria Math"/>
              </w:rPr>
              <m:t>i,r</m:t>
            </m:r>
          </m:sub>
          <m:sup>
            <m:r>
              <w:rPr>
                <w:rFonts w:ascii="Cambria Math" w:hAnsi="Cambria Math"/>
              </w:rPr>
              <m:t>s</m:t>
            </m:r>
          </m:sup>
        </m:sSubSup>
        <m:d>
          <m:dPr>
            <m:ctrlPr>
              <w:rPr>
                <w:rFonts w:ascii="Cambria Math" w:hAnsi="Cambria Math"/>
                <w:i/>
              </w:rPr>
            </m:ctrlPr>
          </m:dPr>
          <m:e>
            <m:r>
              <w:rPr>
                <w:rFonts w:ascii="Cambria Math" w:hAnsi="Cambria Math"/>
              </w:rPr>
              <m:t>t</m:t>
            </m:r>
          </m:e>
        </m:d>
      </m:oMath>
      <w:r w:rsidR="00A35EEE" w:rsidRPr="00214EFC">
        <w:t xml:space="preserve"> is measured by the household demand and the supply capacity of their suppliers. In this study, the demand of final products </w:t>
      </w:r>
      <m:oMath>
        <m:r>
          <w:rPr>
            <w:rFonts w:ascii="Cambria Math" w:hAnsi="Cambria Math"/>
          </w:rPr>
          <m:t>q</m:t>
        </m:r>
      </m:oMath>
      <w:r w:rsidR="00A35EEE" w:rsidRPr="00214EFC">
        <w:t xml:space="preserve"> by household in region </w:t>
      </w:r>
      <m:oMath>
        <m:r>
          <w:rPr>
            <w:rFonts w:ascii="Cambria Math" w:hAnsi="Cambria Math"/>
          </w:rPr>
          <m:t>s</m:t>
        </m:r>
      </m:oMath>
      <w:r w:rsidR="00A35EEE" w:rsidRPr="00214EFC">
        <w:t xml:space="preserve">, </w:t>
      </w:r>
      <m:oMath>
        <m:sSubSup>
          <m:sSubSupPr>
            <m:ctrlPr>
              <w:rPr>
                <w:rFonts w:ascii="Cambria Math" w:hAnsi="Cambria Math"/>
                <w:i/>
              </w:rPr>
            </m:ctrlPr>
          </m:sSubSupPr>
          <m:e>
            <m:r>
              <w:rPr>
                <w:rFonts w:ascii="Cambria Math" w:hAnsi="Cambria Math"/>
              </w:rPr>
              <m:t>HDT</m:t>
            </m:r>
          </m:e>
          <m:sub>
            <m:r>
              <w:rPr>
                <w:rFonts w:ascii="Cambria Math" w:hAnsi="Cambria Math"/>
              </w:rPr>
              <m:t>s</m:t>
            </m:r>
          </m:sub>
          <m:sup>
            <m:r>
              <w:rPr>
                <w:rFonts w:ascii="Cambria Math" w:hAnsi="Cambria Math"/>
              </w:rPr>
              <m:t>q</m:t>
            </m:r>
          </m:sup>
        </m:sSubSup>
        <m:d>
          <m:dPr>
            <m:ctrlPr>
              <w:rPr>
                <w:rFonts w:ascii="Cambria Math" w:hAnsi="Cambria Math"/>
                <w:i/>
              </w:rPr>
            </m:ctrlPr>
          </m:dPr>
          <m:e>
            <m:r>
              <w:rPr>
                <w:rFonts w:ascii="Cambria Math" w:hAnsi="Cambria Math"/>
              </w:rPr>
              <m:t>t</m:t>
            </m:r>
          </m:e>
        </m:d>
      </m:oMath>
      <w:r w:rsidR="00A35EEE" w:rsidRPr="00214EFC">
        <w:t xml:space="preserve">, is given exogenously at each time step. Then, the order issued by household </w:t>
      </w:r>
      <m:oMath>
        <m:r>
          <w:rPr>
            <w:rFonts w:ascii="Cambria Math" w:hAnsi="Cambria Math"/>
          </w:rPr>
          <m:t>s</m:t>
        </m:r>
      </m:oMath>
      <w:r w:rsidR="00A35EEE" w:rsidRPr="00214EFC">
        <w:t xml:space="preserve"> to its s</w:t>
      </w:r>
      <w:proofErr w:type="spellStart"/>
      <w:r w:rsidR="00A35EEE" w:rsidRPr="00214EFC">
        <w:t>upplier</w:t>
      </w:r>
      <w:proofErr w:type="spellEnd"/>
      <w:r w:rsidR="00A35EEE" w:rsidRPr="00214EFC">
        <w:t xml:space="preserve"> </w:t>
      </w:r>
      <m:oMath>
        <m:r>
          <w:rPr>
            <w:rFonts w:ascii="Cambria Math" w:hAnsi="Cambria Math"/>
          </w:rPr>
          <m:t>i</m:t>
        </m:r>
      </m:oMath>
      <w:r w:rsidR="00A35EEE" w:rsidRPr="00214EFC">
        <w:t xml:space="preserve"> </w:t>
      </w:r>
      <w:proofErr w:type="gramStart"/>
      <w:r w:rsidR="00A35EEE" w:rsidRPr="00214EFC">
        <w:t>is</w:t>
      </w:r>
      <w:proofErr w:type="gramEnd"/>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775"/>
      </w:tblGrid>
      <w:tr w:rsidR="00A35EEE" w:rsidRPr="00214EFC" w14:paraId="7C39C0B3" w14:textId="77777777" w:rsidTr="009B570D">
        <w:tc>
          <w:tcPr>
            <w:tcW w:w="6521" w:type="dxa"/>
            <w:vAlign w:val="center"/>
          </w:tcPr>
          <w:p w14:paraId="7C39C0B1" w14:textId="77777777" w:rsidR="00A35EEE" w:rsidRPr="00214EFC" w:rsidRDefault="002D7B00" w:rsidP="00AA63CD">
            <w:pPr>
              <w:pStyle w:val="Table"/>
              <w:spacing w:after="100" w:afterAutospacing="1" w:line="360" w:lineRule="auto"/>
              <w:jc w:val="left"/>
              <w:rPr>
                <w:rFonts w:ascii="Times New Roman" w:hAnsi="Times New Roman" w:cs="Times New Roman"/>
                <w:color w:val="auto"/>
              </w:rPr>
            </w:pPr>
            <m:oMath>
              <m:sSubSup>
                <m:sSubSupPr>
                  <m:ctrlPr>
                    <w:rPr>
                      <w:rFonts w:ascii="Cambria Math" w:hAnsi="Cambria Math" w:cs="Times New Roman"/>
                      <w:i/>
                      <w:color w:val="auto"/>
                    </w:rPr>
                  </m:ctrlPr>
                </m:sSubSupPr>
                <m:e>
                  <m:r>
                    <w:rPr>
                      <w:rFonts w:ascii="Cambria Math" w:hAnsi="Cambria Math" w:cs="Times New Roman"/>
                      <w:color w:val="auto"/>
                    </w:rPr>
                    <m:t>HD</m:t>
                  </m:r>
                </m:e>
                <m:sub>
                  <m:r>
                    <w:rPr>
                      <w:rFonts w:ascii="Cambria Math" w:hAnsi="Cambria Math" w:cs="Times New Roman"/>
                      <w:color w:val="auto"/>
                    </w:rPr>
                    <m:t>i,r</m:t>
                  </m:r>
                </m:sub>
                <m:sup>
                  <m:r>
                    <w:rPr>
                      <w:rFonts w:ascii="Cambria Math" w:hAnsi="Cambria Math" w:cs="Times New Roman"/>
                      <w:color w:val="auto"/>
                    </w:rPr>
                    <m:t>s</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sSubSup>
                <m:sSubSupPr>
                  <m:ctrlPr>
                    <w:rPr>
                      <w:rFonts w:ascii="Cambria Math" w:hAnsi="Cambria Math" w:cs="Times New Roman"/>
                      <w:i/>
                      <w:color w:val="auto"/>
                    </w:rPr>
                  </m:ctrlPr>
                </m:sSubSupPr>
                <m:e>
                  <m:r>
                    <w:rPr>
                      <w:rFonts w:ascii="Cambria Math" w:hAnsi="Cambria Math" w:cs="Times New Roman"/>
                      <w:color w:val="auto"/>
                    </w:rPr>
                    <m:t>HDT</m:t>
                  </m:r>
                </m:e>
                <m:sub>
                  <m:r>
                    <w:rPr>
                      <w:rFonts w:ascii="Cambria Math" w:hAnsi="Cambria Math" w:cs="Times New Roman"/>
                      <w:color w:val="auto"/>
                    </w:rPr>
                    <m:t>s</m:t>
                  </m:r>
                </m:sub>
                <m:sup>
                  <m:r>
                    <w:rPr>
                      <w:rFonts w:ascii="Cambria Math" w:hAnsi="Cambria Math" w:cs="Times New Roman"/>
                      <w:color w:val="auto"/>
                    </w:rPr>
                    <m:t>q</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f>
                <m:fPr>
                  <m:ctrlPr>
                    <w:rPr>
                      <w:rFonts w:ascii="Cambria Math" w:hAnsi="Cambria Math" w:cs="Times New Roman"/>
                      <w:i/>
                      <w:color w:val="auto"/>
                    </w:rPr>
                  </m:ctrlPr>
                </m:fPr>
                <m:num>
                  <m:sSubSup>
                    <m:sSubSupPr>
                      <m:ctrlPr>
                        <w:rPr>
                          <w:rFonts w:ascii="Cambria Math" w:hAnsi="Cambria Math" w:cs="Times New Roman"/>
                          <w:i/>
                          <w:color w:val="auto"/>
                        </w:rPr>
                      </m:ctrlPr>
                    </m:sSubSupPr>
                    <m:e>
                      <m:acc>
                        <m:accPr>
                          <m:chr m:val="̅"/>
                          <m:ctrlPr>
                            <w:rPr>
                              <w:rFonts w:ascii="Cambria Math" w:hAnsi="Cambria Math" w:cs="Times New Roman"/>
                              <w:i/>
                              <w:color w:val="auto"/>
                            </w:rPr>
                          </m:ctrlPr>
                        </m:accPr>
                        <m:e>
                          <m:r>
                            <w:rPr>
                              <w:rFonts w:ascii="Cambria Math" w:hAnsi="Cambria Math" w:cs="Times New Roman"/>
                              <w:color w:val="auto"/>
                            </w:rPr>
                            <m:t>HD</m:t>
                          </m:r>
                        </m:e>
                      </m:acc>
                    </m:e>
                    <m:sub>
                      <m:r>
                        <w:rPr>
                          <w:rFonts w:ascii="Cambria Math" w:hAnsi="Cambria Math" w:cs="Times New Roman"/>
                          <w:color w:val="auto"/>
                        </w:rPr>
                        <m:t>i,r</m:t>
                      </m:r>
                    </m:sub>
                    <m:sup>
                      <m:r>
                        <w:rPr>
                          <w:rFonts w:ascii="Cambria Math" w:hAnsi="Cambria Math" w:cs="Times New Roman"/>
                          <w:color w:val="auto"/>
                        </w:rPr>
                        <m:t>s</m:t>
                      </m:r>
                    </m:sup>
                  </m:sSubSup>
                  <m:r>
                    <w:rPr>
                      <w:rFonts w:ascii="Cambria Math" w:hAnsi="Cambria Math" w:cs="Times New Roman"/>
                      <w:color w:val="auto"/>
                    </w:rPr>
                    <m:t>*</m:t>
                  </m:r>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max</m:t>
                      </m:r>
                    </m:sup>
                  </m:sSubSup>
                  <m:r>
                    <w:rPr>
                      <w:rFonts w:ascii="Cambria Math" w:hAnsi="Cambria Math" w:cs="Times New Roman"/>
                      <w:color w:val="auto"/>
                    </w:rPr>
                    <m:t>(t)</m:t>
                  </m:r>
                </m:num>
                <m:den>
                  <m:nary>
                    <m:naryPr>
                      <m:chr m:val="∑"/>
                      <m:limLoc m:val="subSup"/>
                      <m:supHide m:val="1"/>
                      <m:ctrlPr>
                        <w:rPr>
                          <w:rFonts w:ascii="Cambria Math" w:hAnsi="Cambria Math" w:cs="Times New Roman"/>
                          <w:i/>
                          <w:color w:val="auto"/>
                        </w:rPr>
                      </m:ctrlPr>
                    </m:naryPr>
                    <m:sub>
                      <m:r>
                        <w:rPr>
                          <w:rFonts w:ascii="Cambria Math" w:hAnsi="Cambria Math" w:cs="Times New Roman"/>
                          <w:color w:val="auto"/>
                        </w:rPr>
                        <m:t>i→q</m:t>
                      </m:r>
                    </m:sub>
                    <m:sup/>
                    <m:e>
                      <m:d>
                        <m:dPr>
                          <m:ctrlPr>
                            <w:rPr>
                              <w:rFonts w:ascii="Cambria Math" w:hAnsi="Cambria Math" w:cs="Times New Roman"/>
                              <w:i/>
                              <w:color w:val="auto"/>
                            </w:rPr>
                          </m:ctrlPr>
                        </m:dPr>
                        <m:e>
                          <m:sSubSup>
                            <m:sSubSupPr>
                              <m:ctrlPr>
                                <w:rPr>
                                  <w:rFonts w:ascii="Cambria Math" w:hAnsi="Cambria Math" w:cs="Times New Roman"/>
                                  <w:i/>
                                  <w:color w:val="auto"/>
                                </w:rPr>
                              </m:ctrlPr>
                            </m:sSubSupPr>
                            <m:e>
                              <m:acc>
                                <m:accPr>
                                  <m:chr m:val="̅"/>
                                  <m:ctrlPr>
                                    <w:rPr>
                                      <w:rFonts w:ascii="Cambria Math" w:hAnsi="Cambria Math" w:cs="Times New Roman"/>
                                      <w:i/>
                                      <w:color w:val="auto"/>
                                    </w:rPr>
                                  </m:ctrlPr>
                                </m:accPr>
                                <m:e>
                                  <m:r>
                                    <w:rPr>
                                      <w:rFonts w:ascii="Cambria Math" w:hAnsi="Cambria Math" w:cs="Times New Roman"/>
                                      <w:color w:val="auto"/>
                                    </w:rPr>
                                    <m:t>HD</m:t>
                                  </m:r>
                                </m:e>
                              </m:acc>
                            </m:e>
                            <m:sub>
                              <m:r>
                                <w:rPr>
                                  <w:rFonts w:ascii="Cambria Math" w:hAnsi="Cambria Math" w:cs="Times New Roman"/>
                                  <w:color w:val="auto"/>
                                </w:rPr>
                                <m:t>i,r</m:t>
                              </m:r>
                            </m:sub>
                            <m:sup>
                              <m:r>
                                <w:rPr>
                                  <w:rFonts w:ascii="Cambria Math" w:hAnsi="Cambria Math" w:cs="Times New Roman"/>
                                  <w:color w:val="auto"/>
                                </w:rPr>
                                <m:t>s</m:t>
                              </m:r>
                            </m:sup>
                          </m:sSubSup>
                          <m:r>
                            <w:rPr>
                              <w:rFonts w:ascii="Cambria Math" w:hAnsi="Cambria Math" w:cs="Times New Roman"/>
                              <w:color w:val="auto"/>
                            </w:rPr>
                            <m:t>*</m:t>
                          </m:r>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max</m:t>
                              </m:r>
                            </m:sup>
                          </m:sSubSup>
                          <m:r>
                            <w:rPr>
                              <w:rFonts w:ascii="Cambria Math" w:hAnsi="Cambria Math" w:cs="Times New Roman"/>
                              <w:color w:val="auto"/>
                            </w:rPr>
                            <m:t>(t)</m:t>
                          </m:r>
                        </m:e>
                      </m:d>
                    </m:e>
                  </m:nary>
                </m:den>
              </m:f>
            </m:oMath>
            <w:r w:rsidR="00A35EEE" w:rsidRPr="00214EFC">
              <w:rPr>
                <w:rFonts w:ascii="Times New Roman" w:hAnsi="Times New Roman" w:cs="Times New Roman"/>
                <w:color w:val="auto"/>
              </w:rPr>
              <w:t xml:space="preserve"> </w:t>
            </w:r>
          </w:p>
        </w:tc>
        <w:tc>
          <w:tcPr>
            <w:tcW w:w="1775" w:type="dxa"/>
            <w:vAlign w:val="center"/>
          </w:tcPr>
          <w:p w14:paraId="7C39C0B2" w14:textId="52FF095C" w:rsidR="00A35EEE" w:rsidRPr="00214EFC" w:rsidRDefault="00A35EEE" w:rsidP="00AA63CD">
            <w:pPr>
              <w:pStyle w:val="Table"/>
              <w:spacing w:after="100" w:afterAutospacing="1" w:line="360" w:lineRule="auto"/>
              <w:jc w:val="right"/>
              <w:rPr>
                <w:rFonts w:ascii="Times New Roman" w:hAnsi="Times New Roman" w:cs="Times New Roman"/>
                <w:color w:val="auto"/>
              </w:rPr>
            </w:pPr>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9</w:t>
            </w:r>
            <w:r w:rsidRPr="00214EFC">
              <w:rPr>
                <w:rFonts w:ascii="Times New Roman" w:hAnsi="Times New Roman" w:cs="Times New Roman"/>
                <w:color w:val="auto"/>
              </w:rPr>
              <w:fldChar w:fldCharType="end"/>
            </w:r>
          </w:p>
        </w:tc>
      </w:tr>
    </w:tbl>
    <w:p w14:paraId="7C39C0B4" w14:textId="324AB6A0" w:rsidR="00A35EEE" w:rsidRPr="00214EFC" w:rsidRDefault="00A35EEE" w:rsidP="00AA63CD">
      <w:pPr>
        <w:spacing w:after="100" w:afterAutospacing="1" w:line="360" w:lineRule="auto"/>
      </w:pPr>
      <w:r w:rsidRPr="00214EFC">
        <w:t>Taking both forward effects and backward effects into consideration simultaneously, the actual output of the producer</w:t>
      </w:r>
      <w:r w:rsidRPr="00214EFC">
        <w:rPr>
          <w:i/>
          <w:iCs/>
        </w:rPr>
        <w:t xml:space="preserve"> </w:t>
      </w:r>
      <m:oMath>
        <m:r>
          <w:rPr>
            <w:rFonts w:ascii="Cambria Math" w:hAnsi="Cambria Math"/>
          </w:rPr>
          <m:t>i</m:t>
        </m:r>
      </m:oMath>
      <w:r w:rsidRPr="00214EFC">
        <w:t xml:space="preserve"> in </w:t>
      </w:r>
      <w:r w:rsidR="00935AA9" w:rsidRPr="00214EFC">
        <w:t xml:space="preserve">period </w:t>
      </w:r>
      <w:r w:rsidRPr="00214EFC">
        <w:rPr>
          <w:i/>
          <w:iCs/>
        </w:rPr>
        <w:t>t</w:t>
      </w:r>
      <w:r w:rsidRPr="00214EFC">
        <w:t xml:space="preserve"> (</w:t>
      </w:r>
      <m:oMath>
        <m:sSubSup>
          <m:sSubSupPr>
            <m:ctrlPr>
              <w:rPr>
                <w:rFonts w:ascii="Cambria Math" w:hAnsi="Cambria Math"/>
                <w:i/>
              </w:rPr>
            </m:ctrlPr>
          </m:sSubSupPr>
          <m:e>
            <m:r>
              <w:rPr>
                <w:rFonts w:ascii="Cambria Math" w:hAnsi="Cambria Math"/>
              </w:rPr>
              <m:t>x</m:t>
            </m:r>
          </m:e>
          <m:sub>
            <m:r>
              <w:rPr>
                <w:rFonts w:ascii="Cambria Math" w:hAnsi="Cambria Math"/>
              </w:rPr>
              <m:t>i,r</m:t>
            </m:r>
          </m:sub>
          <m:sup>
            <m:r>
              <w:rPr>
                <w:rFonts w:ascii="Cambria Math" w:hAnsi="Cambria Math"/>
              </w:rPr>
              <m:t>a</m:t>
            </m:r>
          </m:sup>
        </m:sSubSup>
        <m:r>
          <w:rPr>
            <w:rFonts w:ascii="Cambria Math" w:hAnsi="Cambria Math"/>
          </w:rPr>
          <m:t>(t))</m:t>
        </m:r>
      </m:oMath>
      <w:r w:rsidRPr="00214EFC">
        <w:t xml:space="preserve"> is</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775"/>
      </w:tblGrid>
      <w:tr w:rsidR="00A35EEE" w:rsidRPr="00214EFC" w14:paraId="7C39C0B7" w14:textId="77777777" w:rsidTr="009B570D">
        <w:tc>
          <w:tcPr>
            <w:tcW w:w="6521" w:type="dxa"/>
            <w:vAlign w:val="center"/>
          </w:tcPr>
          <w:p w14:paraId="7C39C0B5" w14:textId="77777777" w:rsidR="00A35EEE" w:rsidRPr="00214EFC" w:rsidRDefault="002D7B00" w:rsidP="00AA63CD">
            <w:pPr>
              <w:pStyle w:val="Table"/>
              <w:spacing w:after="100" w:afterAutospacing="1" w:line="360" w:lineRule="auto"/>
              <w:jc w:val="left"/>
              <w:rPr>
                <w:rFonts w:ascii="Times New Roman" w:hAnsi="Times New Roman" w:cs="Times New Roman"/>
                <w:color w:val="auto"/>
              </w:rPr>
            </w:pPr>
            <m:oMath>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a</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=min</m:t>
              </m:r>
              <m:d>
                <m:dPr>
                  <m:ctrlPr>
                    <w:rPr>
                      <w:rFonts w:ascii="Cambria Math" w:hAnsi="Cambria Math" w:cs="Times New Roman"/>
                      <w:color w:val="auto"/>
                    </w:rPr>
                  </m:ctrlPr>
                </m:dPr>
                <m:e>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max</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TD</m:t>
                      </m:r>
                    </m:e>
                    <m:sub>
                      <m:r>
                        <w:rPr>
                          <w:rFonts w:ascii="Cambria Math" w:hAnsi="Cambria Math" w:cs="Times New Roman"/>
                          <w:color w:val="auto"/>
                        </w:rPr>
                        <m:t>i,r</m:t>
                      </m:r>
                    </m:sub>
                  </m:sSub>
                  <m:r>
                    <w:rPr>
                      <w:rFonts w:ascii="Cambria Math" w:hAnsi="Cambria Math" w:cs="Times New Roman"/>
                      <w:color w:val="auto"/>
                    </w:rPr>
                    <m:t>(t)</m:t>
                  </m:r>
                </m:e>
              </m:d>
            </m:oMath>
            <w:r w:rsidR="00A35EEE" w:rsidRPr="00214EFC">
              <w:rPr>
                <w:rFonts w:ascii="Times New Roman" w:hAnsi="Times New Roman" w:cs="Times New Roman"/>
                <w:color w:val="auto"/>
              </w:rPr>
              <w:t xml:space="preserve"> </w:t>
            </w:r>
          </w:p>
        </w:tc>
        <w:tc>
          <w:tcPr>
            <w:tcW w:w="1775" w:type="dxa"/>
            <w:vAlign w:val="center"/>
          </w:tcPr>
          <w:p w14:paraId="7C39C0B6" w14:textId="74B73608" w:rsidR="00A35EEE" w:rsidRPr="00214EFC" w:rsidRDefault="00A35EEE" w:rsidP="00AA63CD">
            <w:pPr>
              <w:pStyle w:val="Table"/>
              <w:spacing w:after="100" w:afterAutospacing="1" w:line="360" w:lineRule="auto"/>
              <w:jc w:val="right"/>
              <w:rPr>
                <w:rFonts w:ascii="Times New Roman" w:hAnsi="Times New Roman" w:cs="Times New Roman"/>
                <w:color w:val="auto"/>
              </w:rPr>
            </w:pPr>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10</w:t>
            </w:r>
            <w:r w:rsidRPr="00214EFC">
              <w:rPr>
                <w:rFonts w:ascii="Times New Roman" w:hAnsi="Times New Roman" w:cs="Times New Roman"/>
                <w:color w:val="auto"/>
              </w:rPr>
              <w:fldChar w:fldCharType="end"/>
            </w:r>
          </w:p>
        </w:tc>
      </w:tr>
    </w:tbl>
    <w:p w14:paraId="7C39C0B8" w14:textId="4E9332D1" w:rsidR="00A35EEE" w:rsidRPr="00214EFC" w:rsidRDefault="00A35EEE" w:rsidP="00AA63CD">
      <w:pPr>
        <w:spacing w:after="100" w:afterAutospacing="1" w:line="360" w:lineRule="auto"/>
      </w:pPr>
      <w:r w:rsidRPr="00214EFC">
        <w:t>The actual production will be allocated to downstream economic sectors and households according to their orders. If the output is not enough to meet all orders, it will be split according to the order proportion</w:t>
      </w:r>
      <w:r w:rsidR="00F90B46">
        <w:fldChar w:fldCharType="begin"/>
      </w:r>
      <w:r w:rsidR="00F90B46">
        <w:instrText xml:space="preserve"> ADDIN ZOTERO_ITEM CSL_CITATION {"citationID":"9ob88S2f","properties":{"formattedCitation":"\\super 2,10\\nosupersub{}","plainCitation":"2,10","noteIndex":0},"citationItems":[{"id":1137,"uris":["http://zotero.org/users/4340498/items/U9QM4SZR"],"uri":["htt</w:instrText>
      </w:r>
      <w:r w:rsidR="00F90B46">
        <w:rPr>
          <w:rFonts w:hint="eastAsia"/>
        </w:rPr>
        <w:instrText>p://zotero.org/users/4340498/items/U9QM4SZR"],"itemData":{"id":1137,"type":"article-journal","container-title":"Risk Analysis","title":"An Adaptive Regional Input</w:instrText>
      </w:r>
      <w:r w:rsidR="00F90B46">
        <w:rPr>
          <w:rFonts w:hint="eastAsia"/>
        </w:rPr>
        <w:instrText>‐</w:instrText>
      </w:r>
      <w:r w:rsidR="00F90B46">
        <w:rPr>
          <w:rFonts w:hint="eastAsia"/>
        </w:rPr>
        <w:instrText>Output Model and its Application to the Assessment of the Economic Cost of Katrina","URL":"h</w:instrText>
      </w:r>
      <w:r w:rsidR="00F90B46">
        <w:instrText>ttps://onlinelibrary.wiley.com/doi/full/10.1111/j.1539-6924.2008.01046.x","author":[{"family":"Hallegatte","given":"Stéphane"}],"accessed":{"date-parts":[["2020",11,26]]},"issued":{"date-parts":[["2008"]]}}},{"id":1145,"uris":["http://zotero.org/users/4340498/items/VSSKQKDG"],"uri":["http://zotero.org/users/4340498/items/VSSKQKDG"],"itemData":{"id":1145,"type":"article-journal","abstract":"Input-output analysis is frequently used in studies of large-scale weather-related (e.g., Hurricanes and flooding) disruption of a regional economy. The economy after a sudden catastrophe shows a multitude of imbalances with respect to demand and production and may take months or years to recover. However, there is no consensus about how the economy recovers. This article presents a theoretical route map for imbalanced economic recovery called dynamic inequalities. Subsequently, it is applied to a hypothetical postdisaster economic scenario of flooding in London around the year 2020 to assess the influence of future shocks to a regional economy and suggest adaptation measures. Economic projections are produced by a macro econometric model and used as baseline conditions. The results suggest that London's economy would recover over approximately 70 months by applying a proportional rationing scheme under the assumption of initial 50% labor loss (with full recovery in six months), 40% initial loss to service sectors, and 10–30% initial loss to other sectors. The results also suggest that imbalance will be the norm during the postdisaster period of economic recovery even though balance may occur temporarily. Model sensitivity analysis suggests that a proportional rationing scheme may be an effective strategy to apply during postdisaster economic reconstruction, and that policies in transportation recovery and in health care are essential for effective postdisaster economic recovery.","container-title":"Risk Analysis","DOI":"https://doi.org/10.1111/risa.12040","ISSN":"1539-6924","issue":"10","language":"en","note":"_eprint: https://onlinelibrary.wiley.com/doi/pdf/10.1111/risa.12040","page":"1908-1923","source":"Wiley Online Library","title":"Modeling Imbalanced Economic Recovery Following a Natural Disaster Using Input-Output Analysis","volume":"33","author":[{"family":"Li"</w:instrText>
      </w:r>
      <w:r w:rsidR="00F90B46">
        <w:rPr>
          <w:rFonts w:hint="eastAsia"/>
        </w:rPr>
        <w:instrText>,"given":"Jun"},{"family":"Crawford</w:instrText>
      </w:r>
      <w:r w:rsidR="00F90B46">
        <w:rPr>
          <w:rFonts w:hint="eastAsia"/>
        </w:rPr>
        <w:instrText>‐</w:instrText>
      </w:r>
      <w:r w:rsidR="00F90B46">
        <w:rPr>
          <w:rFonts w:hint="eastAsia"/>
        </w:rPr>
        <w:instrText>Brown","given":"Douglas"},{"family":"Syddall","given":"Mark"},{"family":"Guan","given":"Dabo"}],"issued":{"date-parts":[["2013"]]}}}],"schema":"https://github.com/citation-style-language/schema/raw/master/csl-citation.j</w:instrText>
      </w:r>
      <w:r w:rsidR="00F90B46">
        <w:instrText xml:space="preserve">son"} </w:instrText>
      </w:r>
      <w:r w:rsidR="00F90B46">
        <w:fldChar w:fldCharType="separate"/>
      </w:r>
      <w:r w:rsidR="00F90B46" w:rsidRPr="00F90B46">
        <w:rPr>
          <w:kern w:val="0"/>
          <w:szCs w:val="24"/>
          <w:vertAlign w:val="superscript"/>
        </w:rPr>
        <w:t>2,10</w:t>
      </w:r>
      <w:r w:rsidR="00F90B46">
        <w:fldChar w:fldCharType="end"/>
      </w:r>
      <w:r w:rsidRPr="00214EFC">
        <w:t>.</w:t>
      </w:r>
    </w:p>
    <w:p w14:paraId="7C39C0B9" w14:textId="3456CA55" w:rsidR="00A35EEE" w:rsidRPr="00214EFC" w:rsidRDefault="00A35EEE" w:rsidP="00AA63CD">
      <w:pPr>
        <w:spacing w:after="100" w:afterAutospacing="1" w:line="360" w:lineRule="auto"/>
      </w:pPr>
      <w:r w:rsidRPr="00214EFC">
        <w:t>If we assume the growth rate for each producer (</w:t>
      </w:r>
      <m:oMath>
        <m:r>
          <w:rPr>
            <w:rFonts w:ascii="Cambria Math" w:hAnsi="Cambria Math"/>
          </w:rPr>
          <m:t>g</m:t>
        </m:r>
      </m:oMath>
      <w:r w:rsidRPr="00214EFC">
        <w:t>) remains the same within the entire process, then the actual output of the producer</w:t>
      </w:r>
      <w:r w:rsidRPr="00214EFC">
        <w:rPr>
          <w:i/>
          <w:iCs/>
        </w:rPr>
        <w:t xml:space="preserve"> </w:t>
      </w:r>
      <m:oMath>
        <m:r>
          <w:rPr>
            <w:rFonts w:ascii="Cambria Math" w:hAnsi="Cambria Math"/>
          </w:rPr>
          <m:t>i</m:t>
        </m:r>
      </m:oMath>
      <w:r w:rsidRPr="00214EFC">
        <w:t xml:space="preserve"> in time </w:t>
      </w:r>
      <m:oMath>
        <m:r>
          <w:rPr>
            <w:rFonts w:ascii="Cambria Math" w:hAnsi="Cambria Math"/>
          </w:rPr>
          <m:t>t</m:t>
        </m:r>
      </m:oMath>
      <w:r w:rsidRPr="00214EFC">
        <w:t xml:space="preserve"> after adjusting the economic growth (</w:t>
      </w:r>
      <m:oMath>
        <m:sSubSup>
          <m:sSubSupPr>
            <m:ctrlPr>
              <w:rPr>
                <w:rFonts w:ascii="Cambria Math" w:hAnsi="Cambria Math"/>
                <w:i/>
              </w:rPr>
            </m:ctrlPr>
          </m:sSubSupPr>
          <m:e>
            <m:r>
              <w:rPr>
                <w:rFonts w:ascii="Cambria Math" w:hAnsi="Cambria Math"/>
              </w:rPr>
              <m:t>xx</m:t>
            </m:r>
          </m:e>
          <m:sub>
            <m:r>
              <w:rPr>
                <w:rFonts w:ascii="Cambria Math" w:hAnsi="Cambria Math"/>
              </w:rPr>
              <m:t>i,r</m:t>
            </m:r>
          </m:sub>
          <m:sup>
            <m:r>
              <w:rPr>
                <w:rFonts w:ascii="Cambria Math" w:hAnsi="Cambria Math"/>
              </w:rPr>
              <m:t>a</m:t>
            </m:r>
          </m:sup>
        </m:sSubSup>
        <m:d>
          <m:dPr>
            <m:ctrlPr>
              <w:rPr>
                <w:rFonts w:ascii="Cambria Math" w:hAnsi="Cambria Math"/>
                <w:i/>
              </w:rPr>
            </m:ctrlPr>
          </m:dPr>
          <m:e>
            <m:r>
              <w:rPr>
                <w:rFonts w:ascii="Cambria Math" w:hAnsi="Cambria Math"/>
              </w:rPr>
              <m:t>t</m:t>
            </m:r>
          </m:e>
        </m:d>
        <m:r>
          <w:rPr>
            <w:rFonts w:ascii="Cambria Math" w:hAnsi="Cambria Math"/>
          </w:rPr>
          <m:t>)</m:t>
        </m:r>
      </m:oMath>
      <w:r w:rsidRPr="00214EFC">
        <w:t xml:space="preserve"> can be calculated in </w:t>
      </w:r>
      <w:r w:rsidRPr="00214EFC">
        <w:fldChar w:fldCharType="begin"/>
      </w:r>
      <w:r w:rsidRPr="00214EFC">
        <w:instrText xml:space="preserve"> REF _Ref42439316 \h </w:instrText>
      </w:r>
      <w:r w:rsidR="00052B68" w:rsidRPr="00214EFC">
        <w:instrText xml:space="preserve"> \* MERGEFORMAT </w:instrText>
      </w:r>
      <w:r w:rsidRPr="00214EFC">
        <w:fldChar w:fldCharType="separate"/>
      </w:r>
      <w:r w:rsidR="008F7E80" w:rsidRPr="00214EFC">
        <w:t xml:space="preserve">Equation </w:t>
      </w:r>
      <w:r w:rsidR="008F7E80">
        <w:rPr>
          <w:noProof/>
        </w:rPr>
        <w:t>11</w:t>
      </w:r>
      <w:r w:rsidRPr="00214EFC">
        <w:fldChar w:fldCharType="end"/>
      </w:r>
      <w:r w:rsidRPr="00214EFC">
        <w:t>.</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775"/>
      </w:tblGrid>
      <w:tr w:rsidR="00A35EEE" w:rsidRPr="00214EFC" w14:paraId="7C39C0BC" w14:textId="77777777" w:rsidTr="009B570D">
        <w:tc>
          <w:tcPr>
            <w:tcW w:w="6521" w:type="dxa"/>
            <w:vAlign w:val="center"/>
          </w:tcPr>
          <w:p w14:paraId="7C39C0BA" w14:textId="77777777" w:rsidR="00A35EEE" w:rsidRPr="00214EFC" w:rsidRDefault="002D7B00" w:rsidP="00AA63CD">
            <w:pPr>
              <w:pStyle w:val="Table"/>
              <w:spacing w:after="100" w:afterAutospacing="1" w:line="360" w:lineRule="auto"/>
              <w:jc w:val="left"/>
              <w:rPr>
                <w:rFonts w:ascii="Times New Roman" w:hAnsi="Times New Roman" w:cs="Times New Roman"/>
                <w:color w:val="auto"/>
              </w:rPr>
            </w:pPr>
            <m:oMath>
              <m:sSubSup>
                <m:sSubSupPr>
                  <m:ctrlPr>
                    <w:rPr>
                      <w:rFonts w:ascii="Cambria Math" w:hAnsi="Cambria Math" w:cs="Times New Roman"/>
                      <w:i/>
                      <w:color w:val="auto"/>
                    </w:rPr>
                  </m:ctrlPr>
                </m:sSubSupPr>
                <m:e>
                  <m:r>
                    <w:rPr>
                      <w:rFonts w:ascii="Cambria Math" w:hAnsi="Cambria Math" w:cs="Times New Roman"/>
                      <w:color w:val="auto"/>
                    </w:rPr>
                    <m:t>xx</m:t>
                  </m:r>
                </m:e>
                <m:sub>
                  <m:r>
                    <w:rPr>
                      <w:rFonts w:ascii="Cambria Math" w:hAnsi="Cambria Math" w:cs="Times New Roman"/>
                      <w:color w:val="auto"/>
                    </w:rPr>
                    <m:t>i,r</m:t>
                  </m:r>
                </m:sub>
                <m:sup>
                  <m:r>
                    <w:rPr>
                      <w:rFonts w:ascii="Cambria Math" w:hAnsi="Cambria Math" w:cs="Times New Roman"/>
                      <w:color w:val="auto"/>
                    </w:rPr>
                    <m:t>a</m:t>
                  </m:r>
                </m:sup>
              </m:sSubSup>
              <m:d>
                <m:dPr>
                  <m:ctrlPr>
                    <w:rPr>
                      <w:rFonts w:ascii="Cambria Math" w:hAnsi="Cambria Math" w:cs="Times New Roman"/>
                      <w:i/>
                      <w:color w:val="auto"/>
                    </w:rPr>
                  </m:ctrlPr>
                </m:dPr>
                <m:e>
                  <m:r>
                    <w:rPr>
                      <w:rFonts w:ascii="Cambria Math" w:hAnsi="Cambria Math" w:cs="Times New Roman"/>
                      <w:color w:val="auto"/>
                    </w:rPr>
                    <m:t>t</m:t>
                  </m:r>
                </m:e>
              </m:d>
              <m:r>
                <w:rPr>
                  <w:rFonts w:ascii="Cambria Math" w:hAnsi="Cambria Math" w:cs="Times New Roman"/>
                  <w:color w:val="auto"/>
                </w:rPr>
                <m:t>=</m:t>
              </m:r>
              <m:d>
                <m:dPr>
                  <m:ctrlPr>
                    <w:rPr>
                      <w:rFonts w:ascii="Cambria Math" w:hAnsi="Cambria Math" w:cs="Times New Roman"/>
                      <w:i/>
                      <w:color w:val="auto"/>
                    </w:rPr>
                  </m:ctrlPr>
                </m:dPr>
                <m:e>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g</m:t>
                      </m:r>
                    </m:e>
                    <m:sub>
                      <m:r>
                        <w:rPr>
                          <w:rFonts w:ascii="Cambria Math" w:hAnsi="Cambria Math" w:cs="Times New Roman"/>
                          <w:color w:val="auto"/>
                        </w:rPr>
                        <m:t>i,r</m:t>
                      </m:r>
                    </m:sub>
                  </m:sSub>
                </m:e>
              </m:d>
              <m:r>
                <w:rPr>
                  <w:rFonts w:ascii="Cambria Math" w:hAnsi="Cambria Math" w:cs="Times New Roman"/>
                  <w:color w:val="auto"/>
                </w:rPr>
                <m:t>*x</m:t>
              </m:r>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a</m:t>
                  </m:r>
                </m:sup>
              </m:sSubSup>
              <m:d>
                <m:dPr>
                  <m:ctrlPr>
                    <w:rPr>
                      <w:rFonts w:ascii="Cambria Math" w:hAnsi="Cambria Math" w:cs="Times New Roman"/>
                      <w:i/>
                      <w:color w:val="auto"/>
                    </w:rPr>
                  </m:ctrlPr>
                </m:dPr>
                <m:e>
                  <m:r>
                    <w:rPr>
                      <w:rFonts w:ascii="Cambria Math" w:hAnsi="Cambria Math" w:cs="Times New Roman"/>
                      <w:color w:val="auto"/>
                    </w:rPr>
                    <m:t>t-1</m:t>
                  </m:r>
                </m:e>
              </m:d>
              <m:r>
                <w:rPr>
                  <w:rFonts w:ascii="Cambria Math" w:hAnsi="Cambria Math" w:cs="Times New Roman"/>
                  <w:color w:val="auto"/>
                </w:rPr>
                <m:t>*</m:t>
              </m:r>
              <m:d>
                <m:dPr>
                  <m:ctrlPr>
                    <w:rPr>
                      <w:rFonts w:ascii="Cambria Math" w:hAnsi="Cambria Math" w:cs="Times New Roman"/>
                      <w:i/>
                      <w:color w:val="auto"/>
                    </w:rPr>
                  </m:ctrlPr>
                </m:dPr>
                <m:e>
                  <m:f>
                    <m:fPr>
                      <m:ctrlPr>
                        <w:rPr>
                          <w:rFonts w:ascii="Cambria Math" w:hAnsi="Cambria Math" w:cs="Times New Roman"/>
                          <w:i/>
                          <w:color w:val="auto"/>
                        </w:rPr>
                      </m:ctrlPr>
                    </m:fPr>
                    <m:num>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a</m:t>
                          </m:r>
                        </m:sup>
                      </m:sSubSup>
                      <m:d>
                        <m:dPr>
                          <m:ctrlPr>
                            <w:rPr>
                              <w:rFonts w:ascii="Cambria Math" w:hAnsi="Cambria Math" w:cs="Times New Roman"/>
                              <w:i/>
                              <w:color w:val="auto"/>
                            </w:rPr>
                          </m:ctrlPr>
                        </m:dPr>
                        <m:e>
                          <m:r>
                            <w:rPr>
                              <w:rFonts w:ascii="Cambria Math" w:hAnsi="Cambria Math" w:cs="Times New Roman"/>
                              <w:color w:val="auto"/>
                            </w:rPr>
                            <m:t>t</m:t>
                          </m:r>
                        </m:e>
                      </m:d>
                    </m:num>
                    <m:den>
                      <m:sSubSup>
                        <m:sSubSupPr>
                          <m:ctrlPr>
                            <w:rPr>
                              <w:rFonts w:ascii="Cambria Math" w:hAnsi="Cambria Math" w:cs="Times New Roman"/>
                              <w:i/>
                              <w:color w:val="auto"/>
                            </w:rPr>
                          </m:ctrlPr>
                        </m:sSubSupPr>
                        <m:e>
                          <m:r>
                            <w:rPr>
                              <w:rFonts w:ascii="Cambria Math" w:hAnsi="Cambria Math" w:cs="Times New Roman"/>
                              <w:color w:val="auto"/>
                            </w:rPr>
                            <m:t>x</m:t>
                          </m:r>
                        </m:e>
                        <m:sub>
                          <m:r>
                            <w:rPr>
                              <w:rFonts w:ascii="Cambria Math" w:hAnsi="Cambria Math" w:cs="Times New Roman"/>
                              <w:color w:val="auto"/>
                            </w:rPr>
                            <m:t>i,r</m:t>
                          </m:r>
                        </m:sub>
                        <m:sup>
                          <m:r>
                            <w:rPr>
                              <w:rFonts w:ascii="Cambria Math" w:hAnsi="Cambria Math" w:cs="Times New Roman"/>
                              <w:color w:val="auto"/>
                            </w:rPr>
                            <m:t>a</m:t>
                          </m:r>
                        </m:sup>
                      </m:sSubSup>
                      <m:d>
                        <m:dPr>
                          <m:ctrlPr>
                            <w:rPr>
                              <w:rFonts w:ascii="Cambria Math" w:hAnsi="Cambria Math" w:cs="Times New Roman"/>
                              <w:i/>
                              <w:color w:val="auto"/>
                            </w:rPr>
                          </m:ctrlPr>
                        </m:dPr>
                        <m:e>
                          <m:r>
                            <w:rPr>
                              <w:rFonts w:ascii="Cambria Math" w:hAnsi="Cambria Math" w:cs="Times New Roman"/>
                              <w:color w:val="auto"/>
                            </w:rPr>
                            <m:t>t-1</m:t>
                          </m:r>
                        </m:e>
                      </m:d>
                    </m:den>
                  </m:f>
                </m:e>
              </m:d>
            </m:oMath>
            <w:r w:rsidR="00A35EEE" w:rsidRPr="00214EFC">
              <w:rPr>
                <w:rFonts w:ascii="Times New Roman" w:hAnsi="Times New Roman" w:cs="Times New Roman"/>
                <w:color w:val="auto"/>
              </w:rPr>
              <w:t xml:space="preserve"> </w:t>
            </w:r>
          </w:p>
        </w:tc>
        <w:tc>
          <w:tcPr>
            <w:tcW w:w="1775" w:type="dxa"/>
            <w:vAlign w:val="center"/>
          </w:tcPr>
          <w:p w14:paraId="7C39C0BB" w14:textId="5CBF4D71" w:rsidR="00A35EEE" w:rsidRPr="00214EFC" w:rsidRDefault="00A35EEE" w:rsidP="00AA63CD">
            <w:pPr>
              <w:pStyle w:val="Table"/>
              <w:spacing w:after="100" w:afterAutospacing="1" w:line="360" w:lineRule="auto"/>
              <w:jc w:val="right"/>
              <w:rPr>
                <w:rFonts w:ascii="Times New Roman" w:hAnsi="Times New Roman" w:cs="Times New Roman"/>
                <w:color w:val="auto"/>
              </w:rPr>
            </w:pPr>
            <w:bookmarkStart w:id="11" w:name="_Ref42439316"/>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 xml:space="preserve"> SEQ Equation \* ARABIC </w:instrText>
            </w:r>
            <w:r w:rsidRPr="00214EFC">
              <w:rPr>
                <w:rFonts w:ascii="Times New Roman" w:hAnsi="Times New Roman" w:cs="Times New Roman"/>
                <w:color w:val="auto"/>
              </w:rPr>
              <w:fldChar w:fldCharType="separate"/>
            </w:r>
            <w:r w:rsidR="00EC2279">
              <w:rPr>
                <w:rFonts w:ascii="Times New Roman" w:hAnsi="Times New Roman" w:cs="Times New Roman"/>
                <w:noProof/>
                <w:color w:val="auto"/>
              </w:rPr>
              <w:t>11</w:t>
            </w:r>
            <w:r w:rsidRPr="00214EFC">
              <w:rPr>
                <w:rFonts w:ascii="Times New Roman" w:hAnsi="Times New Roman" w:cs="Times New Roman"/>
                <w:color w:val="auto"/>
              </w:rPr>
              <w:fldChar w:fldCharType="end"/>
            </w:r>
            <w:bookmarkEnd w:id="11"/>
          </w:p>
        </w:tc>
      </w:tr>
    </w:tbl>
    <w:p w14:paraId="034D307C" w14:textId="27A63935" w:rsidR="004E461F" w:rsidRPr="00CB5276" w:rsidRDefault="007C103B" w:rsidP="00FB10FD">
      <w:pPr>
        <w:spacing w:after="100" w:afterAutospacing="1" w:line="360" w:lineRule="auto"/>
      </w:pPr>
      <w:r w:rsidRPr="00CB5276">
        <w:t>We c</w:t>
      </w:r>
      <w:r w:rsidR="00B00FC1" w:rsidRPr="00CB5276">
        <w:t>onsider</w:t>
      </w:r>
      <w:r w:rsidRPr="00CB5276">
        <w:t xml:space="preserve"> that</w:t>
      </w:r>
      <w:r w:rsidR="00B00FC1" w:rsidRPr="00CB5276">
        <w:t xml:space="preserve"> COVID-19 </w:t>
      </w:r>
      <w:r w:rsidR="00A65142" w:rsidRPr="00CB5276">
        <w:t xml:space="preserve">will </w:t>
      </w:r>
      <w:r w:rsidRPr="00CB5276">
        <w:rPr>
          <w:lang w:val="en-GB"/>
        </w:rPr>
        <w:t xml:space="preserve">have impact to the efficiency level of economic productions. For example, firms may need to switch their downstream suppliers due to COVID impact, which may results inefficient production as they will need </w:t>
      </w:r>
      <w:r w:rsidR="00FB10FD" w:rsidRPr="00CB5276">
        <w:rPr>
          <w:lang w:val="en-GB"/>
        </w:rPr>
        <w:t xml:space="preserve">to </w:t>
      </w:r>
      <w:r w:rsidRPr="00CB5276">
        <w:rPr>
          <w:lang w:val="en-GB"/>
        </w:rPr>
        <w:t>adapt</w:t>
      </w:r>
      <w:r w:rsidR="00FB10FD" w:rsidRPr="00CB5276">
        <w:rPr>
          <w:lang w:val="en-GB"/>
        </w:rPr>
        <w:t xml:space="preserve"> different level or types of technology provided by new suppliers </w:t>
      </w:r>
      <w:r w:rsidR="00F90B46" w:rsidRPr="00CB5276">
        <w:fldChar w:fldCharType="begin"/>
      </w:r>
      <w:r w:rsidR="00F90B46" w:rsidRPr="00CB5276">
        <w:instrText xml:space="preserve"> ADDIN ZOTERO_ITEM CSL_CITATION {"citationID":"YUzjJCHh","properties":{"formattedCitation":"\\super 11\\nosupersub{}","plainCitation":"11","noteIndex":0},"citationItems":[{"id":3386,"uris":["http://zotero.org/users/4340498/items/PGJ3HU2L"],"uri":["http://zotero.org/users/4340498/items/PGJ3HU2L"],"itemData":{"id":3386,"type":"article-journal","abstract":"This paper presents a recursive dynamic multiregional supply-use model, combining linear programming and input–output (I–O) modeling to assess the economy-wide consequences of a natural disaster on a pan-European scale. It is a supply-use model which considers production technologies and allows for supply side constraints. The model has been illustrated for three floods in Rotterdam, The Netherlands. Results show that most of the neighboring regions gain from the flood due to increased demand for reconstruction and production capacity constraints in the affected region. Regions located further away or neighboring regions without a direct export link to the affected region mostly suffered small losses. These losses are due to the costs of increased inefficiencies in the production process that have to be paid for by all (indirectly) consuming regions. In the end, the floods cause regionally differentiated welfare effects.","container-title":"Economic Systems Research","DOI":"10.1080/09535314.2016.1232701","ISSN":"0953-5314, 1469-5758","issue":"4","journalAbbreviation":"Economic Systems Research","language":"en","page":"429-449","source":"DOI.org (Crossref)","title":"A Multiregional Impact Assessment Model for disaster analysis","volume":"28","author":[{"family":"Koks","given":"Elco E."},{"family":"Thissen","given":"Mark"}],"issued":{"date-parts":[["2016",10]]}}}],"schema":"https://github.com/citation-style-language/schema/raw/master/csl-citation.json"} </w:instrText>
      </w:r>
      <w:r w:rsidR="00F90B46" w:rsidRPr="00CB5276">
        <w:fldChar w:fldCharType="separate"/>
      </w:r>
      <w:r w:rsidR="00F90B46" w:rsidRPr="00CB5276">
        <w:rPr>
          <w:kern w:val="0"/>
          <w:szCs w:val="24"/>
          <w:vertAlign w:val="superscript"/>
        </w:rPr>
        <w:t>11</w:t>
      </w:r>
      <w:r w:rsidR="00F90B46" w:rsidRPr="00CB5276">
        <w:fldChar w:fldCharType="end"/>
      </w:r>
      <w:r w:rsidR="00C469C1" w:rsidRPr="00CB5276">
        <w:t>.</w:t>
      </w:r>
      <w:r w:rsidR="00FB10FD" w:rsidRPr="00CB5276">
        <w:t xml:space="preserve"> Therefore, w</w:t>
      </w:r>
      <w:r w:rsidR="00DF75A3" w:rsidRPr="00CB5276">
        <w:t xml:space="preserve">e set the coefficient, e, </w:t>
      </w:r>
      <w:r w:rsidR="00E80145" w:rsidRPr="00CB5276">
        <w:t xml:space="preserve">to reflect the </w:t>
      </w:r>
      <w:r w:rsidR="00DF75A3" w:rsidRPr="00CB5276">
        <w:t>efficiency</w:t>
      </w:r>
      <w:r w:rsidR="00E80145" w:rsidRPr="00CB5276">
        <w:t xml:space="preserve"> influence of COVID-19</w:t>
      </w:r>
      <w:r w:rsidR="00FB10FD" w:rsidRPr="00CB5276">
        <w:t xml:space="preserve"> at sectoral level</w:t>
      </w:r>
      <w:r w:rsidR="00E80145" w:rsidRPr="00CB5276">
        <w:t xml:space="preserve">. </w:t>
      </w:r>
      <w:r w:rsidR="0043771F" w:rsidRPr="00CB5276">
        <w:t>There is lack of quantified research to define such coefficient in literature. In this work, we take this into consideration with assumptions. For</w:t>
      </w:r>
      <w:r w:rsidR="00925A5B" w:rsidRPr="00CB5276">
        <w:t xml:space="preserve"> the most optimistic scenario</w:t>
      </w:r>
      <w:r w:rsidR="00F40EB2" w:rsidRPr="00CB5276">
        <w:t xml:space="preserve">, </w:t>
      </w:r>
      <w:r w:rsidR="00FB10FD" w:rsidRPr="00CB5276">
        <w:t>i.e.,</w:t>
      </w:r>
      <w:r w:rsidR="00F40EB2" w:rsidRPr="00CB5276">
        <w:t xml:space="preserve"> the mildest lockdown scenario</w:t>
      </w:r>
      <w:r w:rsidR="00925A5B" w:rsidRPr="00CB5276">
        <w:t xml:space="preserve">, e=1, indicating the economic </w:t>
      </w:r>
      <w:r w:rsidR="00020EB6" w:rsidRPr="00CB5276">
        <w:t>effi</w:t>
      </w:r>
      <w:r w:rsidR="003531C3" w:rsidRPr="00CB5276">
        <w:t>ciency</w:t>
      </w:r>
      <w:r w:rsidR="00020EB6" w:rsidRPr="00CB5276">
        <w:t xml:space="preserve"> </w:t>
      </w:r>
      <w:r w:rsidR="003531C3" w:rsidRPr="00CB5276">
        <w:t xml:space="preserve">is the same as </w:t>
      </w:r>
      <w:r w:rsidR="00FB10FD" w:rsidRPr="00CB5276">
        <w:t xml:space="preserve">the </w:t>
      </w:r>
      <w:r w:rsidR="0043771F" w:rsidRPr="00CB5276">
        <w:t>scenario</w:t>
      </w:r>
      <w:r w:rsidR="003531C3" w:rsidRPr="00CB5276">
        <w:t xml:space="preserve"> </w:t>
      </w:r>
      <w:r w:rsidR="00F40EB2" w:rsidRPr="00CB5276">
        <w:t xml:space="preserve">without COVID; while for the severest lockdown scenario, e=0.5, </w:t>
      </w:r>
      <w:r w:rsidR="00352F81" w:rsidRPr="00CB5276">
        <w:t xml:space="preserve">assuming the economic </w:t>
      </w:r>
      <w:r w:rsidR="003531C3" w:rsidRPr="00CB5276">
        <w:t xml:space="preserve">efficiency </w:t>
      </w:r>
      <w:r w:rsidR="00F165E3" w:rsidRPr="00CB5276">
        <w:t>will be half of the no-COVID</w:t>
      </w:r>
      <w:r w:rsidR="003531C3" w:rsidRPr="00CB5276">
        <w:t xml:space="preserve"> scenario</w:t>
      </w:r>
      <w:r w:rsidR="002E51A7" w:rsidRPr="00CB5276">
        <w:t>; for the default lockdown scenario, e=0.75.</w:t>
      </w:r>
    </w:p>
    <w:p w14:paraId="6056765C" w14:textId="31EBF7CE" w:rsidR="002E51A7" w:rsidRDefault="00CE5A67" w:rsidP="00EC2279">
      <w:pPr>
        <w:pStyle w:val="af6"/>
        <w:jc w:val="right"/>
      </w:pPr>
      <w:r w:rsidRPr="00E309AB">
        <w:rPr>
          <w:highlight w:val="yellow"/>
        </w:rPr>
        <w:t xml:space="preserve">                       </w:t>
      </w:r>
    </w:p>
    <w:tbl>
      <w:tblPr>
        <w:tblStyle w:val="afa"/>
        <w:tblW w:w="8296" w:type="dxa"/>
        <w:tblLook w:val="04A0" w:firstRow="1" w:lastRow="0" w:firstColumn="1" w:lastColumn="0" w:noHBand="0" w:noVBand="1"/>
      </w:tblPr>
      <w:tblGrid>
        <w:gridCol w:w="5812"/>
        <w:gridCol w:w="2484"/>
      </w:tblGrid>
      <w:tr w:rsidR="00EC2279" w:rsidRPr="00214EFC" w14:paraId="58370598" w14:textId="77777777" w:rsidTr="009669F6">
        <w:tc>
          <w:tcPr>
            <w:tcW w:w="5812" w:type="dxa"/>
            <w:tcBorders>
              <w:top w:val="nil"/>
              <w:left w:val="nil"/>
              <w:bottom w:val="nil"/>
              <w:right w:val="nil"/>
            </w:tcBorders>
            <w:shd w:val="clear" w:color="auto" w:fill="auto"/>
          </w:tcPr>
          <w:p w14:paraId="46840ABB" w14:textId="11424037" w:rsidR="00EC2279" w:rsidRPr="00EC2279" w:rsidRDefault="002D7B00" w:rsidP="00EC2279">
            <w:pPr>
              <w:pStyle w:val="Table"/>
              <w:spacing w:after="100" w:afterAutospacing="1" w:line="360" w:lineRule="auto"/>
              <w:jc w:val="right"/>
              <w:rPr>
                <w:rFonts w:ascii="Times New Roman" w:hAnsi="Times New Roman" w:cs="Times New Roman"/>
                <w:color w:val="auto"/>
              </w:rPr>
            </w:pPr>
            <m:oMathPara>
              <m:oMathParaPr>
                <m:jc m:val="left"/>
              </m:oMathParaPr>
              <m:oMath>
                <m:sSubSup>
                  <m:sSubSupPr>
                    <m:ctrlPr>
                      <w:rPr>
                        <w:rFonts w:ascii="Cambria Math" w:hAnsi="Cambria Math" w:cs="Times New Roman"/>
                        <w:color w:val="auto"/>
                      </w:rPr>
                    </m:ctrlPr>
                  </m:sSubSupPr>
                  <m:e>
                    <m:r>
                      <w:rPr>
                        <w:rFonts w:ascii="Cambria Math" w:hAnsi="Cambria Math" w:cs="Times New Roman"/>
                        <w:color w:val="auto"/>
                      </w:rPr>
                      <m:t>xx</m:t>
                    </m:r>
                  </m:e>
                  <m:sub>
                    <m:r>
                      <w:rPr>
                        <w:rFonts w:ascii="Cambria Math" w:hAnsi="Cambria Math" w:cs="Times New Roman"/>
                        <w:color w:val="auto"/>
                      </w:rPr>
                      <m:t>i</m:t>
                    </m:r>
                    <m:r>
                      <m:rPr>
                        <m:sty m:val="p"/>
                      </m:rPr>
                      <w:rPr>
                        <w:rFonts w:ascii="Cambria Math" w:hAnsi="Cambria Math" w:cs="Times New Roman"/>
                        <w:color w:val="auto"/>
                      </w:rPr>
                      <m:t>,</m:t>
                    </m:r>
                    <m:r>
                      <w:rPr>
                        <w:rFonts w:ascii="Cambria Math" w:hAnsi="Cambria Math" w:cs="Times New Roman"/>
                        <w:color w:val="auto"/>
                      </w:rPr>
                      <m:t>r</m:t>
                    </m:r>
                  </m:sub>
                  <m:sup>
                    <m:r>
                      <w:rPr>
                        <w:rFonts w:ascii="Cambria Math" w:hAnsi="Cambria Math" w:cs="Times New Roman"/>
                        <w:color w:val="auto"/>
                      </w:rPr>
                      <m:t>a</m:t>
                    </m:r>
                  </m:sup>
                </m:sSubSup>
                <m:d>
                  <m:dPr>
                    <m:ctrlPr>
                      <w:rPr>
                        <w:rFonts w:ascii="Cambria Math" w:hAnsi="Cambria Math" w:cs="Times New Roman"/>
                        <w:color w:val="auto"/>
                      </w:rPr>
                    </m:ctrlPr>
                  </m:dPr>
                  <m:e>
                    <m:r>
                      <w:rPr>
                        <w:rFonts w:ascii="Cambria Math" w:hAnsi="Cambria Math" w:cs="Times New Roman"/>
                        <w:color w:val="auto"/>
                      </w:rPr>
                      <m:t>t</m:t>
                    </m:r>
                  </m:e>
                </m:d>
                <m:r>
                  <m:rPr>
                    <m:sty m:val="p"/>
                  </m:rPr>
                  <w:rPr>
                    <w:rFonts w:ascii="Cambria Math" w:hAnsi="Cambria Math" w:cs="Times New Roman"/>
                    <w:color w:val="auto"/>
                  </w:rPr>
                  <m:t>=</m:t>
                </m:r>
                <m:d>
                  <m:dPr>
                    <m:ctrlPr>
                      <w:rPr>
                        <w:rFonts w:ascii="Cambria Math" w:hAnsi="Cambria Math" w:cs="Times New Roman"/>
                        <w:color w:val="auto"/>
                      </w:rPr>
                    </m:ctrlPr>
                  </m:dPr>
                  <m:e>
                    <m:r>
                      <m:rPr>
                        <m:sty m:val="p"/>
                      </m:rPr>
                      <w:rPr>
                        <w:rFonts w:ascii="Cambria Math" w:hAnsi="Cambria Math" w:cs="Times New Roman"/>
                        <w:color w:val="auto"/>
                      </w:rPr>
                      <m:t>1+</m:t>
                    </m:r>
                    <m:r>
                      <w:rPr>
                        <w:rFonts w:ascii="Cambria Math" w:hAnsi="Cambria Math" w:cs="Times New Roman"/>
                        <w:color w:val="auto"/>
                      </w:rPr>
                      <m:t>e</m:t>
                    </m:r>
                    <m:r>
                      <m:rPr>
                        <m:sty m:val="p"/>
                      </m:rP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g</m:t>
                        </m:r>
                      </m:e>
                      <m:sub>
                        <m:r>
                          <w:rPr>
                            <w:rFonts w:ascii="Cambria Math" w:hAnsi="Cambria Math" w:cs="Times New Roman"/>
                            <w:color w:val="auto"/>
                          </w:rPr>
                          <m:t>i</m:t>
                        </m:r>
                        <m:r>
                          <m:rPr>
                            <m:sty m:val="p"/>
                          </m:rPr>
                          <w:rPr>
                            <w:rFonts w:ascii="Cambria Math" w:hAnsi="Cambria Math" w:cs="Times New Roman"/>
                            <w:color w:val="auto"/>
                          </w:rPr>
                          <m:t>,</m:t>
                        </m:r>
                        <m:r>
                          <w:rPr>
                            <w:rFonts w:ascii="Cambria Math" w:hAnsi="Cambria Math" w:cs="Times New Roman"/>
                            <w:color w:val="auto"/>
                          </w:rPr>
                          <m:t>r</m:t>
                        </m:r>
                      </m:sub>
                    </m:sSub>
                  </m:e>
                </m:d>
                <m:r>
                  <m:rPr>
                    <m:sty m:val="p"/>
                  </m:rPr>
                  <w:rPr>
                    <w:rFonts w:ascii="Cambria Math" w:hAnsi="Cambria Math" w:cs="Times New Roman"/>
                    <w:color w:val="auto"/>
                  </w:rPr>
                  <m:t>*</m:t>
                </m:r>
                <m:r>
                  <w:rPr>
                    <w:rFonts w:ascii="Cambria Math" w:hAnsi="Cambria Math" w:cs="Times New Roman"/>
                    <w:color w:val="auto"/>
                  </w:rPr>
                  <m:t>x</m:t>
                </m:r>
                <m:sSubSup>
                  <m:sSubSupPr>
                    <m:ctrlPr>
                      <w:rPr>
                        <w:rFonts w:ascii="Cambria Math" w:hAnsi="Cambria Math" w:cs="Times New Roman"/>
                        <w:color w:val="auto"/>
                      </w:rPr>
                    </m:ctrlPr>
                  </m:sSubSupPr>
                  <m:e>
                    <m:r>
                      <w:rPr>
                        <w:rFonts w:ascii="Cambria Math" w:hAnsi="Cambria Math" w:cs="Times New Roman"/>
                        <w:color w:val="auto"/>
                      </w:rPr>
                      <m:t>x</m:t>
                    </m:r>
                  </m:e>
                  <m:sub>
                    <m:r>
                      <w:rPr>
                        <w:rFonts w:ascii="Cambria Math" w:hAnsi="Cambria Math" w:cs="Times New Roman"/>
                        <w:color w:val="auto"/>
                      </w:rPr>
                      <m:t>i</m:t>
                    </m:r>
                    <m:r>
                      <m:rPr>
                        <m:sty m:val="p"/>
                      </m:rPr>
                      <w:rPr>
                        <w:rFonts w:ascii="Cambria Math" w:hAnsi="Cambria Math" w:cs="Times New Roman"/>
                        <w:color w:val="auto"/>
                      </w:rPr>
                      <m:t>,</m:t>
                    </m:r>
                    <m:r>
                      <w:rPr>
                        <w:rFonts w:ascii="Cambria Math" w:hAnsi="Cambria Math" w:cs="Times New Roman"/>
                        <w:color w:val="auto"/>
                      </w:rPr>
                      <m:t>r</m:t>
                    </m:r>
                  </m:sub>
                  <m:sup>
                    <m:r>
                      <w:rPr>
                        <w:rFonts w:ascii="Cambria Math" w:hAnsi="Cambria Math" w:cs="Times New Roman"/>
                        <w:color w:val="auto"/>
                      </w:rPr>
                      <m:t>a</m:t>
                    </m:r>
                  </m:sup>
                </m:sSubSup>
                <m:d>
                  <m:dPr>
                    <m:ctrlPr>
                      <w:rPr>
                        <w:rFonts w:ascii="Cambria Math" w:hAnsi="Cambria Math" w:cs="Times New Roman"/>
                        <w:color w:val="auto"/>
                      </w:rPr>
                    </m:ctrlPr>
                  </m:dPr>
                  <m:e>
                    <m:r>
                      <w:rPr>
                        <w:rFonts w:ascii="Cambria Math" w:hAnsi="Cambria Math" w:cs="Times New Roman"/>
                        <w:color w:val="auto"/>
                      </w:rPr>
                      <m:t>t</m:t>
                    </m:r>
                    <m:r>
                      <m:rPr>
                        <m:sty m:val="p"/>
                      </m:rPr>
                      <w:rPr>
                        <w:rFonts w:ascii="Cambria Math" w:hAnsi="Cambria Math" w:cs="Times New Roman"/>
                        <w:color w:val="auto"/>
                      </w:rPr>
                      <m:t>-1</m:t>
                    </m:r>
                  </m:e>
                </m:d>
                <m:r>
                  <m:rPr>
                    <m:sty m:val="p"/>
                  </m:rPr>
                  <w:rPr>
                    <w:rFonts w:ascii="Cambria Math" w:hAnsi="Cambria Math" w:cs="Times New Roman"/>
                    <w:color w:val="auto"/>
                  </w:rPr>
                  <m:t>*</m:t>
                </m:r>
                <m:d>
                  <m:dPr>
                    <m:ctrlPr>
                      <w:rPr>
                        <w:rFonts w:ascii="Cambria Math" w:hAnsi="Cambria Math" w:cs="Times New Roman"/>
                        <w:color w:val="auto"/>
                      </w:rPr>
                    </m:ctrlPr>
                  </m:dPr>
                  <m:e>
                    <m:f>
                      <m:fPr>
                        <m:ctrlPr>
                          <w:rPr>
                            <w:rFonts w:ascii="Cambria Math" w:hAnsi="Cambria Math" w:cs="Times New Roman"/>
                            <w:color w:val="auto"/>
                          </w:rPr>
                        </m:ctrlPr>
                      </m:fPr>
                      <m:num>
                        <m:sSubSup>
                          <m:sSubSupPr>
                            <m:ctrlPr>
                              <w:rPr>
                                <w:rFonts w:ascii="Cambria Math" w:hAnsi="Cambria Math" w:cs="Times New Roman"/>
                                <w:color w:val="auto"/>
                              </w:rPr>
                            </m:ctrlPr>
                          </m:sSubSupPr>
                          <m:e>
                            <m:r>
                              <w:rPr>
                                <w:rFonts w:ascii="Cambria Math" w:hAnsi="Cambria Math" w:cs="Times New Roman"/>
                                <w:color w:val="auto"/>
                              </w:rPr>
                              <m:t>x</m:t>
                            </m:r>
                          </m:e>
                          <m:sub>
                            <m:r>
                              <w:rPr>
                                <w:rFonts w:ascii="Cambria Math" w:hAnsi="Cambria Math" w:cs="Times New Roman"/>
                                <w:color w:val="auto"/>
                              </w:rPr>
                              <m:t>i</m:t>
                            </m:r>
                            <m:r>
                              <m:rPr>
                                <m:sty m:val="p"/>
                              </m:rPr>
                              <w:rPr>
                                <w:rFonts w:ascii="Cambria Math" w:hAnsi="Cambria Math" w:cs="Times New Roman"/>
                                <w:color w:val="auto"/>
                              </w:rPr>
                              <m:t>,</m:t>
                            </m:r>
                            <m:r>
                              <w:rPr>
                                <w:rFonts w:ascii="Cambria Math" w:hAnsi="Cambria Math" w:cs="Times New Roman"/>
                                <w:color w:val="auto"/>
                              </w:rPr>
                              <m:t>r</m:t>
                            </m:r>
                          </m:sub>
                          <m:sup>
                            <m:r>
                              <w:rPr>
                                <w:rFonts w:ascii="Cambria Math" w:hAnsi="Cambria Math" w:cs="Times New Roman"/>
                                <w:color w:val="auto"/>
                              </w:rPr>
                              <m:t>a</m:t>
                            </m:r>
                          </m:sup>
                        </m:sSubSup>
                        <m:d>
                          <m:dPr>
                            <m:ctrlPr>
                              <w:rPr>
                                <w:rFonts w:ascii="Cambria Math" w:hAnsi="Cambria Math" w:cs="Times New Roman"/>
                                <w:color w:val="auto"/>
                              </w:rPr>
                            </m:ctrlPr>
                          </m:dPr>
                          <m:e>
                            <m:r>
                              <w:rPr>
                                <w:rFonts w:ascii="Cambria Math" w:hAnsi="Cambria Math" w:cs="Times New Roman"/>
                                <w:color w:val="auto"/>
                              </w:rPr>
                              <m:t>t</m:t>
                            </m:r>
                          </m:e>
                        </m:d>
                      </m:num>
                      <m:den>
                        <m:sSubSup>
                          <m:sSubSupPr>
                            <m:ctrlPr>
                              <w:rPr>
                                <w:rFonts w:ascii="Cambria Math" w:hAnsi="Cambria Math" w:cs="Times New Roman"/>
                                <w:color w:val="auto"/>
                              </w:rPr>
                            </m:ctrlPr>
                          </m:sSubSupPr>
                          <m:e>
                            <m:r>
                              <w:rPr>
                                <w:rFonts w:ascii="Cambria Math" w:hAnsi="Cambria Math" w:cs="Times New Roman"/>
                                <w:color w:val="auto"/>
                              </w:rPr>
                              <m:t>x</m:t>
                            </m:r>
                          </m:e>
                          <m:sub>
                            <m:r>
                              <w:rPr>
                                <w:rFonts w:ascii="Cambria Math" w:hAnsi="Cambria Math" w:cs="Times New Roman"/>
                                <w:color w:val="auto"/>
                              </w:rPr>
                              <m:t>i</m:t>
                            </m:r>
                            <m:r>
                              <m:rPr>
                                <m:sty m:val="p"/>
                              </m:rPr>
                              <w:rPr>
                                <w:rFonts w:ascii="Cambria Math" w:hAnsi="Cambria Math" w:cs="Times New Roman"/>
                                <w:color w:val="auto"/>
                              </w:rPr>
                              <m:t>,</m:t>
                            </m:r>
                            <m:r>
                              <w:rPr>
                                <w:rFonts w:ascii="Cambria Math" w:hAnsi="Cambria Math" w:cs="Times New Roman"/>
                                <w:color w:val="auto"/>
                              </w:rPr>
                              <m:t>r</m:t>
                            </m:r>
                          </m:sub>
                          <m:sup>
                            <m:r>
                              <w:rPr>
                                <w:rFonts w:ascii="Cambria Math" w:hAnsi="Cambria Math" w:cs="Times New Roman"/>
                                <w:color w:val="auto"/>
                              </w:rPr>
                              <m:t>a</m:t>
                            </m:r>
                          </m:sup>
                        </m:sSubSup>
                        <m:d>
                          <m:dPr>
                            <m:ctrlPr>
                              <w:rPr>
                                <w:rFonts w:ascii="Cambria Math" w:hAnsi="Cambria Math" w:cs="Times New Roman"/>
                                <w:color w:val="auto"/>
                              </w:rPr>
                            </m:ctrlPr>
                          </m:dPr>
                          <m:e>
                            <m:r>
                              <w:rPr>
                                <w:rFonts w:ascii="Cambria Math" w:hAnsi="Cambria Math" w:cs="Times New Roman"/>
                                <w:color w:val="auto"/>
                              </w:rPr>
                              <m:t>t</m:t>
                            </m:r>
                            <m:r>
                              <m:rPr>
                                <m:sty m:val="p"/>
                              </m:rPr>
                              <w:rPr>
                                <w:rFonts w:ascii="Cambria Math" w:hAnsi="Cambria Math" w:cs="Times New Roman"/>
                                <w:color w:val="auto"/>
                              </w:rPr>
                              <m:t>-1</m:t>
                            </m:r>
                          </m:e>
                        </m:d>
                      </m:den>
                    </m:f>
                  </m:e>
                </m:d>
              </m:oMath>
            </m:oMathPara>
          </w:p>
        </w:tc>
        <w:tc>
          <w:tcPr>
            <w:tcW w:w="2484" w:type="dxa"/>
            <w:tcBorders>
              <w:top w:val="nil"/>
              <w:left w:val="nil"/>
              <w:bottom w:val="nil"/>
              <w:right w:val="nil"/>
            </w:tcBorders>
            <w:shd w:val="clear" w:color="auto" w:fill="auto"/>
          </w:tcPr>
          <w:p w14:paraId="529C7B67" w14:textId="1F4EDD98" w:rsidR="00EC2279" w:rsidRPr="00EC2279" w:rsidRDefault="00EC2279" w:rsidP="009669F6">
            <w:pPr>
              <w:pStyle w:val="Table"/>
              <w:widowControl w:val="0"/>
              <w:spacing w:afterLines="50" w:after="156" w:line="360" w:lineRule="auto"/>
              <w:jc w:val="right"/>
              <w:rPr>
                <w:rFonts w:ascii="Times New Roman" w:hAnsi="Times New Roman" w:cs="Times New Roman"/>
                <w:color w:val="auto"/>
              </w:rPr>
            </w:pPr>
            <w:r w:rsidRPr="00EC2279">
              <w:rPr>
                <w:rFonts w:ascii="Times New Roman" w:hAnsi="Times New Roman" w:cs="Times New Roman"/>
              </w:rPr>
              <w:t xml:space="preserve">Equation </w:t>
            </w:r>
            <w:r w:rsidRPr="00EC2279">
              <w:rPr>
                <w:rFonts w:ascii="Times New Roman" w:hAnsi="Times New Roman" w:cs="Times New Roman"/>
              </w:rPr>
              <w:fldChar w:fldCharType="begin"/>
            </w:r>
            <w:r w:rsidRPr="00EC2279">
              <w:rPr>
                <w:rFonts w:ascii="Times New Roman" w:hAnsi="Times New Roman" w:cs="Times New Roman"/>
              </w:rPr>
              <w:instrText xml:space="preserve"> SEQ Equation \* ARABIC </w:instrText>
            </w:r>
            <w:r w:rsidRPr="00EC2279">
              <w:rPr>
                <w:rFonts w:ascii="Times New Roman" w:hAnsi="Times New Roman" w:cs="Times New Roman"/>
              </w:rPr>
              <w:fldChar w:fldCharType="separate"/>
            </w:r>
            <w:r w:rsidRPr="00EC2279">
              <w:rPr>
                <w:rFonts w:ascii="Times New Roman" w:hAnsi="Times New Roman" w:cs="Times New Roman"/>
                <w:noProof/>
              </w:rPr>
              <w:t>12</w:t>
            </w:r>
            <w:r w:rsidRPr="00EC2279">
              <w:rPr>
                <w:rFonts w:ascii="Times New Roman" w:hAnsi="Times New Roman" w:cs="Times New Roman"/>
              </w:rPr>
              <w:fldChar w:fldCharType="end"/>
            </w:r>
          </w:p>
        </w:tc>
      </w:tr>
    </w:tbl>
    <w:p w14:paraId="7C39C0BD" w14:textId="2458D787" w:rsidR="00A35EEE" w:rsidRPr="00214EFC" w:rsidRDefault="00A35EEE" w:rsidP="00AA63CD">
      <w:pPr>
        <w:spacing w:after="100" w:afterAutospacing="1" w:line="360" w:lineRule="auto"/>
      </w:pPr>
      <w:r w:rsidRPr="00214EFC">
        <w:t>The global multi-regional input-output (MRIO) table used in the model is compiled based on the latest GTAP database (version 10)</w:t>
      </w:r>
      <w:r w:rsidR="00F90B46">
        <w:fldChar w:fldCharType="begin"/>
      </w:r>
      <w:r w:rsidR="00F90B46">
        <w:instrText xml:space="preserve"> ADDIN ZOTERO_ITEM CSL_CITATION {"citationID":"wcuNc2Z4","properties":{"formattedCitation":"\\super 7\\nosupersub{}","plainCitation":"7","noteIndex":0},"citationItems":[{"id":1143,"uris":["http://zotero.org/users/4340498/items/JI857PCY"],"uri":["http://zotero.org/users/4340498/items/JI857PCY"],"itemData":{"id":1143,"type":"article-journal","abstract":"This paper highlights the numerous improvements to the Global Trade, Assistance, and Production (GTAP) Data Base, version 10 (also referred to as GTAP 10). The Data Base describes the world economy for 4 reference years (2004, 2007, 2011, and 2014) and distinguishes 65 sectors, up from 57 in the previous release, in each of the 141 countries/regions. The 121 countries in the Data Base account for 98% of world GDP and 92% of world population. For each country/region, the Data Base reports production, intermediate and final uses, international trade and transport margins, and taxes/subsidies. This Data Base underlies most, if not all, applied global general equilibrium models. We use the time series GTAP 10 Data Base to examine the evolution of carbon dioxide emissions embodied in bilateral merchandise and services trade over the 2004-2014 period.","container-title":"Journal of Global Economic Analysis","DOI":"10.21642/JGEA.040101AF","ISSN":"2377-2999","issue":"1","language":"en","note":"number: 1","page":"1-27","source":"www.jgea.org","title":"The GTAP Data Base: Version 10","title-short":"The GTAP Data Base","volume":"4","author":[{"family":"Aguiar","given":"Angel"},{"family":"Chepeliev","given":"Maksym"},{"family":"Corong","given":"Erwin L."},{"family":"McDougall","given":"Robert"},{"family":"Mensbrugghe","given":"Dominique","dropping-particle":"van der"}],"issued":{"date-parts":[["2019",6,26]]}}}],"schema":"https://github.com/citation-style-language/schema/raw/master/csl-citation.json"} </w:instrText>
      </w:r>
      <w:r w:rsidR="00F90B46">
        <w:fldChar w:fldCharType="separate"/>
      </w:r>
      <w:r w:rsidR="00F90B46" w:rsidRPr="00F90B46">
        <w:rPr>
          <w:kern w:val="0"/>
          <w:szCs w:val="24"/>
          <w:vertAlign w:val="superscript"/>
        </w:rPr>
        <w:t>7</w:t>
      </w:r>
      <w:r w:rsidR="00F90B46">
        <w:fldChar w:fldCharType="end"/>
      </w:r>
      <w:r w:rsidRPr="00214EFC">
        <w:t>. GTAP database presents values of intermediate products transaction between 65 sectors, the output of each sector, and final consumption of commodities in 141 countries/regions. It also provides global bilateral trade links among the sectors and countries/regions. The growth rates of sectoral GDP (</w:t>
      </w:r>
      <m:oMath>
        <m:sSub>
          <m:sSubPr>
            <m:ctrlPr>
              <w:rPr>
                <w:rFonts w:ascii="Cambria Math" w:hAnsi="Cambria Math"/>
                <w:i/>
              </w:rPr>
            </m:ctrlPr>
          </m:sSubPr>
          <m:e>
            <m:r>
              <w:rPr>
                <w:rFonts w:ascii="Cambria Math" w:hAnsi="Cambria Math"/>
              </w:rPr>
              <m:t>g</m:t>
            </m:r>
          </m:e>
          <m:sub>
            <m:r>
              <w:rPr>
                <w:rFonts w:ascii="Cambria Math" w:hAnsi="Cambria Math"/>
              </w:rPr>
              <m:t>i,r</m:t>
            </m:r>
          </m:sub>
        </m:sSub>
      </m:oMath>
      <w:r w:rsidRPr="00214EFC">
        <w:t>) are co</w:t>
      </w:r>
      <w:proofErr w:type="spellStart"/>
      <w:r w:rsidRPr="00214EFC">
        <w:t>llected</w:t>
      </w:r>
      <w:proofErr w:type="spellEnd"/>
      <w:r w:rsidRPr="00214EFC">
        <w:t xml:space="preserve"> from the International Institute for Applied System Analysis (IIASA)</w:t>
      </w:r>
      <w:r w:rsidR="00F90B46">
        <w:fldChar w:fldCharType="begin"/>
      </w:r>
      <w:r w:rsidR="00F90B46">
        <w:instrText xml:space="preserve"> ADDIN ZOTERO_ITEM CSL_CITATION {"citationID":"GQdQAOOE","properties":{"formattedCitation":"\\super 12\\nosupersub{}","plainCitation":"12","noteIndex":0},"citationItems":[{"id":1133,"uris":["http://zotero.org/users/4340498/items/SIJJSZ63"],"uri":["http://zotero.org/users/4340498/items/SIJJSZ63"],"itemData":{"id":1133,"type":"article","title":"Greenhouse Gas - Air Pollution Interactions and Synergies (GAINS) - IEA WEO 2019 SPS/SDS scenarios","URL":"https://gains.iiasa.ac.at/","author":[{"literal":"International Institute for Applied Systems Analysis"}],"issued":{"date-parts":[["2020",6,7]]}}}],"schema":"https://github.com/citation-style-language/schema/raw/master/csl-citation.json"} </w:instrText>
      </w:r>
      <w:r w:rsidR="00F90B46">
        <w:fldChar w:fldCharType="separate"/>
      </w:r>
      <w:r w:rsidR="00F90B46" w:rsidRPr="00F90B46">
        <w:rPr>
          <w:kern w:val="0"/>
          <w:szCs w:val="24"/>
          <w:vertAlign w:val="superscript"/>
        </w:rPr>
        <w:t>12</w:t>
      </w:r>
      <w:r w:rsidR="00F90B46">
        <w:fldChar w:fldCharType="end"/>
      </w:r>
      <w:r w:rsidRPr="00214EFC">
        <w:t>.</w:t>
      </w:r>
    </w:p>
    <w:p w14:paraId="7C39C0BE" w14:textId="13F6BEC9" w:rsidR="00A35EEE" w:rsidRPr="00214EFC" w:rsidRDefault="00EE352C" w:rsidP="00AA63CD">
      <w:pPr>
        <w:pStyle w:val="3"/>
        <w:numPr>
          <w:ilvl w:val="0"/>
          <w:numId w:val="0"/>
        </w:numPr>
        <w:spacing w:after="100" w:afterAutospacing="1" w:line="360" w:lineRule="auto"/>
        <w:ind w:left="720"/>
      </w:pPr>
      <w:bookmarkStart w:id="12" w:name="_Ref67764731"/>
      <w:r>
        <w:rPr>
          <w:rFonts w:hint="eastAsia"/>
        </w:rPr>
        <w:t>1</w:t>
      </w:r>
      <w:r w:rsidR="00D50F1D">
        <w:t xml:space="preserve">.1.2 </w:t>
      </w:r>
      <w:r w:rsidR="009669F6" w:rsidRPr="009669F6">
        <w:t>CO</w:t>
      </w:r>
      <w:r w:rsidR="009669F6" w:rsidRPr="009669F6">
        <w:rPr>
          <w:vertAlign w:val="subscript"/>
        </w:rPr>
        <w:t>2</w:t>
      </w:r>
      <w:r w:rsidR="00A35EEE" w:rsidRPr="00D50F1D">
        <w:rPr>
          <w:vertAlign w:val="subscript"/>
        </w:rPr>
        <w:t xml:space="preserve"> </w:t>
      </w:r>
      <w:r w:rsidR="00A35EEE" w:rsidRPr="00214EFC">
        <w:t>emission accounts</w:t>
      </w:r>
      <w:bookmarkEnd w:id="12"/>
    </w:p>
    <w:p w14:paraId="7C39C0BF" w14:textId="1BB6B1A9" w:rsidR="00A35EEE" w:rsidRPr="00214EFC" w:rsidRDefault="00A35EEE" w:rsidP="00AA63CD">
      <w:pPr>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 xml:space="preserve">Previous studies employed a various of economic models to forecast the emissions. For example, </w:t>
      </w:r>
      <w:proofErr w:type="spellStart"/>
      <w:r w:rsidR="00F90B46">
        <w:t>Kavoosi</w:t>
      </w:r>
      <w:proofErr w:type="spellEnd"/>
      <w:r w:rsidR="00F90B46">
        <w:t>, et al</w:t>
      </w:r>
      <w:r w:rsidR="00F90B46">
        <w:fldChar w:fldCharType="begin"/>
      </w:r>
      <w:r w:rsidR="00F90B46">
        <w:instrText xml:space="preserve"> ADDIN ZOTERO_ITEM CSL_CITATION {"citationID":"Jy9KPcFo","properties":{"formattedCitation":"\\super 13\\nosupersub{}","plainCitation":"13","noteIndex":0},"citationItems":[{"id":3406,"uris":["http://zotero.org/users/4340498/items/4P53ZRXL"],"uri":["http://zotero.org/users/4340498/items/4P53ZRXL"],"itemData":{"id":3406,"type":"article-journal","container-title":"International Journal of Computer Science","ISSN":"1694-0814","issue":"5","page":"418-427","title":"Forecast Global Carbon Dioxide Emission By Use of Genetic Algorithm (GA)","volume":"9","author":[{"family":"Kavoosi","given":"H."},{"family":"Kavoosi","given":"M."}],"issued":{"date-parts":[["2012"]]}}}],"schema":"https://github.com/citation-style-language/schema/raw/master/csl-citation.json"} </w:instrText>
      </w:r>
      <w:r w:rsidR="00F90B46">
        <w:fldChar w:fldCharType="separate"/>
      </w:r>
      <w:r w:rsidR="00F90B46" w:rsidRPr="00F90B46">
        <w:rPr>
          <w:kern w:val="0"/>
          <w:szCs w:val="24"/>
          <w:vertAlign w:val="superscript"/>
        </w:rPr>
        <w:t>13</w:t>
      </w:r>
      <w:r w:rsidR="00F90B46">
        <w:fldChar w:fldCharType="end"/>
      </w:r>
      <w:r w:rsidRPr="00214EFC">
        <w:rPr>
          <w:rStyle w:val="revised"/>
          <w:rFonts w:ascii="Times New Roman" w:hAnsi="Times New Roman" w:cs="Times New Roman"/>
          <w:color w:val="auto"/>
        </w:rPr>
        <w:t xml:space="preserve"> forecast global </w:t>
      </w:r>
      <w:r w:rsidR="009669F6" w:rsidRPr="009669F6">
        <w:rPr>
          <w:rStyle w:val="revised"/>
          <w:rFonts w:ascii="Times New Roman" w:hAnsi="Times New Roman" w:cs="Times New Roman"/>
          <w:color w:val="auto"/>
        </w:rPr>
        <w:t>CO</w:t>
      </w:r>
      <w:r w:rsidR="009669F6" w:rsidRPr="009669F6">
        <w:rPr>
          <w:rStyle w:val="revised"/>
          <w:rFonts w:ascii="Times New Roman" w:hAnsi="Times New Roman" w:cs="Times New Roman"/>
          <w:color w:val="auto"/>
          <w:vertAlign w:val="subscript"/>
        </w:rPr>
        <w:t>2</w:t>
      </w:r>
      <w:r w:rsidRPr="00214EFC">
        <w:rPr>
          <w:rStyle w:val="revised"/>
          <w:rFonts w:ascii="Times New Roman" w:hAnsi="Times New Roman" w:cs="Times New Roman"/>
          <w:color w:val="auto"/>
        </w:rPr>
        <w:t xml:space="preserve"> emissions until 2030 using Genetic Algorithm based on (non-)linear equations and historical energy consumption. </w:t>
      </w:r>
      <w:r w:rsidR="00F90B46">
        <w:rPr>
          <w:rStyle w:val="revised"/>
          <w:rFonts w:ascii="Times New Roman" w:hAnsi="Times New Roman" w:cs="Times New Roman"/>
          <w:color w:val="auto"/>
        </w:rPr>
        <w:t>Hosseini</w:t>
      </w:r>
      <w:r w:rsidR="00C478D6">
        <w:rPr>
          <w:rStyle w:val="revised"/>
          <w:rFonts w:ascii="Times New Roman" w:hAnsi="Times New Roman" w:cs="Times New Roman"/>
          <w:color w:val="auto"/>
        </w:rPr>
        <w:t>, et al.</w:t>
      </w:r>
      <w:r w:rsidR="00C478D6">
        <w:rPr>
          <w:rStyle w:val="revised"/>
          <w:rFonts w:ascii="Times New Roman" w:hAnsi="Times New Roman" w:cs="Times New Roman"/>
          <w:color w:val="auto"/>
        </w:rPr>
        <w:fldChar w:fldCharType="begin"/>
      </w:r>
      <w:r w:rsidR="00C478D6">
        <w:rPr>
          <w:rStyle w:val="revised"/>
          <w:rFonts w:ascii="Times New Roman" w:hAnsi="Times New Roman" w:cs="Times New Roman"/>
          <w:color w:val="auto"/>
        </w:rPr>
        <w:instrText xml:space="preserve"> ADDIN ZOTERO_ITEM CSL_CITATION {"citationID":"d5Yrlxqi","properties":{"formattedCitation":"\\super 14\\nosupersub{}","plainCitation":"14","noteIndex":0},"citationItems":[{"id":1146,"uris":["http://zotero.org/users/4340498/items/RSYUBF73"],"uri":["http://zotero.org/users/4340498/items/RSYUBF73"],"itemData":{"id":1146,"type":"article-journal","abstract":"Iran has become one of the most CO2 emitting countries during the last decades. The country ranks after Japan and Germany in terms of CO2 emissions. However, from an economic viewpoint, the gross domestic product (GDP) of Iran is lower than the summation of Berlin and Tokyo GDP. Moreover, a large proportion of Iran’s revenue comes from the crude oil export; therefore, this level of CO2 emission cannot be economically driven and is as a result of high energy intensity in this country. This is while the government also has not a clear program in this regard. The Sixth Five-year Development Plan of Iran, in addition, sets a number of ambitious targets mostly regarding the energy intensity, GDP growth, and renewable energies, but does not mention to CO2 emission issue. Therefore, prospects for an early settlement of the dispute are seemingly dim. Our aim is to predict Iran’s CO2 emissions in 2030 under assumptions of two scenarios, i.e. business as usual (BAU) and the Sixth Development Plan (SDP), using multiple linear regression (MLR) and multiple polynomial regression (MPR) analysis. Findings suggest that Iran most likely will not meet its commitment to the Paris Agreement under the BAU’s assumptions; however, full implementation of the ambitiously shaped SDP could have met the target by end 2018.","container-title":"Energy Reports","DOI":"10.1016/j.egyr.2019.05.004","ISSN":"2352-4847","journalAbbreviation":"Energy Reports","language":"en","page":"619-631","source":"ScienceDirect","title":"Forecasting of CO2 emissions in Iran based on time series and regression analysis","volume":"5","author":[{"family":"Hosseini","given":"Seyed Mohsen"},{"family":"Saifoddin","given":"Amirali"},{"family":"Shirmohammadi","given":"Reza"},{"family":"Aslani","given":"Alireza"}],"issued":{"date-parts":[["2019",11,1]]}}}],"schema":"https://github.com/citation-style-language/schema/raw/master/csl-citation.json"} </w:instrText>
      </w:r>
      <w:r w:rsidR="00C478D6">
        <w:rPr>
          <w:rStyle w:val="revised"/>
          <w:rFonts w:ascii="Times New Roman" w:hAnsi="Times New Roman" w:cs="Times New Roman"/>
          <w:color w:val="auto"/>
        </w:rPr>
        <w:fldChar w:fldCharType="separate"/>
      </w:r>
      <w:r w:rsidR="00C478D6" w:rsidRPr="00C478D6">
        <w:rPr>
          <w:kern w:val="0"/>
          <w:szCs w:val="24"/>
          <w:vertAlign w:val="superscript"/>
        </w:rPr>
        <w:t>14</w:t>
      </w:r>
      <w:r w:rsidR="00C478D6">
        <w:rPr>
          <w:rStyle w:val="revised"/>
          <w:rFonts w:ascii="Times New Roman" w:hAnsi="Times New Roman" w:cs="Times New Roman"/>
          <w:color w:val="auto"/>
        </w:rPr>
        <w:fldChar w:fldCharType="end"/>
      </w:r>
      <w:r w:rsidRPr="00214EFC">
        <w:rPr>
          <w:rStyle w:val="revised"/>
          <w:rFonts w:ascii="Times New Roman" w:hAnsi="Times New Roman" w:cs="Times New Roman"/>
          <w:color w:val="auto"/>
        </w:rPr>
        <w:t xml:space="preserve"> predict </w:t>
      </w:r>
      <w:r w:rsidR="009669F6" w:rsidRPr="009669F6">
        <w:rPr>
          <w:rStyle w:val="revised"/>
          <w:rFonts w:ascii="Times New Roman" w:hAnsi="Times New Roman" w:cs="Times New Roman"/>
          <w:color w:val="auto"/>
        </w:rPr>
        <w:t>CO</w:t>
      </w:r>
      <w:r w:rsidR="009669F6" w:rsidRPr="009669F6">
        <w:rPr>
          <w:rStyle w:val="revised"/>
          <w:rFonts w:ascii="Times New Roman" w:hAnsi="Times New Roman" w:cs="Times New Roman"/>
          <w:color w:val="auto"/>
          <w:vertAlign w:val="subscript"/>
        </w:rPr>
        <w:t>2</w:t>
      </w:r>
      <w:r w:rsidRPr="00214EFC">
        <w:rPr>
          <w:rStyle w:val="revised"/>
          <w:rFonts w:ascii="Times New Roman" w:hAnsi="Times New Roman" w:cs="Times New Roman"/>
          <w:color w:val="auto"/>
        </w:rPr>
        <w:t xml:space="preserve"> emissions for Iran until 2030 with multiple linear regression and multiple polynomial regression models. </w:t>
      </w:r>
      <w:r w:rsidR="00C478D6">
        <w:rPr>
          <w:rStyle w:val="revised"/>
          <w:rFonts w:ascii="Times New Roman" w:hAnsi="Times New Roman" w:cs="Times New Roman"/>
          <w:color w:val="auto"/>
        </w:rPr>
        <w:t>Mi, et al.</w:t>
      </w:r>
      <w:r w:rsidR="00C478D6">
        <w:rPr>
          <w:rStyle w:val="revised"/>
          <w:rFonts w:ascii="Times New Roman" w:hAnsi="Times New Roman" w:cs="Times New Roman"/>
          <w:color w:val="auto"/>
        </w:rPr>
        <w:fldChar w:fldCharType="begin"/>
      </w:r>
      <w:r w:rsidR="00C478D6">
        <w:rPr>
          <w:rStyle w:val="revised"/>
          <w:rFonts w:ascii="Times New Roman" w:hAnsi="Times New Roman" w:cs="Times New Roman"/>
          <w:color w:val="auto"/>
        </w:rPr>
        <w:instrText xml:space="preserve"> ADDIN ZOTERO_ITEM CSL_CITATION {"citationID":"W0qYksxR","properties":{"formattedCitation":"\\super 15\\nosupersub{}","plainCitation":"15","noteIndex":0},"citationItems":[{"id":279,"uris":["http://zotero.org/users/4340498/items/GMFCNR6T"],"uri":["http://zotero.org/users/4340498/items/GMFCNR6T"],"itemData":{"id":279,"type":"article-journal","abstract":"China is the largest emitter of carbon emissions in the world. In this paper, we present an Integrated Model of Economy and Climate (IMEC), an optimization model based on the input-output model. The model is designed to assess the tradeoff between emission deceleration and economic growth. Given that China's projected average growth rate will exceed 5% over the next two decades, we find that China may reach its peak CO2emissions levels by 2026. According to this scenario, China's carbon emissions will peak at 11.20 Gt in 2026 and will then decline to 10.84 Gt in 2030. Accordingly, approximately 22 Gt of CO2will be removed from 2015 to 2035 relative to the scenario wherein China's CO2emissions peak in 2030. While this earlier peaking of carbon emissions will result in a decline in China's GDP, several sectors, such as Machinery and Education, will benefit. In order to reach peak CO2emissions by 2026, China needs to reduce its annual GDP growth rate to less than 4.5% by 2030 and decrease energy and carbon intensity levels by 43% and 45%, respectively, from 2015 to 2030.","container-title":"Journal of Cleaner Production","DOI":"10.1016/j.jclepro.2016.11.055","ISSN":"09596526","note":"publisher: Elsevier Ltd\nISBN: 0959-6526","page":"2227-2236","title":"Socioeconomic impact assessment of China's CO2emissions peak prior to 2030","volume":"142","author":[{"family":"Mi","given":"Zhifu"},{"family":"Wei","given":"Yi Ming"},{"family":"Wang","given":"Bing"},{"family":"Meng","given":"Jing"},{"family":"Liu","given":"Zhu"},{"family":"Shan","given":"Yuli"},{"family":"Liu","given":"Jingru"},{"family":"Guan","given":"Dabo"}],"issued":{"date-parts":[["2017"]]}}}],"schema":"https://github.com/citation-style-language/schema/raw/master/csl-citation.json"} </w:instrText>
      </w:r>
      <w:r w:rsidR="00C478D6">
        <w:rPr>
          <w:rStyle w:val="revised"/>
          <w:rFonts w:ascii="Times New Roman" w:hAnsi="Times New Roman" w:cs="Times New Roman"/>
          <w:color w:val="auto"/>
        </w:rPr>
        <w:fldChar w:fldCharType="separate"/>
      </w:r>
      <w:r w:rsidR="00C478D6" w:rsidRPr="00C478D6">
        <w:rPr>
          <w:kern w:val="0"/>
          <w:szCs w:val="24"/>
          <w:vertAlign w:val="superscript"/>
        </w:rPr>
        <w:t>15</w:t>
      </w:r>
      <w:r w:rsidR="00C478D6">
        <w:rPr>
          <w:rStyle w:val="revised"/>
          <w:rFonts w:ascii="Times New Roman" w:hAnsi="Times New Roman" w:cs="Times New Roman"/>
          <w:color w:val="auto"/>
        </w:rPr>
        <w:fldChar w:fldCharType="end"/>
      </w:r>
      <w:r w:rsidRPr="00214EFC">
        <w:rPr>
          <w:rStyle w:val="revised"/>
          <w:rFonts w:ascii="Times New Roman" w:hAnsi="Times New Roman" w:cs="Times New Roman"/>
          <w:color w:val="auto"/>
        </w:rPr>
        <w:t xml:space="preserve"> developed an Integrated Model of Economy and Climate based on the input-output model and predict emissions for China until 2035 with constraints of economic growth, energy consumption, employment, industrial structure change, etc. </w:t>
      </w:r>
      <w:r w:rsidR="00C478D6">
        <w:rPr>
          <w:rStyle w:val="revised"/>
          <w:rFonts w:ascii="Times New Roman" w:hAnsi="Times New Roman" w:cs="Times New Roman"/>
          <w:color w:val="auto"/>
        </w:rPr>
        <w:t xml:space="preserve">Mercure, </w:t>
      </w:r>
      <w:r w:rsidR="00C478D6">
        <w:rPr>
          <w:rStyle w:val="revised"/>
          <w:rFonts w:ascii="Times New Roman" w:hAnsi="Times New Roman" w:cs="Times New Roman"/>
          <w:color w:val="auto"/>
        </w:rPr>
        <w:lastRenderedPageBreak/>
        <w:t>et al.</w:t>
      </w:r>
      <w:r w:rsidR="00C478D6">
        <w:rPr>
          <w:rStyle w:val="revised"/>
          <w:rFonts w:ascii="Times New Roman" w:hAnsi="Times New Roman" w:cs="Times New Roman"/>
          <w:color w:val="auto"/>
        </w:rPr>
        <w:fldChar w:fldCharType="begin"/>
      </w:r>
      <w:r w:rsidR="00C478D6">
        <w:rPr>
          <w:rStyle w:val="revised"/>
          <w:rFonts w:ascii="Times New Roman" w:hAnsi="Times New Roman" w:cs="Times New Roman"/>
          <w:color w:val="auto"/>
        </w:rPr>
        <w:instrText xml:space="preserve"> ADDIN ZOTERO_ITEM CSL_CITATION {"citationID":"0BDB14RP","properties":{"formattedCitation":"\\super 16\\nosupersub{}","plainCitation":"16","noteIndex":0},"citationItems":[{"id":1148,"uris":["http://zotero.org/users/4340498/items/XQ5QYGZ7"],"uri":["http://zotero.org/users/4340498/items/XQ5QYGZ7"],"itemData":{"id":1148,"type":"article-journal","abstract":"A high degree of consensus exists in the climate sciences over the role that human interference with the atmosphere is playing in changing the climate. Following the Paris Agreement, a similar consensus exists in the policy community over the urgency of policy solutions to the climate problem. The context for climate policy is thus moving from agenda setting, which has now been mostly established, to impact assessment, in which we identify policy pathways to implement the Paris Agreement. Most integrated assessment models currently used to address the economic and technical feasibility of avoiding climate change are based on engineering perspectives with a normative systems optimisation philosophy, suitable for agenda setting, but unsuitable to assess the socio-economic impacts of realistic baskets of climate policies. Here, we introduce a fully descriptive, simulation-based integrated assessment model designed specifically to assess policies, formed by the combination of (1) a highly disaggregated macro-econometric simulation of the global economy based on time series regressions (E3ME), (2) a family of bottom-up evolutionary simulations of technology diffusion based on cross-sectional discrete choice models (FTT), and (3) a carbon cycle and atmosphere circulation model of intermediate complexity (GENIE). We use this combined model to create a detailed global and sectoral policy map and scenario that sets the economy on a pathway that achieves the goals of the Paris Agreement with &gt;66% probability of not exceeding 2 °C of global warming. We propose a blueprint for a new role for integrated assessment models in this upcoming policy assessment context.","container-title":"Energy Strategy Reviews","DOI":"10.1016/j.esr.2018.03.003","ISSN":"2211-467X","journalAbbreviation":"Energy Strategy Reviews","language":"en","page":"195-208","source":"ScienceDirect","title":"Environmental impact assessment for climate change policy with the simulation-based integrated assessment model E3ME-FTT-GENIE","volume":"20","author":[{"family":"Mercure","given":"Jean-Francois"},{"family":"Pollitt","given":"Hector"},{"family":"Edwards","given":"Neil R."},{"family":"Holden","given":"Philip B."},{"family":"Chewpreecha","given":"Unnada"},{"family":"Salas","given":"Pablo"},{"family":"Lam","given":"Aileen"},{"family":"Knobloch","given":"Florian"},{"family":"Vinuales","given":"Jorge E."}],"issued":{"date-parts":[["2018",4,1]]}}}],"schema":"https://github.com/citation-style-language/schema/raw/master/csl-citation.json"} </w:instrText>
      </w:r>
      <w:r w:rsidR="00C478D6">
        <w:rPr>
          <w:rStyle w:val="revised"/>
          <w:rFonts w:ascii="Times New Roman" w:hAnsi="Times New Roman" w:cs="Times New Roman"/>
          <w:color w:val="auto"/>
        </w:rPr>
        <w:fldChar w:fldCharType="separate"/>
      </w:r>
      <w:r w:rsidR="00C478D6" w:rsidRPr="00C478D6">
        <w:rPr>
          <w:kern w:val="0"/>
          <w:szCs w:val="24"/>
          <w:vertAlign w:val="superscript"/>
        </w:rPr>
        <w:t>16</w:t>
      </w:r>
      <w:r w:rsidR="00C478D6">
        <w:rPr>
          <w:rStyle w:val="revised"/>
          <w:rFonts w:ascii="Times New Roman" w:hAnsi="Times New Roman" w:cs="Times New Roman"/>
          <w:color w:val="auto"/>
        </w:rPr>
        <w:fldChar w:fldCharType="end"/>
      </w:r>
      <w:r w:rsidR="00C478D6">
        <w:rPr>
          <w:rStyle w:val="revised"/>
          <w:rFonts w:ascii="Times New Roman" w:hAnsi="Times New Roman" w:cs="Times New Roman"/>
          <w:color w:val="auto"/>
        </w:rPr>
        <w:t xml:space="preserve"> </w:t>
      </w:r>
      <w:r w:rsidRPr="00214EFC">
        <w:rPr>
          <w:rStyle w:val="revised"/>
          <w:rFonts w:ascii="Times New Roman" w:hAnsi="Times New Roman" w:cs="Times New Roman"/>
          <w:color w:val="auto"/>
        </w:rPr>
        <w:t>designed a simulation-based integrated assessment model that combines a macro-econometric prediction of global economy, a simulation of technology diffusion, and a carbon cycle and atmosphere circulation model of intermediate complexity.</w:t>
      </w:r>
    </w:p>
    <w:p w14:paraId="4F74E6EE" w14:textId="77777777" w:rsidR="00EC2279" w:rsidRDefault="00EC2279" w:rsidP="00EC2279">
      <w:pPr>
        <w:spacing w:afterLines="50" w:after="156"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This study investigate</w:t>
      </w:r>
      <w:r>
        <w:rPr>
          <w:rStyle w:val="revised"/>
          <w:rFonts w:ascii="Times New Roman" w:hAnsi="Times New Roman" w:cs="Times New Roman"/>
          <w:color w:val="auto"/>
        </w:rPr>
        <w:t>s</w:t>
      </w:r>
      <w:r w:rsidRPr="00214EFC">
        <w:rPr>
          <w:rStyle w:val="revised"/>
          <w:rFonts w:ascii="Times New Roman" w:hAnsi="Times New Roman" w:cs="Times New Roman"/>
          <w:color w:val="auto"/>
        </w:rPr>
        <w:t xml:space="preserve"> the emissions </w:t>
      </w:r>
      <w:r>
        <w:rPr>
          <w:rStyle w:val="revised"/>
          <w:rFonts w:ascii="Times New Roman" w:hAnsi="Times New Roman" w:cs="Times New Roman" w:hint="eastAsia"/>
          <w:color w:val="auto"/>
        </w:rPr>
        <w:t>change</w:t>
      </w:r>
      <w:r>
        <w:rPr>
          <w:rStyle w:val="revised"/>
          <w:rFonts w:ascii="Times New Roman" w:hAnsi="Times New Roman" w:cs="Times New Roman"/>
          <w:color w:val="auto"/>
        </w:rPr>
        <w:t xml:space="preserve"> </w:t>
      </w:r>
      <w:r w:rsidRPr="00214EFC">
        <w:rPr>
          <w:rStyle w:val="revised"/>
          <w:rFonts w:ascii="Times New Roman" w:hAnsi="Times New Roman" w:cs="Times New Roman"/>
          <w:color w:val="auto"/>
        </w:rPr>
        <w:t>brought by the sudden shock of COVID-19</w:t>
      </w:r>
      <w:r>
        <w:rPr>
          <w:rStyle w:val="revised"/>
          <w:rFonts w:ascii="Times New Roman" w:hAnsi="Times New Roman" w:cs="Times New Roman"/>
          <w:color w:val="auto"/>
        </w:rPr>
        <w:t xml:space="preserve"> for the period of 2019 – 2024 (2019 is set as pre-COVID base year). We conduct the following three procedures. </w:t>
      </w:r>
    </w:p>
    <w:p w14:paraId="52CC2A20" w14:textId="21F17B99" w:rsidR="00EC2279" w:rsidRDefault="00EC2279" w:rsidP="00EC2279">
      <w:pPr>
        <w:pStyle w:val="af7"/>
        <w:numPr>
          <w:ilvl w:val="0"/>
          <w:numId w:val="48"/>
        </w:numPr>
        <w:spacing w:afterLines="50" w:after="156" w:line="360" w:lineRule="auto"/>
        <w:rPr>
          <w:rStyle w:val="revised"/>
          <w:rFonts w:ascii="Times New Roman" w:hAnsi="Times New Roman" w:cs="Times New Roman"/>
          <w:color w:val="auto"/>
        </w:rPr>
      </w:pPr>
      <w:r w:rsidRPr="00F60D25">
        <w:rPr>
          <w:rStyle w:val="revised"/>
          <w:rFonts w:ascii="Times New Roman" w:hAnsi="Times New Roman" w:cs="Times New Roman"/>
          <w:color w:val="auto"/>
        </w:rPr>
        <w:t xml:space="preserve">Firstly, </w:t>
      </w:r>
      <w:r>
        <w:rPr>
          <w:rStyle w:val="revised"/>
          <w:rFonts w:ascii="Times New Roman" w:hAnsi="Times New Roman" w:cs="Times New Roman"/>
          <w:color w:val="auto"/>
        </w:rPr>
        <w:t xml:space="preserve">we </w:t>
      </w:r>
      <w:r w:rsidRPr="006767C1">
        <w:rPr>
          <w:rStyle w:val="revised"/>
          <w:rFonts w:ascii="Times New Roman" w:hAnsi="Times New Roman" w:cs="Times New Roman"/>
          <w:color w:val="auto"/>
        </w:rPr>
        <w:t>extrapolate</w:t>
      </w:r>
      <w:r>
        <w:rPr>
          <w:rStyle w:val="revised"/>
          <w:rFonts w:ascii="Times New Roman" w:hAnsi="Times New Roman" w:cs="Times New Roman"/>
          <w:color w:val="auto"/>
        </w:rPr>
        <w:t xml:space="preserve"> emissions for all emerging emitters in 2019 (</w:t>
      </w:r>
      <m:oMath>
        <m:sSub>
          <m:sSubPr>
            <m:ctrlPr>
              <w:rPr>
                <w:rFonts w:ascii="Cambria Math" w:hAnsi="Cambria Math"/>
                <w:i/>
              </w:rPr>
            </m:ctrlPr>
          </m:sSubPr>
          <m:e>
            <m:r>
              <w:rPr>
                <w:rFonts w:ascii="Cambria Math" w:hAnsi="Cambria Math"/>
              </w:rPr>
              <m:t>Emissions</m:t>
            </m:r>
          </m:e>
          <m:sub>
            <m:r>
              <w:rPr>
                <w:rFonts w:ascii="Cambria Math" w:hAnsi="Cambria Math"/>
              </w:rPr>
              <m:t>IEA</m:t>
            </m:r>
          </m:sub>
        </m:sSub>
        <m:r>
          <w:rPr>
            <w:rFonts w:ascii="Cambria Math" w:hAnsi="Cambria Math"/>
          </w:rPr>
          <m:t>(2019)</m:t>
        </m:r>
      </m:oMath>
      <w:r>
        <w:rPr>
          <w:rStyle w:val="revised"/>
          <w:rFonts w:ascii="Times New Roman" w:hAnsi="Times New Roman" w:cs="Times New Roman"/>
          <w:color w:val="auto"/>
        </w:rPr>
        <w:t xml:space="preserve">) by </w:t>
      </w:r>
      <w:r w:rsidR="00A155EA">
        <w:rPr>
          <w:rStyle w:val="revised"/>
          <w:rFonts w:ascii="Times New Roman" w:hAnsi="Times New Roman" w:cs="Times New Roman"/>
          <w:color w:val="auto"/>
        </w:rPr>
        <w:t xml:space="preserve">applying </w:t>
      </w:r>
      <w:r>
        <w:rPr>
          <w:rStyle w:val="revised"/>
          <w:rFonts w:ascii="Times New Roman" w:hAnsi="Times New Roman" w:cs="Times New Roman"/>
          <w:color w:val="auto"/>
        </w:rPr>
        <w:t xml:space="preserve">the </w:t>
      </w:r>
      <w:r w:rsidR="00A155EA">
        <w:rPr>
          <w:rStyle w:val="revised"/>
          <w:rFonts w:ascii="Times New Roman" w:hAnsi="Times New Roman" w:cs="Times New Roman"/>
          <w:color w:val="auto"/>
        </w:rPr>
        <w:t>trend from the l</w:t>
      </w:r>
      <w:r>
        <w:rPr>
          <w:rStyle w:val="revised"/>
          <w:rFonts w:ascii="Times New Roman" w:hAnsi="Times New Roman" w:cs="Times New Roman"/>
          <w:color w:val="auto"/>
        </w:rPr>
        <w:t xml:space="preserve">atest available data from IEA for the period of 2010 – 2018. </w:t>
      </w:r>
    </w:p>
    <w:p w14:paraId="7D78FC84" w14:textId="55931765" w:rsidR="00EC2279" w:rsidRPr="00F60D25" w:rsidRDefault="00EC2279" w:rsidP="00EC2279">
      <w:pPr>
        <w:pStyle w:val="af7"/>
        <w:numPr>
          <w:ilvl w:val="0"/>
          <w:numId w:val="48"/>
        </w:numPr>
        <w:spacing w:afterLines="50" w:after="156" w:line="360" w:lineRule="auto"/>
        <w:rPr>
          <w:rStyle w:val="revised"/>
          <w:rFonts w:ascii="Times New Roman" w:hAnsi="Times New Roman" w:cs="Times New Roman"/>
          <w:color w:val="auto"/>
        </w:rPr>
      </w:pPr>
      <w:r>
        <w:rPr>
          <w:rStyle w:val="revised"/>
          <w:rFonts w:ascii="Times New Roman" w:hAnsi="Times New Roman" w:cs="Times New Roman"/>
          <w:color w:val="auto"/>
        </w:rPr>
        <w:t xml:space="preserve">Secondly, </w:t>
      </w:r>
      <w:r w:rsidRPr="00A75B22">
        <w:rPr>
          <w:rStyle w:val="revised"/>
          <w:rFonts w:ascii="Times New Roman" w:hAnsi="Times New Roman" w:cs="Times New Roman"/>
          <w:color w:val="auto"/>
        </w:rPr>
        <w:t xml:space="preserve">we assume that the production efficiency, technology level, and economic structures are unlikely to change </w:t>
      </w:r>
      <w:r w:rsidRPr="00A75B22">
        <w:rPr>
          <w:rStyle w:val="revised"/>
          <w:rFonts w:ascii="Times New Roman" w:hAnsi="Times New Roman" w:cs="Times New Roman" w:hint="eastAsia"/>
          <w:color w:val="auto"/>
        </w:rPr>
        <w:t>during</w:t>
      </w:r>
      <w:r w:rsidRPr="00A75B22">
        <w:rPr>
          <w:rStyle w:val="revised"/>
          <w:rFonts w:ascii="Times New Roman" w:hAnsi="Times New Roman" w:cs="Times New Roman"/>
          <w:color w:val="auto"/>
        </w:rPr>
        <w:t xml:space="preserve"> </w:t>
      </w:r>
      <w:r w:rsidRPr="00A75B22">
        <w:rPr>
          <w:rStyle w:val="revised"/>
          <w:rFonts w:ascii="Times New Roman" w:hAnsi="Times New Roman" w:cs="Times New Roman" w:hint="eastAsia"/>
          <w:color w:val="auto"/>
        </w:rPr>
        <w:t>COVID</w:t>
      </w:r>
      <w:r w:rsidRPr="00A75B22">
        <w:rPr>
          <w:rStyle w:val="revised"/>
          <w:rFonts w:ascii="Times New Roman" w:hAnsi="Times New Roman" w:cs="Times New Roman"/>
          <w:color w:val="auto"/>
        </w:rPr>
        <w:t xml:space="preserve">-19 period. This implies sectoral emission intensity kept unchanged for </w:t>
      </w:r>
      <w:r>
        <w:rPr>
          <w:rStyle w:val="revised"/>
          <w:rFonts w:ascii="Times New Roman" w:hAnsi="Times New Roman" w:cs="Times New Roman"/>
          <w:color w:val="auto"/>
        </w:rPr>
        <w:t>all</w:t>
      </w:r>
      <w:r w:rsidRPr="00A75B22">
        <w:rPr>
          <w:rStyle w:val="revised"/>
          <w:rFonts w:ascii="Times New Roman" w:hAnsi="Times New Roman" w:cs="Times New Roman"/>
          <w:color w:val="auto"/>
        </w:rPr>
        <w:t xml:space="preserve"> emerging emitting countries during this period. Therefore, we </w:t>
      </w:r>
      <w:r>
        <w:rPr>
          <w:rStyle w:val="revised"/>
          <w:rFonts w:ascii="Times New Roman" w:hAnsi="Times New Roman" w:cs="Times New Roman"/>
          <w:color w:val="auto"/>
        </w:rPr>
        <w:t xml:space="preserve">preliminarily </w:t>
      </w:r>
      <w:r w:rsidRPr="00A75B22">
        <w:rPr>
          <w:rStyle w:val="revised"/>
          <w:rFonts w:ascii="Times New Roman" w:hAnsi="Times New Roman" w:cs="Times New Roman"/>
          <w:color w:val="auto"/>
        </w:rPr>
        <w:t xml:space="preserve">estimate the emissions </w:t>
      </w:r>
      <w:r>
        <w:rPr>
          <w:rStyle w:val="revised"/>
          <w:rFonts w:ascii="Times New Roman" w:hAnsi="Times New Roman" w:cs="Times New Roman"/>
          <w:color w:val="auto"/>
        </w:rPr>
        <w:t>(</w:t>
      </w:r>
      <m:oMath>
        <m:sSub>
          <m:sSubPr>
            <m:ctrlPr>
              <w:rPr>
                <w:rFonts w:ascii="Cambria Math" w:hAnsi="Cambria Math"/>
                <w:i/>
              </w:rPr>
            </m:ctrlPr>
          </m:sSubPr>
          <m:e>
            <m:r>
              <w:rPr>
                <w:rFonts w:ascii="Cambria Math" w:hAnsi="Cambria Math"/>
              </w:rPr>
              <m:t>Emissions</m:t>
            </m:r>
          </m:e>
          <m:sub>
            <m:r>
              <w:rPr>
                <w:rFonts w:ascii="Cambria Math" w:hAnsi="Cambria Math"/>
              </w:rPr>
              <m:t>COVID_pre</m:t>
            </m:r>
          </m:sub>
        </m:sSub>
      </m:oMath>
      <w:r>
        <w:rPr>
          <w:rStyle w:val="revised"/>
          <w:rFonts w:ascii="Times New Roman" w:hAnsi="Times New Roman" w:cs="Times New Roman"/>
          <w:color w:val="auto"/>
        </w:rPr>
        <w:t xml:space="preserve">) </w:t>
      </w:r>
      <w:r w:rsidRPr="00CE7BE2">
        <w:rPr>
          <w:rStyle w:val="revised"/>
          <w:rFonts w:ascii="Times New Roman" w:hAnsi="Times New Roman" w:cs="Times New Roman"/>
          <w:color w:val="auto"/>
        </w:rPr>
        <w:t xml:space="preserve">of countries based on their sectoral emission intensities and economic outputs (shown in </w:t>
      </w:r>
      <w:r w:rsidRPr="00A75B22">
        <w:rPr>
          <w:rStyle w:val="revised"/>
          <w:rFonts w:ascii="Times New Roman" w:hAnsi="Times New Roman" w:cs="Times New Roman"/>
          <w:color w:val="auto"/>
        </w:rPr>
        <w:fldChar w:fldCharType="begin"/>
      </w:r>
      <w:r w:rsidRPr="00A75B22">
        <w:rPr>
          <w:rStyle w:val="revised"/>
          <w:rFonts w:ascii="Times New Roman" w:hAnsi="Times New Roman" w:cs="Times New Roman"/>
          <w:color w:val="auto"/>
        </w:rPr>
        <w:instrText xml:space="preserve">REF _Ref40189342 \h \* MERGEFORMAT </w:instrText>
      </w:r>
      <w:r w:rsidRPr="00A75B22">
        <w:rPr>
          <w:rStyle w:val="revised"/>
          <w:rFonts w:ascii="Times New Roman" w:hAnsi="Times New Roman" w:cs="Times New Roman"/>
          <w:color w:val="auto"/>
        </w:rPr>
      </w:r>
      <w:r w:rsidRPr="00A75B22">
        <w:rPr>
          <w:rStyle w:val="revised"/>
          <w:rFonts w:ascii="Times New Roman" w:hAnsi="Times New Roman" w:cs="Times New Roman"/>
          <w:color w:val="auto"/>
        </w:rPr>
        <w:fldChar w:fldCharType="separate"/>
      </w:r>
      <w:r w:rsidRPr="00A75B22">
        <w:rPr>
          <w:rStyle w:val="revised"/>
          <w:rFonts w:ascii="Times New Roman" w:hAnsi="Times New Roman" w:cs="Times New Roman"/>
          <w:color w:val="auto"/>
        </w:rPr>
        <w:t>Equation 11</w:t>
      </w:r>
      <w:r w:rsidRPr="00A75B22">
        <w:rPr>
          <w:rStyle w:val="revised"/>
          <w:rFonts w:ascii="Times New Roman" w:hAnsi="Times New Roman" w:cs="Times New Roman"/>
          <w:color w:val="auto"/>
        </w:rPr>
        <w:fldChar w:fldCharType="end"/>
      </w:r>
      <w:r w:rsidRPr="00A75B22">
        <w:rPr>
          <w:rStyle w:val="revised"/>
          <w:rFonts w:ascii="Times New Roman" w:hAnsi="Times New Roman" w:cs="Times New Roman"/>
          <w:color w:val="auto"/>
        </w:rPr>
        <w:t xml:space="preserve">). A similar </w:t>
      </w:r>
      <w:r w:rsidRPr="00A75B22">
        <w:rPr>
          <w:rStyle w:val="revised"/>
          <w:rFonts w:ascii="Times New Roman" w:hAnsi="Times New Roman" w:cs="Times New Roman" w:hint="eastAsia"/>
          <w:color w:val="auto"/>
        </w:rPr>
        <w:t>procedure</w:t>
      </w:r>
      <w:r w:rsidRPr="00A75B22">
        <w:rPr>
          <w:rStyle w:val="revised"/>
          <w:rFonts w:ascii="Times New Roman" w:hAnsi="Times New Roman" w:cs="Times New Roman"/>
          <w:color w:val="auto"/>
        </w:rPr>
        <w:t xml:space="preserve"> has been suggested by previous literature</w:t>
      </w:r>
      <w:r w:rsidR="00C478D6">
        <w:rPr>
          <w:rStyle w:val="revised"/>
          <w:rFonts w:ascii="Times New Roman" w:hAnsi="Times New Roman" w:cs="Times New Roman"/>
          <w:color w:val="auto"/>
        </w:rPr>
        <w:fldChar w:fldCharType="begin"/>
      </w:r>
      <w:r w:rsidR="00C478D6">
        <w:rPr>
          <w:rStyle w:val="revised"/>
          <w:rFonts w:ascii="Times New Roman" w:hAnsi="Times New Roman" w:cs="Times New Roman"/>
          <w:color w:val="auto"/>
        </w:rPr>
        <w:instrText xml:space="preserve"> ADDIN ZOTERO_ITEM CSL_CITATION {"citationID":"PKiWPn0u","properties":{"formattedCitation":"\\super 17\\nosupersub{}","plainCitation":"17","noteIndex":0},"citationItems":[{"id":1149,"uris":["http://zotero.org/users/4340498/items/RQN4C6SD"],"uri":["http://zotero.org/users/4340498/items/RQN4C6SD"],"itemData":{"id":1149,"type":"article-journal","abstract":"The outbreak of coronavirus disease 2019 (COVID-19) has caused tremendous loss to human life and economic decline in China and worldwide. It has significantly reduced gross domestic product (GDP), power generation, industrial activity and transport volume; thus, it has reduced fossil-related and cement-induced carbon dioxide (CO2) emissions in China. Due to time delays in obtaining activity data, traditional emissions inventories generally involve a 2–3-year lag. However, a timely assessment of COVID-19's impact on provincial CO2 emission reductions is crucial for accurately understanding the reduction and its implications for mitigation measures; furthermore, this information can provide constraints for modeling studies. Here, we used national and provincial GDP data and the China Emission Accounts and Datasets (CEADs) inventory to estimate the emission reductions in the first quarter (Q1) of 2020. We find a reduction of 257.7 Mt. CO2 (11.0%) over Q1 2019. The secondary industry contributed 186.8 Mt. CO2 (72.5%) to the total reduction, largely due to lower coal consumption and cement production. At the provincial level, Hubei contributed the most to the reductions (40.6 Mt) due to a notable decrease of 48.2% in the secondary industry. Moreover, transportation significantly contributed (65.1 Mt), with a change of −22.3% in freight transport and −59.1% in passenger transport compared with Q1 2019. We used a point, line and area sources (PLAS) method to test the GDP method, producing a close estimate (reduction of 10.6%). One policy implication is a change in people's working style and communication methods, realized by working from home and holding teleconferences, to reduce traffic emissions. Moreover, GDP is found to have potential merit in estimating emission changes when detailed energy activity data are unavailable. We provide provincial data that can serve as spatial disaggregation constraints for modeling studies and further support for both the carbon cycle community and policy makers.","container-title":"Science of The Total Environment","DOI":"10.1016/j.scitotenv.2020.141688","ISSN":"0048-9697","journalAbbreviation":"Science of The Total Environment","language":"en","page":"141688","source":"ScienceDirect","title":"Assessing the recent impact of COVID-19 on carbon emissions from China using domestic economic data","volume":"750","author":[{"family":"Han","given":"Pengfei"},{"family":"Cai","given":"Qixiang"},{"family":"Oda","given":"Tomohiro"},{"family":"Zeng","given":"Ning"},{"family":"Shan","given":"Yuli"},{"family":"Lin","given":"Xiaohui"},{"family":"Liu","given":"Di"}],"issued":{"date-parts":[["2021",1,1]]}}}],"schema":"https://github.com/citation-style-language/schema/raw/master/csl-citation.json"} </w:instrText>
      </w:r>
      <w:r w:rsidR="00C478D6">
        <w:rPr>
          <w:rStyle w:val="revised"/>
          <w:rFonts w:ascii="Times New Roman" w:hAnsi="Times New Roman" w:cs="Times New Roman"/>
          <w:color w:val="auto"/>
        </w:rPr>
        <w:fldChar w:fldCharType="separate"/>
      </w:r>
      <w:r w:rsidR="00C478D6" w:rsidRPr="00C478D6">
        <w:rPr>
          <w:kern w:val="0"/>
          <w:szCs w:val="24"/>
          <w:vertAlign w:val="superscript"/>
        </w:rPr>
        <w:t>17</w:t>
      </w:r>
      <w:r w:rsidR="00C478D6">
        <w:rPr>
          <w:rStyle w:val="revised"/>
          <w:rFonts w:ascii="Times New Roman" w:hAnsi="Times New Roman" w:cs="Times New Roman"/>
          <w:color w:val="auto"/>
        </w:rPr>
        <w:fldChar w:fldCharType="end"/>
      </w:r>
      <w:r w:rsidRPr="00A75B22">
        <w:rPr>
          <w:rStyle w:val="revised"/>
          <w:rFonts w:ascii="Times New Roman" w:hAnsi="Times New Roman" w:cs="Times New Roman"/>
          <w:color w:val="auto"/>
        </w:rPr>
        <w:fldChar w:fldCharType="begin"/>
      </w:r>
      <w:r w:rsidRPr="00A75B22">
        <w:rPr>
          <w:rStyle w:val="revised"/>
          <w:rFonts w:ascii="Times New Roman" w:hAnsi="Times New Roman" w:cs="Times New Roman"/>
          <w:color w:val="auto"/>
        </w:rPr>
        <w:instrText xml:space="preserve"> ADDIN EN.CITE &lt;EndNote&gt;&lt;Cite&gt;&lt;Author&gt;Han&lt;/Author&gt;&lt;Year&gt;2020&lt;/Year&gt;&lt;RecNum&gt;5236&lt;/RecNum&gt;&lt;DisplayText&gt;&lt;style face="superscript"&gt;17&lt;/style&gt;&lt;/DisplayText&gt;&lt;record&gt;&lt;rec-number&gt;5236&lt;/rec-number&gt;&lt;foreign-keys&gt;&lt;key app="EN" db-id="9azte9a5ia5pr2evpac5pda3sr5x2dfwfert" timestamp="1598284102"&gt;5236&lt;/key&gt;&lt;/foreign-keys&gt;&lt;ref-type name="Journal Article"&gt;17&lt;/ref-type&gt;&lt;contributors&gt;&lt;authors&gt;&lt;author&gt;Han, Pengfei&lt;/author&gt;&lt;author&gt;Cai, Qixiang&lt;/author&gt;&lt;author&gt;Oda, Tomohiro&lt;/author&gt;&lt;author&gt;Zeng, Ning&lt;/author&gt;&lt;author&gt;Shan, Yuli&lt;/author&gt;&lt;author&gt;Lin, Xiaohui&lt;/author&gt;&lt;author&gt;Liu, Di&lt;/author&gt;&lt;/authors&gt;&lt;/contributors&gt;&lt;titles&gt;&lt;title&gt;Assessing the recent impact of COVID-19 on carbon emissions from China using domestic economic data&lt;/title&gt;&lt;secondary-title&gt;Science of The Total Environment&lt;/secondary-title&gt;&lt;/titles&gt;&lt;periodical&gt;&lt;full-title&gt;Science of the Total Environment&lt;/full-title&gt;&lt;abbr-1&gt;Sci. Total Environ.&lt;/abbr-1&gt;&lt;abbr-2&gt;Sci Total Environ&lt;/abbr-2&gt;&lt;/periodical&gt;&lt;pages&gt;141688&lt;/pages&gt;&lt;dates&gt;&lt;year&gt;2020&lt;/year&gt;&lt;/dates&gt;&lt;isbn&gt;0048-9697&lt;/isbn&gt;&lt;urls&gt;&lt;/urls&gt;&lt;/record&gt;&lt;/Cite&gt;&lt;/EndNote&gt;</w:instrText>
      </w:r>
      <w:r w:rsidRPr="00A75B22">
        <w:rPr>
          <w:rStyle w:val="revised"/>
          <w:rFonts w:ascii="Times New Roman" w:hAnsi="Times New Roman" w:cs="Times New Roman"/>
          <w:color w:val="auto"/>
        </w:rPr>
        <w:fldChar w:fldCharType="end"/>
      </w:r>
      <w:r w:rsidRPr="00A75B22">
        <w:rPr>
          <w:rStyle w:val="revised"/>
          <w:rFonts w:ascii="Times New Roman" w:hAnsi="Times New Roman" w:cs="Times New Roman"/>
          <w:color w:val="auto"/>
        </w:rPr>
        <w:t>.</w:t>
      </w:r>
    </w:p>
    <w:tbl>
      <w:tblPr>
        <w:tblStyle w:val="afa"/>
        <w:tblW w:w="8296" w:type="dxa"/>
        <w:tblLook w:val="04A0" w:firstRow="1" w:lastRow="0" w:firstColumn="1" w:lastColumn="0" w:noHBand="0" w:noVBand="1"/>
      </w:tblPr>
      <w:tblGrid>
        <w:gridCol w:w="5812"/>
        <w:gridCol w:w="2484"/>
      </w:tblGrid>
      <w:tr w:rsidR="00EC2279" w:rsidRPr="00214EFC" w14:paraId="383AA1C6" w14:textId="77777777" w:rsidTr="009669F6">
        <w:tc>
          <w:tcPr>
            <w:tcW w:w="5812" w:type="dxa"/>
            <w:tcBorders>
              <w:top w:val="nil"/>
              <w:left w:val="nil"/>
              <w:bottom w:val="nil"/>
              <w:right w:val="nil"/>
            </w:tcBorders>
            <w:shd w:val="clear" w:color="auto" w:fill="auto"/>
          </w:tcPr>
          <w:p w14:paraId="257C4D90" w14:textId="77777777" w:rsidR="00EC2279" w:rsidRPr="00214EFC" w:rsidRDefault="002D7B00" w:rsidP="009669F6">
            <w:pPr>
              <w:pStyle w:val="Table"/>
              <w:spacing w:afterLines="50" w:after="156" w:line="360" w:lineRule="auto"/>
              <w:jc w:val="left"/>
              <w:rPr>
                <w:rFonts w:ascii="Times New Roman" w:hAnsi="Times New Roman" w:cs="Times New Roman"/>
                <w:color w:val="auto"/>
                <w:sz w:val="20"/>
              </w:rPr>
            </w:pPr>
            <m:oMath>
              <m:sSub>
                <m:sSubPr>
                  <m:ctrlPr>
                    <w:rPr>
                      <w:rFonts w:ascii="Cambria Math" w:hAnsi="Cambria Math" w:cs="Times New Roman"/>
                      <w:i/>
                      <w:color w:val="auto"/>
                    </w:rPr>
                  </m:ctrlPr>
                </m:sSubPr>
                <m:e>
                  <m:sSub>
                    <m:sSubPr>
                      <m:ctrlPr>
                        <w:rPr>
                          <w:rFonts w:ascii="Cambria Math" w:hAnsi="Cambria Math" w:cs="Times New Roman"/>
                          <w:i/>
                          <w:color w:val="auto"/>
                        </w:rPr>
                      </m:ctrlPr>
                    </m:sSubPr>
                    <m:e>
                      <m:r>
                        <w:rPr>
                          <w:rFonts w:ascii="Cambria Math" w:hAnsi="Cambria Math" w:cs="Times New Roman"/>
                          <w:color w:val="auto"/>
                        </w:rPr>
                        <m:t>Emissions</m:t>
                      </m:r>
                    </m:e>
                    <m:sub>
                      <m:r>
                        <w:rPr>
                          <w:rFonts w:ascii="Cambria Math" w:hAnsi="Cambria Math" w:cs="Times New Roman"/>
                          <w:color w:val="auto"/>
                        </w:rPr>
                        <m:t>COVID</m:t>
                      </m:r>
                      <m:r>
                        <w:rPr>
                          <w:rFonts w:ascii="Cambria Math" w:hAnsi="Cambria Math"/>
                        </w:rPr>
                        <m:t>_pre</m:t>
                      </m:r>
                    </m:sub>
                  </m:sSub>
                </m:e>
                <m:sub>
                  <m:r>
                    <w:rPr>
                      <w:rFonts w:ascii="Cambria Math" w:hAnsi="Cambria Math" w:cs="Times New Roman"/>
                      <w:color w:val="auto"/>
                    </w:rPr>
                    <m:t>ir</m:t>
                  </m:r>
                </m:sub>
              </m:sSub>
              <m:r>
                <w:rPr>
                  <w:rFonts w:ascii="Cambria Math" w:hAnsi="Cambria Math" w:cs="Times New Roman"/>
                  <w:color w:val="auto"/>
                </w:rPr>
                <m:t>(t)=</m:t>
              </m:r>
              <m:sSub>
                <m:sSubPr>
                  <m:ctrlPr>
                    <w:rPr>
                      <w:rFonts w:ascii="Cambria Math" w:hAnsi="Cambria Math" w:cs="Times New Roman"/>
                      <w:i/>
                      <w:color w:val="auto"/>
                    </w:rPr>
                  </m:ctrlPr>
                </m:sSubPr>
                <m:e>
                  <m:r>
                    <w:rPr>
                      <w:rFonts w:ascii="Cambria Math" w:hAnsi="Cambria Math" w:cs="Times New Roman"/>
                      <w:color w:val="auto"/>
                    </w:rPr>
                    <m:t>intensity</m:t>
                  </m:r>
                </m:e>
                <m:sub>
                  <m:r>
                    <w:rPr>
                      <w:rFonts w:ascii="Cambria Math" w:hAnsi="Cambria Math" w:cs="Times New Roman"/>
                      <w:color w:val="auto"/>
                    </w:rPr>
                    <m:t>ir</m:t>
                  </m:r>
                </m:sub>
              </m:sSub>
              <m:r>
                <w:rPr>
                  <w:rFonts w:ascii="Cambria Math" w:hAnsi="Cambria Math" w:cs="Times New Roman"/>
                  <w:color w:val="auto"/>
                </w:rPr>
                <m:t>(t)×</m:t>
              </m:r>
              <m:sSub>
                <m:sSubPr>
                  <m:ctrlPr>
                    <w:rPr>
                      <w:rFonts w:ascii="Cambria Math" w:hAnsi="Cambria Math" w:cs="Times New Roman"/>
                      <w:i/>
                      <w:color w:val="auto"/>
                    </w:rPr>
                  </m:ctrlPr>
                </m:sSubPr>
                <m:e>
                  <m:r>
                    <w:rPr>
                      <w:rFonts w:ascii="Cambria Math" w:hAnsi="Cambria Math" w:cs="Times New Roman"/>
                      <w:color w:val="auto"/>
                    </w:rPr>
                    <m:t>output</m:t>
                  </m:r>
                </m:e>
                <m:sub>
                  <m:r>
                    <w:rPr>
                      <w:rFonts w:ascii="Cambria Math" w:hAnsi="Cambria Math" w:cs="Times New Roman"/>
                      <w:color w:val="auto"/>
                    </w:rPr>
                    <m:t>ir</m:t>
                  </m:r>
                </m:sub>
              </m:sSub>
              <m:r>
                <w:rPr>
                  <w:rFonts w:ascii="Cambria Math" w:hAnsi="Cambria Math" w:cs="Times New Roman"/>
                  <w:color w:val="auto"/>
                </w:rPr>
                <m:t>(t)</m:t>
              </m:r>
            </m:oMath>
            <w:r w:rsidR="00EC2279" w:rsidRPr="00214EFC">
              <w:rPr>
                <w:rFonts w:ascii="Times New Roman" w:hAnsi="Times New Roman" w:cs="Times New Roman"/>
                <w:color w:val="auto"/>
              </w:rPr>
              <w:t xml:space="preserve"> </w:t>
            </w:r>
          </w:p>
        </w:tc>
        <w:tc>
          <w:tcPr>
            <w:tcW w:w="2484" w:type="dxa"/>
            <w:tcBorders>
              <w:top w:val="nil"/>
              <w:left w:val="nil"/>
              <w:bottom w:val="nil"/>
              <w:right w:val="nil"/>
            </w:tcBorders>
            <w:shd w:val="clear" w:color="auto" w:fill="auto"/>
          </w:tcPr>
          <w:p w14:paraId="2CB85FA9" w14:textId="64F0A07E" w:rsidR="00EC2279" w:rsidRPr="00214EFC" w:rsidRDefault="00EC2279" w:rsidP="009669F6">
            <w:pPr>
              <w:pStyle w:val="Table"/>
              <w:widowControl w:val="0"/>
              <w:spacing w:afterLines="50" w:after="156" w:line="360" w:lineRule="auto"/>
              <w:jc w:val="right"/>
              <w:rPr>
                <w:rFonts w:ascii="Times New Roman" w:hAnsi="Times New Roman" w:cs="Times New Roman"/>
                <w:color w:val="auto"/>
              </w:rPr>
            </w:pPr>
            <w:r w:rsidRPr="00214EFC">
              <w:rPr>
                <w:rFonts w:ascii="Times New Roman" w:hAnsi="Times New Roman" w:cs="Times New Roman"/>
                <w:color w:val="auto"/>
              </w:rPr>
              <w:t xml:space="preserve">Equation </w:t>
            </w:r>
            <w:r w:rsidRPr="00214EFC">
              <w:rPr>
                <w:rFonts w:ascii="Times New Roman" w:hAnsi="Times New Roman" w:cs="Times New Roman"/>
                <w:color w:val="auto"/>
              </w:rPr>
              <w:fldChar w:fldCharType="begin"/>
            </w:r>
            <w:r w:rsidRPr="00214EFC">
              <w:rPr>
                <w:rFonts w:ascii="Times New Roman" w:hAnsi="Times New Roman" w:cs="Times New Roman"/>
                <w:color w:val="auto"/>
              </w:rPr>
              <w:instrText>SEQ Equation \* ARABIC</w:instrText>
            </w:r>
            <w:r w:rsidRPr="00214EFC">
              <w:rPr>
                <w:rFonts w:ascii="Times New Roman" w:hAnsi="Times New Roman" w:cs="Times New Roman"/>
                <w:color w:val="auto"/>
              </w:rPr>
              <w:fldChar w:fldCharType="separate"/>
            </w:r>
            <w:r>
              <w:rPr>
                <w:rFonts w:ascii="Times New Roman" w:hAnsi="Times New Roman" w:cs="Times New Roman"/>
                <w:noProof/>
                <w:color w:val="auto"/>
              </w:rPr>
              <w:t>13</w:t>
            </w:r>
            <w:r w:rsidRPr="00214EFC">
              <w:rPr>
                <w:rFonts w:ascii="Times New Roman" w:hAnsi="Times New Roman" w:cs="Times New Roman"/>
                <w:color w:val="auto"/>
              </w:rPr>
              <w:fldChar w:fldCharType="end"/>
            </w:r>
          </w:p>
        </w:tc>
      </w:tr>
    </w:tbl>
    <w:p w14:paraId="3C5CF86E" w14:textId="2D5C282C" w:rsidR="00EC2279" w:rsidRDefault="00EC2279" w:rsidP="00EC2279">
      <w:pPr>
        <w:spacing w:afterLines="50" w:after="156" w:line="360" w:lineRule="auto"/>
        <w:ind w:left="420"/>
        <w:rPr>
          <w:kern w:val="0"/>
        </w:rPr>
      </w:pPr>
      <w:r w:rsidRPr="00214EFC">
        <w:t xml:space="preserve">In the equation, </w:t>
      </w:r>
      <w:r w:rsidRPr="00214EFC">
        <w:rPr>
          <w:kern w:val="0"/>
        </w:rPr>
        <w:t xml:space="preserve">subscript </w:t>
      </w:r>
      <m:oMath>
        <m:r>
          <w:rPr>
            <w:rFonts w:ascii="Cambria Math" w:hAnsi="Cambria Math"/>
            <w:kern w:val="0"/>
          </w:rPr>
          <m:t>i</m:t>
        </m:r>
      </m:oMath>
      <w:r w:rsidRPr="00214EFC">
        <w:rPr>
          <w:kern w:val="0"/>
        </w:rPr>
        <w:t xml:space="preserve"> and </w:t>
      </w:r>
      <m:oMath>
        <m:r>
          <w:rPr>
            <w:rFonts w:ascii="Cambria Math" w:hAnsi="Cambria Math"/>
            <w:kern w:val="0"/>
          </w:rPr>
          <m:t>r</m:t>
        </m:r>
      </m:oMath>
      <w:r w:rsidRPr="00214EFC">
        <w:rPr>
          <w:kern w:val="0"/>
        </w:rPr>
        <w:t xml:space="preserve"> </w:t>
      </w:r>
      <w:r w:rsidRPr="00214EFC">
        <w:t xml:space="preserve">represent sector and country/region, respectively. The superscript </w:t>
      </w:r>
      <m:oMath>
        <m:r>
          <w:rPr>
            <w:rFonts w:ascii="Cambria Math" w:hAnsi="Cambria Math"/>
            <w:kern w:val="0"/>
          </w:rPr>
          <m:t>t</m:t>
        </m:r>
      </m:oMath>
      <w:r w:rsidRPr="00214EFC">
        <w:t xml:space="preserve"> stands for year. </w:t>
      </w:r>
      <m:oMath>
        <m:sSub>
          <m:sSubPr>
            <m:ctrlPr>
              <w:rPr>
                <w:rFonts w:ascii="Cambria Math" w:eastAsia="等线" w:hAnsi="Cambria Math"/>
                <w:i/>
                <w:kern w:val="0"/>
                <w:szCs w:val="20"/>
              </w:rPr>
            </m:ctrlPr>
          </m:sSubPr>
          <m:e>
            <m:r>
              <w:rPr>
                <w:rFonts w:ascii="Cambria Math" w:hAnsi="Cambria Math"/>
              </w:rPr>
              <m:t>output</m:t>
            </m:r>
          </m:e>
          <m:sub>
            <m:r>
              <w:rPr>
                <w:rFonts w:ascii="Cambria Math" w:hAnsi="Cambria Math"/>
              </w:rPr>
              <m:t>ir</m:t>
            </m:r>
          </m:sub>
        </m:sSub>
        <m:r>
          <w:rPr>
            <w:rFonts w:ascii="Cambria Math" w:hAnsi="Cambria Math"/>
          </w:rPr>
          <m:t>(t)</m:t>
        </m:r>
      </m:oMath>
      <w:r w:rsidRPr="00214EFC">
        <w:t xml:space="preserve"> </w:t>
      </w:r>
      <w:r w:rsidRPr="00214EFC">
        <w:rPr>
          <w:kern w:val="0"/>
        </w:rPr>
        <w:t xml:space="preserve">are </w:t>
      </w:r>
      <w:r>
        <w:rPr>
          <w:kern w:val="0"/>
        </w:rPr>
        <w:t>generated</w:t>
      </w:r>
      <w:r w:rsidRPr="00214EFC">
        <w:rPr>
          <w:kern w:val="0"/>
        </w:rPr>
        <w:t xml:space="preserve"> from the </w:t>
      </w:r>
      <w:proofErr w:type="gramStart"/>
      <w:r w:rsidRPr="00214EFC">
        <w:rPr>
          <w:kern w:val="0"/>
        </w:rPr>
        <w:t xml:space="preserve">above </w:t>
      </w:r>
      <w:r>
        <w:rPr>
          <w:kern w:val="0"/>
        </w:rPr>
        <w:t>described</w:t>
      </w:r>
      <w:proofErr w:type="gramEnd"/>
      <w:r>
        <w:rPr>
          <w:kern w:val="0"/>
        </w:rPr>
        <w:t xml:space="preserve"> disaster footprint</w:t>
      </w:r>
      <w:r w:rsidRPr="00214EFC">
        <w:rPr>
          <w:kern w:val="0"/>
        </w:rPr>
        <w:t xml:space="preserve"> model.</w:t>
      </w:r>
      <w:r>
        <w:rPr>
          <w:kern w:val="0"/>
        </w:rPr>
        <w:t xml:space="preserve"> The</w:t>
      </w:r>
      <w:r w:rsidRPr="00214EFC">
        <w:rPr>
          <w:kern w:val="0"/>
        </w:rPr>
        <w:t xml:space="preserve"> </w:t>
      </w:r>
      <m:oMath>
        <m:sSub>
          <m:sSubPr>
            <m:ctrlPr>
              <w:rPr>
                <w:rFonts w:ascii="Cambria Math" w:eastAsia="等线" w:hAnsi="Cambria Math"/>
                <w:i/>
                <w:kern w:val="0"/>
                <w:szCs w:val="20"/>
              </w:rPr>
            </m:ctrlPr>
          </m:sSubPr>
          <m:e>
            <m:r>
              <w:rPr>
                <w:rFonts w:ascii="Cambria Math" w:hAnsi="Cambria Math"/>
              </w:rPr>
              <m:t>intensity</m:t>
            </m:r>
          </m:e>
          <m:sub>
            <m:r>
              <w:rPr>
                <w:rFonts w:ascii="Cambria Math" w:hAnsi="Cambria Math"/>
              </w:rPr>
              <m:t>ir</m:t>
            </m:r>
          </m:sub>
        </m:sSub>
        <m:d>
          <m:dPr>
            <m:ctrlPr>
              <w:rPr>
                <w:rFonts w:ascii="Cambria Math" w:hAnsi="Cambria Math"/>
                <w:i/>
              </w:rPr>
            </m:ctrlPr>
          </m:dPr>
          <m:e>
            <m:r>
              <w:rPr>
                <w:rFonts w:ascii="Cambria Math" w:hAnsi="Cambria Math"/>
              </w:rPr>
              <m:t>t</m:t>
            </m:r>
          </m:e>
        </m:d>
      </m:oMath>
      <w:r w:rsidRPr="00214EFC">
        <w:t xml:space="preserve"> </w:t>
      </w:r>
      <w:r w:rsidRPr="00214EFC">
        <w:rPr>
          <w:kern w:val="0"/>
        </w:rPr>
        <w:t xml:space="preserve">refers to per </w:t>
      </w:r>
      <w:r>
        <w:rPr>
          <w:kern w:val="0"/>
        </w:rPr>
        <w:t xml:space="preserve">economic </w:t>
      </w:r>
      <w:r w:rsidRPr="00214EFC">
        <w:rPr>
          <w:kern w:val="0"/>
        </w:rPr>
        <w:t>output emissions</w:t>
      </w:r>
      <w:r>
        <w:rPr>
          <w:kern w:val="0"/>
        </w:rPr>
        <w:t xml:space="preserve">, which is </w:t>
      </w:r>
      <w:r w:rsidR="005B0851">
        <w:rPr>
          <w:kern w:val="0"/>
        </w:rPr>
        <w:t>calculated based on the SSP2 scenario of</w:t>
      </w:r>
      <w:r>
        <w:rPr>
          <w:kern w:val="0"/>
        </w:rPr>
        <w:t xml:space="preserve"> </w:t>
      </w:r>
      <w:r w:rsidRPr="00214EFC">
        <w:rPr>
          <w:kern w:val="0"/>
        </w:rPr>
        <w:t xml:space="preserve">the GAINS (Greenhouse Gas - Air Pollution Interactions and Synergies) model </w:t>
      </w:r>
      <w:r>
        <w:rPr>
          <w:kern w:val="0"/>
        </w:rPr>
        <w:t>at</w:t>
      </w:r>
      <w:r w:rsidRPr="00214EFC">
        <w:rPr>
          <w:kern w:val="0"/>
        </w:rPr>
        <w:t xml:space="preserve"> IIASA</w:t>
      </w:r>
      <w:r w:rsidR="00C478D6">
        <w:rPr>
          <w:kern w:val="0"/>
        </w:rPr>
        <w:fldChar w:fldCharType="begin"/>
      </w:r>
      <w:r w:rsidR="00C478D6">
        <w:rPr>
          <w:kern w:val="0"/>
        </w:rPr>
        <w:instrText xml:space="preserve"> ADDIN ZOTERO_ITEM CSL_CITATION {"citationID":"KqqD32DL","properties":{"formattedCitation":"\\super 12\\nosupersub{}","plainCitation":"12","noteIndex":0},"citationItems":[{"id":1133,"uris":["http://zotero.org/users/4340498/items/SIJJSZ63"],"uri":["http://zotero.org/users/4340498/items/SIJJSZ63"],"itemData":{"id":1133,"type":"article","title":"Greenhouse Gas - Air Pollution Interactions and Synergies (GAINS) - IEA WEO 2019 SPS/SDS scenarios","URL":"https://gains.iiasa.ac.at/","author":[{"literal":"International Institute for Applied Systems Analysis"}],"issued":{"date-parts":[["2020",6,7]]}}}],"schema":"https://github.com/citation-style-language/schema/raw/master/csl-citation.json"} </w:instrText>
      </w:r>
      <w:r w:rsidR="00C478D6">
        <w:rPr>
          <w:kern w:val="0"/>
        </w:rPr>
        <w:fldChar w:fldCharType="separate"/>
      </w:r>
      <w:r w:rsidR="00C478D6" w:rsidRPr="00C478D6">
        <w:rPr>
          <w:kern w:val="0"/>
          <w:szCs w:val="24"/>
          <w:vertAlign w:val="superscript"/>
        </w:rPr>
        <w:t>12</w:t>
      </w:r>
      <w:r w:rsidR="00C478D6">
        <w:rPr>
          <w:kern w:val="0"/>
        </w:rPr>
        <w:fldChar w:fldCharType="end"/>
      </w:r>
      <w:r w:rsidRPr="00214EFC">
        <w:rPr>
          <w:kern w:val="0"/>
        </w:rPr>
        <w:t xml:space="preserve"> and World Energy Model 2019 of IEA</w:t>
      </w:r>
      <w:r w:rsidR="00C478D6">
        <w:rPr>
          <w:kern w:val="0"/>
        </w:rPr>
        <w:fldChar w:fldCharType="begin"/>
      </w:r>
      <w:r w:rsidR="00C478D6">
        <w:rPr>
          <w:kern w:val="0"/>
        </w:rPr>
        <w:instrText xml:space="preserve"> ADDIN ZOTERO_ITEM CSL_CITATION {"citationID":"nwBuxMDu","properties":{"formattedCitation":"\\super 18\\nosupersub{}","plainCitation":"18","noteIndex":0},"citationItems":[{"id":1135,"uris":["http://zotero.org/users/4340498/items/4H5EWYZD"],"uri":["http://zotero.org/users/4340498/items/4H5EWYZD"],"itemData":{"id":1135,"type":"report","event-place":"Paris","publisher-place":"Paris","title":"World Energy Model","URL":"https://www.iea.org/reports/world-energy-model","author":[{"literal":"IEA"}],"issued":{"date-parts":[["2019"]]}}}],"schema":"https://github.com/citation-style-language/schema/raw/master/csl-citation.json"} </w:instrText>
      </w:r>
      <w:r w:rsidR="00C478D6">
        <w:rPr>
          <w:kern w:val="0"/>
        </w:rPr>
        <w:fldChar w:fldCharType="separate"/>
      </w:r>
      <w:r w:rsidR="00C478D6" w:rsidRPr="00C478D6">
        <w:rPr>
          <w:kern w:val="0"/>
          <w:szCs w:val="24"/>
          <w:vertAlign w:val="superscript"/>
        </w:rPr>
        <w:t>18</w:t>
      </w:r>
      <w:r w:rsidR="00C478D6">
        <w:rPr>
          <w:kern w:val="0"/>
        </w:rPr>
        <w:fldChar w:fldCharType="end"/>
      </w:r>
      <w:r w:rsidRPr="00214EFC">
        <w:t xml:space="preserve"> </w:t>
      </w:r>
      <w:r>
        <w:rPr>
          <w:kern w:val="0"/>
        </w:rPr>
        <w:t xml:space="preserve">for the year of </w:t>
      </w:r>
      <w:r w:rsidRPr="00214EFC">
        <w:rPr>
          <w:kern w:val="0"/>
        </w:rPr>
        <w:t>2014.</w:t>
      </w:r>
    </w:p>
    <w:p w14:paraId="1A9CF7E4" w14:textId="151BDAB7" w:rsidR="00287F96" w:rsidRDefault="00EC2279" w:rsidP="00287F96">
      <w:pPr>
        <w:pStyle w:val="af7"/>
        <w:numPr>
          <w:ilvl w:val="0"/>
          <w:numId w:val="48"/>
        </w:numPr>
        <w:spacing w:afterLines="50" w:after="156" w:afterAutospacing="1" w:line="360" w:lineRule="auto"/>
      </w:pPr>
      <w:r>
        <w:t>Thirdly, we calibrate the emission deviation generated by modelled data</w:t>
      </w:r>
      <w:r w:rsidRPr="00BD41ED">
        <w:rPr>
          <w:rStyle w:val="revised"/>
          <w:rFonts w:ascii="Times New Roman" w:hAnsi="Times New Roman" w:cs="Times New Roman"/>
          <w:color w:val="auto"/>
        </w:rPr>
        <w:t xml:space="preserve"> (due to using 2014 emission intensity) with most recent data, in order to </w:t>
      </w:r>
      <w:r>
        <w:rPr>
          <w:rStyle w:val="revised"/>
          <w:rFonts w:ascii="Times New Roman" w:hAnsi="Times New Roman" w:cs="Times New Roman"/>
          <w:color w:val="auto"/>
        </w:rPr>
        <w:t>improve accuracy of</w:t>
      </w:r>
      <w:r w:rsidRPr="00BD41ED">
        <w:rPr>
          <w:rStyle w:val="revised"/>
          <w:rFonts w:ascii="Times New Roman" w:hAnsi="Times New Roman" w:cs="Times New Roman"/>
          <w:color w:val="auto"/>
        </w:rPr>
        <w:t xml:space="preserve"> emission estimation for all emerging emitters (</w:t>
      </w:r>
      <m:oMath>
        <m:sSub>
          <m:sSubPr>
            <m:ctrlPr>
              <w:rPr>
                <w:rFonts w:ascii="Cambria Math" w:hAnsi="Cambria Math"/>
                <w:i/>
              </w:rPr>
            </m:ctrlPr>
          </m:sSubPr>
          <m:e>
            <m:r>
              <w:rPr>
                <w:rFonts w:ascii="Cambria Math" w:hAnsi="Cambria Math"/>
              </w:rPr>
              <m:t>Emissions</m:t>
            </m:r>
          </m:e>
          <m:sub>
            <m:r>
              <w:rPr>
                <w:rFonts w:ascii="Cambria Math" w:hAnsi="Cambria Math"/>
              </w:rPr>
              <m:t>COVID_update</m:t>
            </m:r>
          </m:sub>
        </m:sSub>
      </m:oMath>
      <w:r w:rsidRPr="00BD41ED">
        <w:rPr>
          <w:rStyle w:val="revised"/>
          <w:rFonts w:ascii="Times New Roman" w:hAnsi="Times New Roman" w:cs="Times New Roman"/>
          <w:color w:val="auto"/>
        </w:rPr>
        <w:t xml:space="preserve">), shown in </w:t>
      </w:r>
      <w:r w:rsidR="00287F96">
        <w:rPr>
          <w:rStyle w:val="revised"/>
          <w:rFonts w:ascii="Times New Roman" w:hAnsi="Times New Roman" w:cs="Times New Roman"/>
          <w:color w:val="auto"/>
        </w:rPr>
        <w:fldChar w:fldCharType="begin"/>
      </w:r>
      <w:r w:rsidR="00287F96">
        <w:rPr>
          <w:rStyle w:val="revised"/>
          <w:rFonts w:ascii="Times New Roman" w:hAnsi="Times New Roman" w:cs="Times New Roman"/>
          <w:color w:val="auto"/>
        </w:rPr>
        <w:instrText xml:space="preserve"> REF _Ref67765431 \h </w:instrText>
      </w:r>
      <w:r w:rsidR="00287F96">
        <w:rPr>
          <w:rStyle w:val="revised"/>
          <w:rFonts w:ascii="Times New Roman" w:hAnsi="Times New Roman" w:cs="Times New Roman"/>
          <w:color w:val="auto"/>
        </w:rPr>
      </w:r>
      <w:r w:rsidR="00287F96">
        <w:rPr>
          <w:rStyle w:val="revised"/>
          <w:rFonts w:ascii="Times New Roman" w:hAnsi="Times New Roman" w:cs="Times New Roman"/>
          <w:color w:val="auto"/>
        </w:rPr>
        <w:fldChar w:fldCharType="separate"/>
      </w:r>
      <w:r w:rsidR="00287F96" w:rsidRPr="00811FE1">
        <w:t xml:space="preserve">Equation </w:t>
      </w:r>
      <w:r w:rsidR="00287F96" w:rsidRPr="00811FE1">
        <w:rPr>
          <w:noProof/>
        </w:rPr>
        <w:t>14</w:t>
      </w:r>
      <w:r w:rsidR="00287F96">
        <w:rPr>
          <w:rStyle w:val="revised"/>
          <w:rFonts w:ascii="Times New Roman" w:hAnsi="Times New Roman" w:cs="Times New Roman"/>
          <w:color w:val="auto"/>
        </w:rPr>
        <w:fldChar w:fldCharType="end"/>
      </w:r>
      <w:r>
        <w:rPr>
          <w:rStyle w:val="revised"/>
          <w:rFonts w:ascii="Times New Roman" w:hAnsi="Times New Roman" w:cs="Times New Roman"/>
          <w:color w:val="auto"/>
        </w:rPr>
        <w:fldChar w:fldCharType="begin"/>
      </w:r>
      <w:r>
        <w:rPr>
          <w:rStyle w:val="revised"/>
          <w:rFonts w:ascii="Times New Roman" w:hAnsi="Times New Roman" w:cs="Times New Roman"/>
          <w:color w:val="auto"/>
        </w:rPr>
        <w:instrText xml:space="preserve"> REF _Ref67745387 \h </w:instrText>
      </w:r>
      <w:r>
        <w:rPr>
          <w:rStyle w:val="revised"/>
          <w:rFonts w:ascii="Times New Roman" w:hAnsi="Times New Roman" w:cs="Times New Roman"/>
          <w:color w:val="auto"/>
        </w:rPr>
      </w:r>
      <w:r>
        <w:rPr>
          <w:rStyle w:val="revised"/>
          <w:rFonts w:ascii="Times New Roman" w:hAnsi="Times New Roman" w:cs="Times New Roman"/>
          <w:color w:val="auto"/>
        </w:rPr>
        <w:fldChar w:fldCharType="end"/>
      </w:r>
      <w:r w:rsidRPr="00BD41ED">
        <w:rPr>
          <w:rStyle w:val="revised"/>
          <w:rFonts w:ascii="Times New Roman" w:hAnsi="Times New Roman" w:cs="Times New Roman"/>
          <w:color w:val="auto"/>
        </w:rPr>
        <w:t xml:space="preserve">. </w:t>
      </w:r>
    </w:p>
    <w:tbl>
      <w:tblPr>
        <w:tblStyle w:val="afa"/>
        <w:tblW w:w="8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9"/>
        <w:gridCol w:w="1374"/>
      </w:tblGrid>
      <w:tr w:rsidR="00287F96" w14:paraId="60A68E3F" w14:textId="77777777" w:rsidTr="00287F96">
        <w:trPr>
          <w:trHeight w:val="870"/>
        </w:trPr>
        <w:tc>
          <w:tcPr>
            <w:tcW w:w="0" w:type="auto"/>
          </w:tcPr>
          <w:p w14:paraId="4F0E780B" w14:textId="466EE827" w:rsidR="00287F96" w:rsidRPr="00287F96" w:rsidRDefault="002D7B00" w:rsidP="00811FE1">
            <w:pPr>
              <w:spacing w:after="100" w:afterAutospacing="1" w:line="360" w:lineRule="auto"/>
              <w:jc w:val="right"/>
              <w:rPr>
                <w:sz w:val="18"/>
                <w:szCs w:val="18"/>
              </w:rPr>
            </w:pPr>
            <m:oMathPara>
              <m:oMath>
                <m:sSub>
                  <m:sSubPr>
                    <m:ctrlPr>
                      <w:rPr>
                        <w:rFonts w:ascii="Cambria Math" w:hAnsi="Cambria Math"/>
                        <w:i/>
                        <w:sz w:val="18"/>
                        <w:szCs w:val="18"/>
                      </w:rPr>
                    </m:ctrlPr>
                  </m:sSubPr>
                  <m:e>
                    <m:r>
                      <w:rPr>
                        <w:rFonts w:ascii="Cambria Math" w:hAnsi="Cambria Math"/>
                        <w:sz w:val="18"/>
                        <w:szCs w:val="18"/>
                      </w:rPr>
                      <m:t>Emissions</m:t>
                    </m:r>
                  </m:e>
                  <m:sub>
                    <m:r>
                      <w:rPr>
                        <w:rFonts w:ascii="Cambria Math" w:hAnsi="Cambria Math"/>
                        <w:sz w:val="18"/>
                        <w:szCs w:val="18"/>
                      </w:rPr>
                      <m:t>COVID_update</m:t>
                    </m:r>
                  </m:sub>
                </m:sSub>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Emissions</m:t>
                    </m:r>
                  </m:e>
                  <m:sub>
                    <m:r>
                      <w:rPr>
                        <w:rFonts w:ascii="Cambria Math" w:hAnsi="Cambria Math"/>
                        <w:sz w:val="18"/>
                        <w:szCs w:val="18"/>
                      </w:rPr>
                      <m:t>COVID_pre</m:t>
                    </m:r>
                  </m:sub>
                </m:sSub>
                <m:r>
                  <w:rPr>
                    <w:rFonts w:ascii="Cambria Math" w:hAnsi="Cambria Math"/>
                    <w:sz w:val="18"/>
                    <w:szCs w:val="18"/>
                  </w:rPr>
                  <m:t>(t)×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Emissions</m:t>
                        </m:r>
                      </m:e>
                      <m:sub>
                        <m:r>
                          <w:rPr>
                            <w:rFonts w:ascii="Cambria Math" w:hAnsi="Cambria Math"/>
                            <w:sz w:val="18"/>
                            <w:szCs w:val="18"/>
                          </w:rPr>
                          <m:t>IEA</m:t>
                        </m:r>
                      </m:sub>
                    </m:sSub>
                    <m:r>
                      <w:rPr>
                        <w:rFonts w:ascii="Cambria Math" w:hAnsi="Cambria Math"/>
                        <w:sz w:val="18"/>
                        <w:szCs w:val="18"/>
                      </w:rPr>
                      <m:t>(2019)</m:t>
                    </m:r>
                  </m:num>
                  <m:den>
                    <m:sSub>
                      <m:sSubPr>
                        <m:ctrlPr>
                          <w:rPr>
                            <w:rFonts w:ascii="Cambria Math" w:hAnsi="Cambria Math"/>
                            <w:i/>
                            <w:sz w:val="18"/>
                            <w:szCs w:val="18"/>
                          </w:rPr>
                        </m:ctrlPr>
                      </m:sSubPr>
                      <m:e>
                        <m:r>
                          <w:rPr>
                            <w:rFonts w:ascii="Cambria Math" w:hAnsi="Cambria Math"/>
                            <w:sz w:val="18"/>
                            <w:szCs w:val="18"/>
                          </w:rPr>
                          <m:t>Emissions</m:t>
                        </m:r>
                      </m:e>
                      <m:sub>
                        <m:r>
                          <w:rPr>
                            <w:rFonts w:ascii="Cambria Math" w:hAnsi="Cambria Math"/>
                            <w:sz w:val="18"/>
                            <w:szCs w:val="18"/>
                          </w:rPr>
                          <m:t>COVID</m:t>
                        </m:r>
                      </m:sub>
                    </m:sSub>
                    <m:r>
                      <w:rPr>
                        <w:rFonts w:ascii="Cambria Math" w:hAnsi="Cambria Math"/>
                        <w:sz w:val="18"/>
                        <w:szCs w:val="18"/>
                      </w:rPr>
                      <m:t>_pre(2019)</m:t>
                    </m:r>
                  </m:den>
                </m:f>
              </m:oMath>
            </m:oMathPara>
          </w:p>
        </w:tc>
        <w:tc>
          <w:tcPr>
            <w:tcW w:w="0" w:type="auto"/>
          </w:tcPr>
          <w:p w14:paraId="79202133" w14:textId="380B4AB1" w:rsidR="00287F96" w:rsidRDefault="00287F96" w:rsidP="00811FE1">
            <w:pPr>
              <w:spacing w:after="100" w:afterAutospacing="1" w:line="360" w:lineRule="auto"/>
              <w:jc w:val="right"/>
              <w:rPr>
                <w:sz w:val="21"/>
                <w:szCs w:val="21"/>
              </w:rPr>
            </w:pPr>
            <w:bookmarkStart w:id="13" w:name="_Ref67765431"/>
            <w:r w:rsidRPr="00811FE1">
              <w:t xml:space="preserve">Equation </w:t>
            </w:r>
            <w:r w:rsidRPr="00811FE1">
              <w:fldChar w:fldCharType="begin"/>
            </w:r>
            <w:r w:rsidRPr="00811FE1">
              <w:instrText xml:space="preserve"> SEQ Equation \* ARABIC </w:instrText>
            </w:r>
            <w:r w:rsidRPr="00811FE1">
              <w:fldChar w:fldCharType="separate"/>
            </w:r>
            <w:r w:rsidRPr="00811FE1">
              <w:rPr>
                <w:noProof/>
              </w:rPr>
              <w:t>14</w:t>
            </w:r>
            <w:r w:rsidRPr="00811FE1">
              <w:fldChar w:fldCharType="end"/>
            </w:r>
            <w:bookmarkEnd w:id="13"/>
          </w:p>
        </w:tc>
      </w:tr>
    </w:tbl>
    <w:p w14:paraId="395C9FD4" w14:textId="77777777" w:rsidR="00287F96" w:rsidRPr="00811FE1" w:rsidRDefault="00287F96" w:rsidP="00811FE1">
      <w:pPr>
        <w:spacing w:after="100" w:afterAutospacing="1" w:line="360" w:lineRule="auto"/>
        <w:jc w:val="right"/>
        <w:rPr>
          <w:sz w:val="21"/>
          <w:szCs w:val="21"/>
        </w:rPr>
      </w:pPr>
    </w:p>
    <w:p w14:paraId="7C39C0C5" w14:textId="73F6BBB4" w:rsidR="00A35EEE" w:rsidRPr="00D50F1D" w:rsidRDefault="00EE352C" w:rsidP="00AA63CD">
      <w:pPr>
        <w:pStyle w:val="3"/>
        <w:numPr>
          <w:ilvl w:val="0"/>
          <w:numId w:val="0"/>
        </w:numPr>
        <w:spacing w:after="100" w:afterAutospacing="1" w:line="360" w:lineRule="auto"/>
        <w:ind w:left="720"/>
      </w:pPr>
      <w:r>
        <w:rPr>
          <w:rFonts w:hint="eastAsia"/>
        </w:rPr>
        <w:t>1</w:t>
      </w:r>
      <w:r w:rsidR="00D50F1D">
        <w:t xml:space="preserve">.1.3 </w:t>
      </w:r>
      <w:r w:rsidR="00A35EEE" w:rsidRPr="00D50F1D">
        <w:t>Scenarios of lockdown</w:t>
      </w:r>
    </w:p>
    <w:p w14:paraId="52BDE4F1" w14:textId="7FBF0B98" w:rsidR="004877E4" w:rsidRDefault="00A35EEE" w:rsidP="00AA63CD">
      <w:pPr>
        <w:spacing w:after="100" w:afterAutospacing="1" w:line="360" w:lineRule="auto"/>
        <w:rPr>
          <w:rStyle w:val="revised"/>
          <w:rFonts w:ascii="Times New Roman" w:hAnsi="Times New Roman" w:cs="Times New Roman"/>
          <w:color w:val="auto"/>
        </w:rPr>
      </w:pPr>
      <w:bookmarkStart w:id="14" w:name="_Hlk52738337"/>
      <w:r w:rsidRPr="00214EFC">
        <w:rPr>
          <w:rStyle w:val="revised"/>
          <w:rFonts w:ascii="Times New Roman" w:hAnsi="Times New Roman" w:cs="Times New Roman"/>
          <w:color w:val="auto"/>
        </w:rPr>
        <w:t xml:space="preserve">We set the scenarios of lockdown from the dimensions of </w:t>
      </w:r>
      <w:r w:rsidR="00020EB6">
        <w:rPr>
          <w:rStyle w:val="revised"/>
          <w:rFonts w:ascii="Times New Roman" w:hAnsi="Times New Roman" w:cs="Times New Roman"/>
          <w:color w:val="auto"/>
        </w:rPr>
        <w:t xml:space="preserve">number of lockdowns, </w:t>
      </w:r>
      <w:proofErr w:type="gramStart"/>
      <w:r w:rsidR="00020EB6">
        <w:rPr>
          <w:rStyle w:val="revised"/>
          <w:rFonts w:ascii="Times New Roman" w:hAnsi="Times New Roman" w:cs="Times New Roman"/>
          <w:color w:val="auto"/>
        </w:rPr>
        <w:t>duration</w:t>
      </w:r>
      <w:proofErr w:type="gramEnd"/>
      <w:r w:rsidR="00020EB6" w:rsidRPr="00214EFC">
        <w:rPr>
          <w:rStyle w:val="revised"/>
          <w:rFonts w:ascii="Times New Roman" w:hAnsi="Times New Roman" w:cs="Times New Roman"/>
          <w:color w:val="auto"/>
        </w:rPr>
        <w:t xml:space="preserve"> </w:t>
      </w:r>
      <w:r w:rsidRPr="00214EFC">
        <w:rPr>
          <w:rStyle w:val="revised"/>
          <w:rFonts w:ascii="Times New Roman" w:hAnsi="Times New Roman" w:cs="Times New Roman"/>
          <w:color w:val="auto"/>
        </w:rPr>
        <w:t>and strictness</w:t>
      </w:r>
      <w:r w:rsidR="003531C3">
        <w:rPr>
          <w:rStyle w:val="revised"/>
          <w:rFonts w:ascii="Times New Roman" w:hAnsi="Times New Roman" w:cs="Times New Roman"/>
          <w:color w:val="auto"/>
        </w:rPr>
        <w:t xml:space="preserve"> (see </w:t>
      </w:r>
      <w:r w:rsidR="003531C3">
        <w:rPr>
          <w:rStyle w:val="revised"/>
          <w:rFonts w:ascii="Times New Roman" w:hAnsi="Times New Roman" w:cs="Times New Roman"/>
          <w:color w:val="auto"/>
        </w:rPr>
        <w:fldChar w:fldCharType="begin"/>
      </w:r>
      <w:r w:rsidR="003531C3">
        <w:rPr>
          <w:rStyle w:val="revised"/>
          <w:rFonts w:ascii="Times New Roman" w:hAnsi="Times New Roman" w:cs="Times New Roman"/>
          <w:color w:val="auto"/>
        </w:rPr>
        <w:instrText xml:space="preserve"> REF _Ref67587146 \h </w:instrText>
      </w:r>
      <w:r w:rsidR="003531C3">
        <w:rPr>
          <w:rStyle w:val="revised"/>
          <w:rFonts w:ascii="Times New Roman" w:hAnsi="Times New Roman" w:cs="Times New Roman"/>
          <w:color w:val="auto"/>
        </w:rPr>
      </w:r>
      <w:r w:rsidR="003531C3">
        <w:rPr>
          <w:rStyle w:val="revised"/>
          <w:rFonts w:ascii="Times New Roman" w:hAnsi="Times New Roman" w:cs="Times New Roman"/>
          <w:color w:val="auto"/>
        </w:rPr>
        <w:fldChar w:fldCharType="separate"/>
      </w:r>
      <w:r w:rsidR="00E309AB">
        <w:t xml:space="preserve">Table S </w:t>
      </w:r>
      <w:r w:rsidR="00E309AB">
        <w:rPr>
          <w:noProof/>
        </w:rPr>
        <w:t>1</w:t>
      </w:r>
      <w:r w:rsidR="003531C3">
        <w:rPr>
          <w:rStyle w:val="revised"/>
          <w:rFonts w:ascii="Times New Roman" w:hAnsi="Times New Roman" w:cs="Times New Roman"/>
          <w:color w:val="auto"/>
        </w:rPr>
        <w:fldChar w:fldCharType="end"/>
      </w:r>
      <w:r w:rsidR="003531C3">
        <w:rPr>
          <w:rStyle w:val="revised"/>
          <w:rFonts w:ascii="Times New Roman" w:hAnsi="Times New Roman" w:cs="Times New Roman"/>
          <w:color w:val="auto"/>
        </w:rPr>
        <w:t xml:space="preserve">). The duration of the mild lockdown, the default lockdown and the severe lockdown scenarios </w:t>
      </w:r>
      <w:r w:rsidR="00B26EE8">
        <w:rPr>
          <w:rStyle w:val="revised"/>
          <w:rFonts w:ascii="Times New Roman" w:hAnsi="Times New Roman" w:cs="Times New Roman"/>
          <w:color w:val="auto"/>
        </w:rPr>
        <w:t>will be</w:t>
      </w:r>
      <w:r w:rsidR="003531C3">
        <w:rPr>
          <w:rStyle w:val="revised"/>
          <w:rFonts w:ascii="Times New Roman" w:hAnsi="Times New Roman" w:cs="Times New Roman"/>
          <w:color w:val="auto"/>
        </w:rPr>
        <w:t xml:space="preserve"> described in detail </w:t>
      </w:r>
      <w:r w:rsidR="000B3D06">
        <w:rPr>
          <w:rStyle w:val="revised"/>
          <w:rFonts w:ascii="Times New Roman" w:hAnsi="Times New Roman" w:cs="Times New Roman"/>
          <w:color w:val="auto"/>
        </w:rPr>
        <w:t>in 2.1.3.1</w:t>
      </w:r>
      <w:r w:rsidR="003531C3">
        <w:rPr>
          <w:rStyle w:val="revised"/>
          <w:rFonts w:ascii="Times New Roman" w:hAnsi="Times New Roman" w:cs="Times New Roman"/>
          <w:color w:val="auto"/>
        </w:rPr>
        <w:t xml:space="preserve">. The lockdown strictness </w:t>
      </w:r>
      <w:proofErr w:type="gramStart"/>
      <w:r w:rsidR="003531C3">
        <w:rPr>
          <w:rStyle w:val="revised"/>
          <w:rFonts w:ascii="Times New Roman" w:hAnsi="Times New Roman" w:cs="Times New Roman"/>
          <w:color w:val="auto"/>
        </w:rPr>
        <w:t>include</w:t>
      </w:r>
      <w:proofErr w:type="gramEnd"/>
      <w:r w:rsidR="003531C3">
        <w:rPr>
          <w:rStyle w:val="revised"/>
          <w:rFonts w:ascii="Times New Roman" w:hAnsi="Times New Roman" w:cs="Times New Roman"/>
          <w:color w:val="auto"/>
        </w:rPr>
        <w:t xml:space="preserve"> the strictness of the first lockdown period (S1) and the strictness of the future lockdown period (S2), e.g. the strictness for mild lockdown is S1</w:t>
      </w:r>
      <w:r w:rsidR="003531C3">
        <w:rPr>
          <w:rStyle w:val="revised"/>
          <w:rFonts w:ascii="Times New Roman" w:hAnsi="Times New Roman" w:cs="Times New Roman"/>
          <w:color w:val="auto"/>
          <w:vertAlign w:val="subscript"/>
        </w:rPr>
        <w:t>mild</w:t>
      </w:r>
      <w:r w:rsidR="003531C3">
        <w:rPr>
          <w:rStyle w:val="revised"/>
          <w:rFonts w:ascii="Times New Roman" w:hAnsi="Times New Roman" w:cs="Times New Roman"/>
          <w:color w:val="auto"/>
        </w:rPr>
        <w:t>+S2</w:t>
      </w:r>
      <w:r w:rsidR="003531C3">
        <w:rPr>
          <w:rStyle w:val="revised"/>
          <w:rFonts w:ascii="Times New Roman" w:hAnsi="Times New Roman" w:cs="Times New Roman"/>
          <w:color w:val="auto"/>
          <w:vertAlign w:val="subscript"/>
        </w:rPr>
        <w:t>mild</w:t>
      </w:r>
      <w:r w:rsidR="003531C3">
        <w:rPr>
          <w:rStyle w:val="revised"/>
          <w:rFonts w:ascii="Times New Roman" w:hAnsi="Times New Roman" w:cs="Times New Roman"/>
          <w:color w:val="auto"/>
        </w:rPr>
        <w:t xml:space="preserve">. </w:t>
      </w:r>
      <w:r w:rsidR="00B26EE8">
        <w:rPr>
          <w:rStyle w:val="revised"/>
          <w:rFonts w:ascii="Times New Roman" w:hAnsi="Times New Roman" w:cs="Times New Roman"/>
          <w:color w:val="auto"/>
        </w:rPr>
        <w:t xml:space="preserve">Detailed S1 and S2 will be described in detail </w:t>
      </w:r>
      <w:r w:rsidR="000B3D06">
        <w:rPr>
          <w:rStyle w:val="revised"/>
          <w:rFonts w:ascii="Times New Roman" w:hAnsi="Times New Roman" w:cs="Times New Roman"/>
          <w:color w:val="auto"/>
        </w:rPr>
        <w:t>in 2.1.3.</w:t>
      </w:r>
      <w:r w:rsidR="001D18D5">
        <w:rPr>
          <w:rStyle w:val="revised"/>
          <w:rFonts w:ascii="Times New Roman" w:hAnsi="Times New Roman" w:cs="Times New Roman"/>
          <w:color w:val="auto"/>
        </w:rPr>
        <w:t>2 and 2.1.3.3</w:t>
      </w:r>
      <w:r w:rsidR="00B26EE8">
        <w:rPr>
          <w:rStyle w:val="revised"/>
          <w:rFonts w:ascii="Times New Roman" w:hAnsi="Times New Roman" w:cs="Times New Roman"/>
          <w:color w:val="auto"/>
        </w:rPr>
        <w:t>.</w:t>
      </w:r>
    </w:p>
    <w:p w14:paraId="5824F873" w14:textId="1AF4394B" w:rsidR="00AB5229" w:rsidRDefault="00AB5229" w:rsidP="00AA63CD">
      <w:pPr>
        <w:pStyle w:val="af6"/>
        <w:spacing w:after="100" w:afterAutospacing="1" w:line="360" w:lineRule="auto"/>
        <w:rPr>
          <w:rStyle w:val="revised"/>
          <w:rFonts w:ascii="Times New Roman" w:hAnsi="Times New Roman" w:cs="Times New Roman"/>
          <w:color w:val="auto"/>
        </w:rPr>
      </w:pPr>
      <w:bookmarkStart w:id="15" w:name="_Ref67587146"/>
      <w:r>
        <w:t xml:space="preserve">Table S </w:t>
      </w:r>
      <w:fldSimple w:instr=" SEQ Table_S \* ARABIC ">
        <w:r w:rsidR="00A80F2F">
          <w:rPr>
            <w:noProof/>
          </w:rPr>
          <w:t>1</w:t>
        </w:r>
      </w:fldSimple>
      <w:bookmarkEnd w:id="15"/>
      <w:r w:rsidR="00020EB6">
        <w:t xml:space="preserve"> </w:t>
      </w:r>
      <w:r w:rsidR="00B26EE8">
        <w:t>Definition of mild, default and severe lockdown scenarios.</w:t>
      </w: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1714"/>
        <w:gridCol w:w="2040"/>
        <w:gridCol w:w="2040"/>
      </w:tblGrid>
      <w:tr w:rsidR="005F2683" w14:paraId="5AD43EA5" w14:textId="77777777" w:rsidTr="00E309AB">
        <w:trPr>
          <w:trHeight w:val="678"/>
        </w:trPr>
        <w:tc>
          <w:tcPr>
            <w:tcW w:w="2366" w:type="dxa"/>
            <w:tcBorders>
              <w:top w:val="single" w:sz="4" w:space="0" w:color="auto"/>
              <w:bottom w:val="single" w:sz="4" w:space="0" w:color="auto"/>
              <w:tl2br w:val="single" w:sz="4" w:space="0" w:color="auto"/>
            </w:tcBorders>
            <w:shd w:val="clear" w:color="auto" w:fill="auto"/>
          </w:tcPr>
          <w:p w14:paraId="3C2F844C" w14:textId="77777777" w:rsidR="005F2683" w:rsidRDefault="00A37246" w:rsidP="00AA63CD">
            <w:pPr>
              <w:pStyle w:val="Table"/>
              <w:spacing w:after="100" w:afterAutospacing="1" w:line="360" w:lineRule="auto"/>
              <w:jc w:val="right"/>
              <w:rPr>
                <w:rStyle w:val="revised"/>
                <w:rFonts w:ascii="Times New Roman" w:hAnsi="Times New Roman" w:cs="Times New Roman"/>
                <w:color w:val="auto"/>
              </w:rPr>
            </w:pPr>
            <w:r w:rsidRPr="00E309AB">
              <w:rPr>
                <w:rStyle w:val="revised"/>
                <w:rFonts w:ascii="Times New Roman" w:hAnsi="Times New Roman" w:cs="Times New Roman" w:hint="eastAsia"/>
                <w:color w:val="auto"/>
              </w:rPr>
              <w:t>S</w:t>
            </w:r>
            <w:r w:rsidRPr="00E309AB">
              <w:rPr>
                <w:rStyle w:val="revised"/>
                <w:rFonts w:ascii="Times New Roman" w:hAnsi="Times New Roman" w:cs="Times New Roman"/>
                <w:color w:val="auto"/>
              </w:rPr>
              <w:t>cenario</w:t>
            </w:r>
          </w:p>
          <w:p w14:paraId="22AAE242" w14:textId="6858954F" w:rsidR="00A37246" w:rsidRPr="00E309AB" w:rsidRDefault="00A37246" w:rsidP="00AA63CD">
            <w:pPr>
              <w:pStyle w:val="Table"/>
              <w:spacing w:after="100" w:afterAutospacing="1" w:line="360" w:lineRule="auto"/>
              <w:jc w:val="left"/>
              <w:rPr>
                <w:rStyle w:val="revised"/>
                <w:rFonts w:ascii="Times New Roman" w:hAnsi="Times New Roman" w:cs="Times New Roman"/>
                <w:color w:val="auto"/>
              </w:rPr>
            </w:pPr>
            <w:r>
              <w:rPr>
                <w:rStyle w:val="revised"/>
                <w:rFonts w:ascii="Times New Roman" w:hAnsi="Times New Roman" w:cs="Times New Roman" w:hint="eastAsia"/>
                <w:color w:val="auto"/>
              </w:rPr>
              <w:t>Dimension</w:t>
            </w:r>
          </w:p>
        </w:tc>
        <w:tc>
          <w:tcPr>
            <w:tcW w:w="1714" w:type="dxa"/>
            <w:tcBorders>
              <w:top w:val="single" w:sz="4" w:space="0" w:color="auto"/>
              <w:bottom w:val="single" w:sz="4" w:space="0" w:color="auto"/>
            </w:tcBorders>
          </w:tcPr>
          <w:p w14:paraId="10B6BBB8" w14:textId="177BDDDC" w:rsidR="005F2683" w:rsidRPr="00E309AB" w:rsidRDefault="005F2683" w:rsidP="00AA63CD">
            <w:pPr>
              <w:spacing w:after="100" w:afterAutospacing="1" w:line="360" w:lineRule="auto"/>
              <w:rPr>
                <w:rStyle w:val="revised"/>
                <w:rFonts w:ascii="Times New Roman" w:hAnsi="Times New Roman" w:cs="Times New Roman"/>
                <w:color w:val="auto"/>
              </w:rPr>
            </w:pPr>
            <w:r w:rsidRPr="005951B5">
              <w:rPr>
                <w:rStyle w:val="revised"/>
                <w:rFonts w:ascii="Times New Roman" w:hAnsi="Times New Roman" w:cs="Times New Roman"/>
                <w:color w:val="auto"/>
              </w:rPr>
              <w:t>Mild lockdown</w:t>
            </w:r>
          </w:p>
        </w:tc>
        <w:tc>
          <w:tcPr>
            <w:tcW w:w="2040" w:type="dxa"/>
            <w:tcBorders>
              <w:top w:val="single" w:sz="4" w:space="0" w:color="auto"/>
              <w:bottom w:val="single" w:sz="4" w:space="0" w:color="auto"/>
            </w:tcBorders>
          </w:tcPr>
          <w:p w14:paraId="4D4C4F18" w14:textId="587C8E06" w:rsidR="005F2683" w:rsidRPr="00E309AB" w:rsidRDefault="005F2683" w:rsidP="00AA63CD">
            <w:pPr>
              <w:spacing w:after="100" w:afterAutospacing="1" w:line="360" w:lineRule="auto"/>
              <w:rPr>
                <w:rStyle w:val="revised"/>
                <w:rFonts w:ascii="Times New Roman" w:hAnsi="Times New Roman" w:cs="Times New Roman"/>
                <w:color w:val="auto"/>
              </w:rPr>
            </w:pPr>
            <w:r w:rsidRPr="00E309AB">
              <w:rPr>
                <w:rStyle w:val="revised"/>
                <w:rFonts w:ascii="Times New Roman" w:hAnsi="Times New Roman" w:cs="Times New Roman" w:hint="eastAsia"/>
                <w:color w:val="auto"/>
              </w:rPr>
              <w:t>D</w:t>
            </w:r>
            <w:r w:rsidRPr="00E309AB">
              <w:rPr>
                <w:rStyle w:val="revised"/>
                <w:rFonts w:ascii="Times New Roman" w:hAnsi="Times New Roman" w:cs="Times New Roman"/>
                <w:color w:val="auto"/>
              </w:rPr>
              <w:t>efault lockdown</w:t>
            </w:r>
          </w:p>
        </w:tc>
        <w:tc>
          <w:tcPr>
            <w:tcW w:w="2040" w:type="dxa"/>
            <w:tcBorders>
              <w:top w:val="single" w:sz="4" w:space="0" w:color="auto"/>
              <w:bottom w:val="single" w:sz="4" w:space="0" w:color="auto"/>
            </w:tcBorders>
          </w:tcPr>
          <w:p w14:paraId="03832FFA" w14:textId="07BA8300" w:rsidR="005F2683" w:rsidRDefault="005F2683" w:rsidP="00AA63CD">
            <w:pPr>
              <w:spacing w:after="100" w:afterAutospacing="1" w:line="360" w:lineRule="auto"/>
              <w:rPr>
                <w:rStyle w:val="revised"/>
                <w:rFonts w:ascii="Times New Roman" w:hAnsi="Times New Roman" w:cs="Times New Roman"/>
                <w:color w:val="auto"/>
              </w:rPr>
            </w:pPr>
            <w:r w:rsidRPr="00E309AB">
              <w:rPr>
                <w:rStyle w:val="revised"/>
                <w:rFonts w:ascii="Times New Roman" w:hAnsi="Times New Roman" w:cs="Times New Roman" w:hint="eastAsia"/>
                <w:color w:val="auto"/>
              </w:rPr>
              <w:t>S</w:t>
            </w:r>
            <w:r w:rsidRPr="00E309AB">
              <w:rPr>
                <w:rStyle w:val="revised"/>
                <w:rFonts w:ascii="Times New Roman" w:hAnsi="Times New Roman" w:cs="Times New Roman"/>
                <w:color w:val="auto"/>
              </w:rPr>
              <w:t>evere lockdown</w:t>
            </w:r>
          </w:p>
        </w:tc>
      </w:tr>
      <w:tr w:rsidR="005F2683" w14:paraId="5DB538AE" w14:textId="77777777" w:rsidTr="00E309AB">
        <w:trPr>
          <w:trHeight w:val="401"/>
        </w:trPr>
        <w:tc>
          <w:tcPr>
            <w:tcW w:w="2366" w:type="dxa"/>
            <w:tcBorders>
              <w:top w:val="single" w:sz="4" w:space="0" w:color="auto"/>
            </w:tcBorders>
          </w:tcPr>
          <w:p w14:paraId="1B741BF5" w14:textId="10CC24C1" w:rsidR="005F2683" w:rsidRDefault="005F2683" w:rsidP="00AA63CD">
            <w:pPr>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N</w:t>
            </w:r>
            <w:r>
              <w:rPr>
                <w:rStyle w:val="revised"/>
                <w:rFonts w:ascii="Times New Roman" w:hAnsi="Times New Roman" w:cs="Times New Roman"/>
                <w:color w:val="auto"/>
              </w:rPr>
              <w:t>umber of lockdowns</w:t>
            </w:r>
          </w:p>
        </w:tc>
        <w:tc>
          <w:tcPr>
            <w:tcW w:w="1714" w:type="dxa"/>
            <w:tcBorders>
              <w:top w:val="single" w:sz="4" w:space="0" w:color="auto"/>
            </w:tcBorders>
          </w:tcPr>
          <w:p w14:paraId="50613B94" w14:textId="354F8F05" w:rsidR="005F2683" w:rsidRDefault="007E479D" w:rsidP="00AA63CD">
            <w:pPr>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2</w:t>
            </w:r>
          </w:p>
        </w:tc>
        <w:tc>
          <w:tcPr>
            <w:tcW w:w="2040" w:type="dxa"/>
            <w:tcBorders>
              <w:top w:val="single" w:sz="4" w:space="0" w:color="auto"/>
            </w:tcBorders>
          </w:tcPr>
          <w:p w14:paraId="3D3771BC" w14:textId="482E907A" w:rsidR="005F2683" w:rsidRDefault="007E479D" w:rsidP="00AA63CD">
            <w:pPr>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4</w:t>
            </w:r>
          </w:p>
        </w:tc>
        <w:tc>
          <w:tcPr>
            <w:tcW w:w="2040" w:type="dxa"/>
            <w:tcBorders>
              <w:top w:val="single" w:sz="4" w:space="0" w:color="auto"/>
            </w:tcBorders>
          </w:tcPr>
          <w:p w14:paraId="13131264" w14:textId="3D69741C" w:rsidR="005F2683" w:rsidRDefault="007E479D" w:rsidP="00AA63CD">
            <w:pPr>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8</w:t>
            </w:r>
          </w:p>
        </w:tc>
      </w:tr>
      <w:tr w:rsidR="005F2683" w14:paraId="0E9BD51F" w14:textId="77777777" w:rsidTr="00E309AB">
        <w:trPr>
          <w:trHeight w:val="407"/>
        </w:trPr>
        <w:tc>
          <w:tcPr>
            <w:tcW w:w="2366" w:type="dxa"/>
          </w:tcPr>
          <w:p w14:paraId="0C4C4773" w14:textId="63EE4D01" w:rsidR="005F2683" w:rsidRDefault="005F2683" w:rsidP="00AA63CD">
            <w:pPr>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D</w:t>
            </w:r>
            <w:r>
              <w:rPr>
                <w:rStyle w:val="revised"/>
                <w:rFonts w:ascii="Times New Roman" w:hAnsi="Times New Roman" w:cs="Times New Roman"/>
                <w:color w:val="auto"/>
              </w:rPr>
              <w:t>uration</w:t>
            </w:r>
          </w:p>
        </w:tc>
        <w:tc>
          <w:tcPr>
            <w:tcW w:w="1714" w:type="dxa"/>
          </w:tcPr>
          <w:p w14:paraId="655DD141" w14:textId="5EC4747B" w:rsidR="005F2683" w:rsidRPr="00E309AB" w:rsidRDefault="007E479D" w:rsidP="00AA63CD">
            <w:pPr>
              <w:spacing w:after="100" w:afterAutospacing="1" w:line="360" w:lineRule="auto"/>
              <w:rPr>
                <w:rStyle w:val="revised"/>
                <w:rFonts w:ascii="Times New Roman" w:hAnsi="Times New Roman" w:cs="Times New Roman"/>
                <w:color w:val="auto"/>
                <w:vertAlign w:val="subscript"/>
              </w:rPr>
            </w:pPr>
            <w:proofErr w:type="spellStart"/>
            <w:r>
              <w:rPr>
                <w:rStyle w:val="revised"/>
                <w:rFonts w:ascii="Times New Roman" w:hAnsi="Times New Roman" w:cs="Times New Roman" w:hint="eastAsia"/>
                <w:color w:val="auto"/>
              </w:rPr>
              <w:t>T</w:t>
            </w:r>
            <w:r>
              <w:rPr>
                <w:rStyle w:val="revised"/>
                <w:rFonts w:ascii="Times New Roman" w:hAnsi="Times New Roman" w:cs="Times New Roman"/>
                <w:color w:val="auto"/>
                <w:vertAlign w:val="subscript"/>
              </w:rPr>
              <w:t>mild</w:t>
            </w:r>
            <w:proofErr w:type="spellEnd"/>
          </w:p>
        </w:tc>
        <w:tc>
          <w:tcPr>
            <w:tcW w:w="2040" w:type="dxa"/>
          </w:tcPr>
          <w:p w14:paraId="5B319995" w14:textId="415C7D5C" w:rsidR="005F2683" w:rsidRPr="00E309AB" w:rsidRDefault="007E479D" w:rsidP="00AA63CD">
            <w:pPr>
              <w:spacing w:after="100" w:afterAutospacing="1" w:line="360" w:lineRule="auto"/>
              <w:rPr>
                <w:rStyle w:val="revised"/>
                <w:rFonts w:ascii="Times New Roman" w:hAnsi="Times New Roman" w:cs="Times New Roman"/>
                <w:color w:val="auto"/>
                <w:vertAlign w:val="subscript"/>
              </w:rPr>
            </w:pPr>
            <w:proofErr w:type="spellStart"/>
            <w:r>
              <w:rPr>
                <w:rStyle w:val="revised"/>
                <w:rFonts w:ascii="Times New Roman" w:hAnsi="Times New Roman" w:cs="Times New Roman" w:hint="eastAsia"/>
                <w:color w:val="auto"/>
              </w:rPr>
              <w:t>T</w:t>
            </w:r>
            <w:r>
              <w:rPr>
                <w:rStyle w:val="revised"/>
                <w:rFonts w:ascii="Times New Roman" w:hAnsi="Times New Roman" w:cs="Times New Roman"/>
                <w:color w:val="auto"/>
                <w:vertAlign w:val="subscript"/>
              </w:rPr>
              <w:t>default</w:t>
            </w:r>
            <w:proofErr w:type="spellEnd"/>
          </w:p>
        </w:tc>
        <w:tc>
          <w:tcPr>
            <w:tcW w:w="2040" w:type="dxa"/>
          </w:tcPr>
          <w:p w14:paraId="18DDC358" w14:textId="7AFCFFA3" w:rsidR="005F2683" w:rsidRPr="00E309AB" w:rsidRDefault="007E479D" w:rsidP="00AA63CD">
            <w:pPr>
              <w:spacing w:after="100" w:afterAutospacing="1" w:line="360" w:lineRule="auto"/>
              <w:rPr>
                <w:rStyle w:val="revised"/>
                <w:rFonts w:ascii="Times New Roman" w:hAnsi="Times New Roman" w:cs="Times New Roman"/>
                <w:color w:val="auto"/>
                <w:vertAlign w:val="subscript"/>
              </w:rPr>
            </w:pPr>
            <w:proofErr w:type="spellStart"/>
            <w:r>
              <w:rPr>
                <w:rStyle w:val="revised"/>
                <w:rFonts w:ascii="Times New Roman" w:hAnsi="Times New Roman" w:cs="Times New Roman" w:hint="eastAsia"/>
                <w:color w:val="auto"/>
              </w:rPr>
              <w:t>T</w:t>
            </w:r>
            <w:r>
              <w:rPr>
                <w:rStyle w:val="revised"/>
                <w:rFonts w:ascii="Times New Roman" w:hAnsi="Times New Roman" w:cs="Times New Roman"/>
                <w:color w:val="auto"/>
                <w:vertAlign w:val="subscript"/>
              </w:rPr>
              <w:t>severe</w:t>
            </w:r>
            <w:proofErr w:type="spellEnd"/>
          </w:p>
        </w:tc>
      </w:tr>
      <w:tr w:rsidR="005F2683" w14:paraId="1A24533D" w14:textId="77777777" w:rsidTr="00E309AB">
        <w:trPr>
          <w:trHeight w:val="47"/>
        </w:trPr>
        <w:tc>
          <w:tcPr>
            <w:tcW w:w="2366" w:type="dxa"/>
            <w:tcBorders>
              <w:bottom w:val="single" w:sz="4" w:space="0" w:color="auto"/>
            </w:tcBorders>
          </w:tcPr>
          <w:p w14:paraId="0B4BCB0D" w14:textId="21C87F44" w:rsidR="005F2683" w:rsidRDefault="005F2683" w:rsidP="00AA63CD">
            <w:pPr>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S</w:t>
            </w:r>
            <w:r>
              <w:rPr>
                <w:rStyle w:val="revised"/>
                <w:rFonts w:ascii="Times New Roman" w:hAnsi="Times New Roman" w:cs="Times New Roman"/>
                <w:color w:val="auto"/>
              </w:rPr>
              <w:t>trictness</w:t>
            </w:r>
          </w:p>
        </w:tc>
        <w:tc>
          <w:tcPr>
            <w:tcW w:w="1714" w:type="dxa"/>
            <w:tcBorders>
              <w:bottom w:val="single" w:sz="4" w:space="0" w:color="auto"/>
            </w:tcBorders>
          </w:tcPr>
          <w:p w14:paraId="75B95B74" w14:textId="7D96C9EB" w:rsidR="005F2683" w:rsidRPr="00E309AB" w:rsidRDefault="007E479D" w:rsidP="00AA63CD">
            <w:pPr>
              <w:spacing w:after="100" w:afterAutospacing="1" w:line="360" w:lineRule="auto"/>
              <w:rPr>
                <w:rStyle w:val="revised"/>
                <w:rFonts w:ascii="Times New Roman" w:hAnsi="Times New Roman" w:cs="Times New Roman"/>
                <w:color w:val="auto"/>
                <w:vertAlign w:val="subscript"/>
              </w:rPr>
            </w:pPr>
            <w:proofErr w:type="spellStart"/>
            <w:r>
              <w:rPr>
                <w:rStyle w:val="revised"/>
                <w:rFonts w:ascii="Times New Roman" w:hAnsi="Times New Roman" w:cs="Times New Roman" w:hint="eastAsia"/>
                <w:color w:val="auto"/>
              </w:rPr>
              <w:t>S</w:t>
            </w:r>
            <w:r>
              <w:rPr>
                <w:rStyle w:val="revised"/>
                <w:rFonts w:ascii="Times New Roman" w:hAnsi="Times New Roman" w:cs="Times New Roman"/>
                <w:color w:val="auto"/>
                <w:vertAlign w:val="subscript"/>
              </w:rPr>
              <w:t>mild</w:t>
            </w:r>
            <w:proofErr w:type="spellEnd"/>
          </w:p>
        </w:tc>
        <w:tc>
          <w:tcPr>
            <w:tcW w:w="2040" w:type="dxa"/>
            <w:tcBorders>
              <w:bottom w:val="single" w:sz="4" w:space="0" w:color="auto"/>
            </w:tcBorders>
          </w:tcPr>
          <w:p w14:paraId="62F67802" w14:textId="0DB96CF9" w:rsidR="005F2683" w:rsidRPr="00E309AB" w:rsidRDefault="007E479D" w:rsidP="00AA63CD">
            <w:pPr>
              <w:spacing w:after="100" w:afterAutospacing="1" w:line="360" w:lineRule="auto"/>
              <w:rPr>
                <w:rStyle w:val="revised"/>
                <w:rFonts w:ascii="Times New Roman" w:hAnsi="Times New Roman" w:cs="Times New Roman"/>
                <w:color w:val="auto"/>
                <w:vertAlign w:val="subscript"/>
              </w:rPr>
            </w:pPr>
            <w:proofErr w:type="spellStart"/>
            <w:r>
              <w:rPr>
                <w:rStyle w:val="revised"/>
                <w:rFonts w:ascii="Times New Roman" w:hAnsi="Times New Roman" w:cs="Times New Roman" w:hint="eastAsia"/>
                <w:color w:val="auto"/>
              </w:rPr>
              <w:t>S</w:t>
            </w:r>
            <w:r>
              <w:rPr>
                <w:rStyle w:val="revised"/>
                <w:rFonts w:ascii="Times New Roman" w:hAnsi="Times New Roman" w:cs="Times New Roman"/>
                <w:color w:val="auto"/>
                <w:vertAlign w:val="subscript"/>
              </w:rPr>
              <w:t>default</w:t>
            </w:r>
            <w:proofErr w:type="spellEnd"/>
          </w:p>
        </w:tc>
        <w:tc>
          <w:tcPr>
            <w:tcW w:w="2040" w:type="dxa"/>
            <w:tcBorders>
              <w:bottom w:val="single" w:sz="4" w:space="0" w:color="auto"/>
            </w:tcBorders>
          </w:tcPr>
          <w:p w14:paraId="2466E322" w14:textId="3C39A765" w:rsidR="005F2683" w:rsidRPr="00E309AB" w:rsidRDefault="007E479D" w:rsidP="00AA63CD">
            <w:pPr>
              <w:spacing w:after="100" w:afterAutospacing="1" w:line="360" w:lineRule="auto"/>
              <w:rPr>
                <w:rStyle w:val="revised"/>
                <w:rFonts w:ascii="Times New Roman" w:hAnsi="Times New Roman" w:cs="Times New Roman"/>
                <w:color w:val="auto"/>
                <w:vertAlign w:val="subscript"/>
              </w:rPr>
            </w:pPr>
            <w:proofErr w:type="spellStart"/>
            <w:r>
              <w:rPr>
                <w:rStyle w:val="revised"/>
                <w:rFonts w:ascii="Times New Roman" w:hAnsi="Times New Roman" w:cs="Times New Roman" w:hint="eastAsia"/>
                <w:color w:val="auto"/>
              </w:rPr>
              <w:t>S</w:t>
            </w:r>
            <w:r>
              <w:rPr>
                <w:rStyle w:val="revised"/>
                <w:rFonts w:ascii="Times New Roman" w:hAnsi="Times New Roman" w:cs="Times New Roman"/>
                <w:color w:val="auto"/>
                <w:vertAlign w:val="subscript"/>
              </w:rPr>
              <w:t>severe</w:t>
            </w:r>
            <w:proofErr w:type="spellEnd"/>
          </w:p>
        </w:tc>
      </w:tr>
    </w:tbl>
    <w:p w14:paraId="2D516990" w14:textId="1CB6AB21" w:rsidR="005F2683" w:rsidRPr="00E309AB" w:rsidRDefault="00AB5229" w:rsidP="00AA63CD">
      <w:pPr>
        <w:spacing w:after="100" w:afterAutospacing="1" w:line="360" w:lineRule="auto"/>
        <w:rPr>
          <w:rStyle w:val="revised"/>
          <w:rFonts w:ascii="Times New Roman" w:hAnsi="Times New Roman" w:cs="Times New Roman"/>
          <w:i/>
          <w:iCs/>
          <w:color w:val="auto"/>
        </w:rPr>
      </w:pPr>
      <w:r w:rsidRPr="00E309AB">
        <w:rPr>
          <w:rStyle w:val="revised"/>
          <w:rFonts w:ascii="Times New Roman" w:hAnsi="Times New Roman" w:cs="Times New Roman"/>
          <w:i/>
          <w:iCs/>
          <w:color w:val="auto"/>
        </w:rPr>
        <w:t xml:space="preserve">Note: please refer all the variables to </w:t>
      </w:r>
      <w:r w:rsidRPr="00E309AB">
        <w:rPr>
          <w:rStyle w:val="revised"/>
          <w:rFonts w:ascii="Times New Roman" w:hAnsi="Times New Roman" w:cs="Times New Roman"/>
          <w:i/>
          <w:iCs/>
          <w:color w:val="auto"/>
        </w:rPr>
        <w:fldChar w:fldCharType="begin"/>
      </w:r>
      <w:r w:rsidRPr="00E309AB">
        <w:rPr>
          <w:rStyle w:val="revised"/>
          <w:rFonts w:ascii="Times New Roman" w:hAnsi="Times New Roman" w:cs="Times New Roman"/>
          <w:i/>
          <w:iCs/>
          <w:color w:val="auto"/>
        </w:rPr>
        <w:instrText xml:space="preserve"> REF _Ref51145054 \h </w:instrText>
      </w:r>
      <w:r w:rsidR="00B26EE8">
        <w:rPr>
          <w:rStyle w:val="revised"/>
          <w:rFonts w:ascii="Times New Roman" w:hAnsi="Times New Roman" w:cs="Times New Roman"/>
          <w:i/>
          <w:iCs/>
          <w:color w:val="auto"/>
        </w:rPr>
        <w:instrText xml:space="preserve"> \* MERGEFORMAT </w:instrText>
      </w:r>
      <w:r w:rsidRPr="00E309AB">
        <w:rPr>
          <w:rStyle w:val="revised"/>
          <w:rFonts w:ascii="Times New Roman" w:hAnsi="Times New Roman" w:cs="Times New Roman"/>
          <w:i/>
          <w:iCs/>
          <w:color w:val="auto"/>
        </w:rPr>
      </w:r>
      <w:r w:rsidRPr="00E309AB">
        <w:rPr>
          <w:rStyle w:val="revised"/>
          <w:rFonts w:ascii="Times New Roman" w:hAnsi="Times New Roman" w:cs="Times New Roman"/>
          <w:i/>
          <w:iCs/>
          <w:color w:val="auto"/>
        </w:rPr>
        <w:fldChar w:fldCharType="separate"/>
      </w:r>
      <w:r w:rsidR="00E309AB" w:rsidRPr="00CD3D2B">
        <w:rPr>
          <w:i/>
          <w:iCs/>
        </w:rPr>
        <w:t xml:space="preserve">Table S </w:t>
      </w:r>
      <w:r w:rsidR="00E309AB" w:rsidRPr="00CD3D2B">
        <w:rPr>
          <w:i/>
          <w:iCs/>
          <w:noProof/>
        </w:rPr>
        <w:t>2</w:t>
      </w:r>
      <w:r w:rsidRPr="00E309AB">
        <w:rPr>
          <w:rStyle w:val="revised"/>
          <w:rFonts w:ascii="Times New Roman" w:hAnsi="Times New Roman" w:cs="Times New Roman"/>
          <w:i/>
          <w:iCs/>
          <w:color w:val="auto"/>
        </w:rPr>
        <w:fldChar w:fldCharType="end"/>
      </w:r>
      <w:r w:rsidRPr="00E309AB">
        <w:rPr>
          <w:rStyle w:val="revised"/>
          <w:rFonts w:ascii="Times New Roman" w:hAnsi="Times New Roman" w:cs="Times New Roman"/>
          <w:i/>
          <w:iCs/>
          <w:color w:val="auto"/>
        </w:rPr>
        <w:t xml:space="preserve"> and </w:t>
      </w:r>
      <w:r w:rsidRPr="00E309AB">
        <w:rPr>
          <w:rStyle w:val="revised"/>
          <w:rFonts w:ascii="Times New Roman" w:hAnsi="Times New Roman" w:cs="Times New Roman"/>
          <w:i/>
          <w:iCs/>
          <w:color w:val="auto"/>
        </w:rPr>
        <w:fldChar w:fldCharType="begin"/>
      </w:r>
      <w:r w:rsidRPr="00E309AB">
        <w:rPr>
          <w:rStyle w:val="revised"/>
          <w:rFonts w:ascii="Times New Roman" w:hAnsi="Times New Roman" w:cs="Times New Roman"/>
          <w:i/>
          <w:iCs/>
          <w:color w:val="auto"/>
        </w:rPr>
        <w:instrText xml:space="preserve"> REF _Ref51145446 \h </w:instrText>
      </w:r>
      <w:r w:rsidR="00B26EE8">
        <w:rPr>
          <w:rStyle w:val="revised"/>
          <w:rFonts w:ascii="Times New Roman" w:hAnsi="Times New Roman" w:cs="Times New Roman"/>
          <w:i/>
          <w:iCs/>
          <w:color w:val="auto"/>
        </w:rPr>
        <w:instrText xml:space="preserve"> \* MERGEFORMAT </w:instrText>
      </w:r>
      <w:r w:rsidRPr="00E309AB">
        <w:rPr>
          <w:rStyle w:val="revised"/>
          <w:rFonts w:ascii="Times New Roman" w:hAnsi="Times New Roman" w:cs="Times New Roman"/>
          <w:i/>
          <w:iCs/>
          <w:color w:val="auto"/>
        </w:rPr>
      </w:r>
      <w:r w:rsidRPr="00E309AB">
        <w:rPr>
          <w:rStyle w:val="revised"/>
          <w:rFonts w:ascii="Times New Roman" w:hAnsi="Times New Roman" w:cs="Times New Roman"/>
          <w:i/>
          <w:iCs/>
          <w:color w:val="auto"/>
        </w:rPr>
        <w:fldChar w:fldCharType="separate"/>
      </w:r>
      <w:r w:rsidR="00E309AB" w:rsidRPr="00CD3D2B">
        <w:rPr>
          <w:i/>
          <w:iCs/>
        </w:rPr>
        <w:t xml:space="preserve">Table S </w:t>
      </w:r>
      <w:r w:rsidR="00E309AB" w:rsidRPr="00CD3D2B">
        <w:rPr>
          <w:i/>
          <w:iCs/>
          <w:noProof/>
        </w:rPr>
        <w:t>4</w:t>
      </w:r>
      <w:r w:rsidRPr="00E309AB">
        <w:rPr>
          <w:rStyle w:val="revised"/>
          <w:rFonts w:ascii="Times New Roman" w:hAnsi="Times New Roman" w:cs="Times New Roman"/>
          <w:i/>
          <w:iCs/>
          <w:color w:val="auto"/>
        </w:rPr>
        <w:fldChar w:fldCharType="end"/>
      </w:r>
      <w:r w:rsidR="00CA5DCE">
        <w:rPr>
          <w:rStyle w:val="revised"/>
          <w:rFonts w:ascii="Times New Roman" w:hAnsi="Times New Roman" w:cs="Times New Roman"/>
          <w:i/>
          <w:iCs/>
          <w:color w:val="auto"/>
        </w:rPr>
        <w:t xml:space="preserve"> </w:t>
      </w:r>
      <w:r w:rsidR="00CA5DCE">
        <w:rPr>
          <w:rStyle w:val="revised"/>
          <w:rFonts w:ascii="Times New Roman" w:hAnsi="Times New Roman" w:cs="Times New Roman" w:hint="eastAsia"/>
          <w:i/>
          <w:iCs/>
          <w:color w:val="auto"/>
        </w:rPr>
        <w:t>below</w:t>
      </w:r>
      <w:r w:rsidRPr="00E309AB">
        <w:rPr>
          <w:rStyle w:val="revised"/>
          <w:rFonts w:ascii="Times New Roman" w:hAnsi="Times New Roman" w:cs="Times New Roman"/>
          <w:i/>
          <w:iCs/>
          <w:color w:val="auto"/>
        </w:rPr>
        <w:t>.</w:t>
      </w:r>
    </w:p>
    <w:p w14:paraId="7C39C0C7" w14:textId="1EE71A44" w:rsidR="00A35EEE" w:rsidRPr="00E309AB" w:rsidRDefault="00A35EEE" w:rsidP="00AA63CD">
      <w:pPr>
        <w:pStyle w:val="af7"/>
        <w:numPr>
          <w:ilvl w:val="3"/>
          <w:numId w:val="47"/>
        </w:numPr>
        <w:spacing w:after="100" w:afterAutospacing="1" w:line="360" w:lineRule="auto"/>
        <w:ind w:firstLine="0"/>
        <w:rPr>
          <w:rStyle w:val="revised"/>
          <w:rFonts w:ascii="Times New Roman" w:hAnsi="Times New Roman" w:cs="Times New Roman"/>
          <w:color w:val="auto"/>
        </w:rPr>
      </w:pPr>
      <w:r w:rsidRPr="005951B5">
        <w:rPr>
          <w:rStyle w:val="revised"/>
          <w:rFonts w:ascii="Times New Roman" w:hAnsi="Times New Roman" w:cs="Times New Roman"/>
          <w:color w:val="auto"/>
          <w:sz w:val="21"/>
        </w:rPr>
        <w:t xml:space="preserve">Lockdown </w:t>
      </w:r>
      <w:r w:rsidR="00AB5229" w:rsidRPr="00E309AB">
        <w:rPr>
          <w:rStyle w:val="revised"/>
          <w:rFonts w:ascii="Times New Roman" w:hAnsi="Times New Roman" w:cs="Times New Roman"/>
          <w:color w:val="auto"/>
          <w:sz w:val="21"/>
        </w:rPr>
        <w:t xml:space="preserve">duration </w:t>
      </w:r>
      <w:r w:rsidRPr="00E309AB">
        <w:rPr>
          <w:rStyle w:val="revised"/>
          <w:rFonts w:ascii="Times New Roman" w:hAnsi="Times New Roman" w:cs="Times New Roman"/>
          <w:color w:val="auto"/>
          <w:sz w:val="21"/>
        </w:rPr>
        <w:t>(T)</w:t>
      </w:r>
    </w:p>
    <w:p w14:paraId="7C39C0C8" w14:textId="6352216E" w:rsidR="00A35EEE" w:rsidRPr="00214EFC" w:rsidRDefault="00C478D6" w:rsidP="00AA63CD">
      <w:pPr>
        <w:spacing w:after="100" w:afterAutospacing="1" w:line="360" w:lineRule="auto"/>
        <w:rPr>
          <w:rStyle w:val="revised"/>
          <w:rFonts w:ascii="Times New Roman" w:hAnsi="Times New Roman" w:cs="Times New Roman"/>
          <w:color w:val="auto"/>
        </w:rPr>
      </w:pPr>
      <w:proofErr w:type="spellStart"/>
      <w:r>
        <w:t>Kissler</w:t>
      </w:r>
      <w:proofErr w:type="spellEnd"/>
      <w:r>
        <w:t>, et al.</w:t>
      </w:r>
      <w:r>
        <w:fldChar w:fldCharType="begin"/>
      </w:r>
      <w:r>
        <w:instrText xml:space="preserve"> ADDIN ZOTERO_ITEM CSL_CITATION {"citationID":"DfahHipm","properties":{"formattedCitation":"\\super 19\\nosupersub{}","plainCitation":"19","noteIndex":0},"citationItems":[{"id":1150,"uris":["http://zotero.org/users/4340498/items/3XMQBPGU"],"uri":["http://zotero.org/users/4340498/items/3XMQBPGU"],"itemData":{"id":1150,"type":"article-journal","abstract":"What happens next?\nFour months into the severe acute respiratory syndrome–coronavirus 2 (SARS-CoV-2) outbreak, we still do not know enough about postrecovery immune protection and environmental and seasonal influences on transmission to predict transmission dynamics accurately. However, we do know that humans are seasonally afflicted by other, less severe coronaviruses. Kissler et al. used existing data to build a deterministic model of multiyear interactions between existing coronaviruses, with a focus on the United States, and used this to project the potential epidemic dynamics and pressures on critical care capacity over the next 5 years. The long-term dynamics of SARS-CoV-2 strongly depends on immune responses and immune cross-reactions between the coronaviruses, as well as the timing of introduction of the new virus into a population. One scenario is that a resurgence in SARS-CoV-2 could occur as far into the future as 2025.\nScience, this issue p. 860\nIt is urgent to understand the future of severe acute respiratory syndrome–coronavirus 2 (SARS-CoV-2) transmission. We used estimates of seasonality, immunity, and cross-immunity for human coronavirus OC43 (HCoV-OC43) and HCoV-HKU1 using time-series data from the United States to inform a model of SARS-CoV-2 transmission. We projected that recurrent wintertime outbreaks of SARS-CoV-2 will probably occur after the initial, most severe pandemic wave. Absent other interventions, a key metric for the success of social distancing is whether critical care capacities are exceeded. To avoid this, prolonged or intermittent social distancing may be necessary into 2022. Additional interventions, including expanded critical care capacity and an effective therapeutic, would improve the success of intermittent distancing and hasten the acquisition of herd immunity. Longitudinal serological studies are urgently needed to determine the extent and duration of immunity to SARS-CoV-2. Even in the event of apparent elimination, SARS-CoV-2 surveillance should be maintained because a resurgence in contagion could be possible as late as 2024.\nIf immunity wanes, SARS-CoV-2 could cause recurrent wintertime peaks and require sustained surveillance and intermittent social distancing.\nIf immunity wanes, SARS-CoV-2 could cause recurrent wintertime peaks and require sustained surveillance and intermittent social distancing.","container-title":"Science","DOI":"10.1126/science.abb5793","ISSN":"0036-8075, 1095-9203","issue":"6493","language":"en","note":"publisher: American Association for the Advancement of Science\nsection: Report\nPMID: 32291278","page":"860-868","source":"science.sciencemag.org","title":"Projecting the transmission dynamics of SARS-CoV-2 through the postpandemic period","volume":"368","author":[{"family":"Kissler","given":"Stephen M."},{"family":"Tedijanto","given":"Christine"},{"family":"Goldstein","given":"Edward"},{"family":"Grad","given":"Yonatan H."},{"family":"Lipsitch","given":"Marc"}],"issued":{"date-parts":[["2020",5,22]]}}}],"schema":"https://github.com/citation-style-language/schema/raw/master/csl-citation.json"} </w:instrText>
      </w:r>
      <w:r>
        <w:fldChar w:fldCharType="separate"/>
      </w:r>
      <w:r w:rsidRPr="00C478D6">
        <w:rPr>
          <w:kern w:val="0"/>
          <w:szCs w:val="24"/>
          <w:vertAlign w:val="superscript"/>
        </w:rPr>
        <w:t>19</w:t>
      </w:r>
      <w:r>
        <w:fldChar w:fldCharType="end"/>
      </w:r>
      <w:r>
        <w:t xml:space="preserve"> </w:t>
      </w:r>
      <w:r w:rsidR="00A35EEE" w:rsidRPr="00214EFC">
        <w:rPr>
          <w:rStyle w:val="revised"/>
          <w:rFonts w:ascii="Times New Roman" w:hAnsi="Times New Roman" w:cs="Times New Roman"/>
          <w:color w:val="auto"/>
        </w:rPr>
        <w:t>projected the dynamic spread of the pandemic over the coming years and defined intermittent social distancing scenarios under restriction of critical care capacities. With reference to their results, we define three scenarios for “lockdown periods”</w:t>
      </w:r>
      <w:r w:rsidR="006D7305" w:rsidRPr="00214EFC">
        <w:rPr>
          <w:rStyle w:val="revised"/>
          <w:rFonts w:ascii="Times New Roman" w:hAnsi="Times New Roman" w:cs="Times New Roman"/>
          <w:color w:val="auto"/>
        </w:rPr>
        <w:t xml:space="preserve"> (see </w:t>
      </w:r>
      <w:r w:rsidR="006D7305" w:rsidRPr="00214EFC">
        <w:rPr>
          <w:rStyle w:val="revised"/>
          <w:rFonts w:ascii="Times New Roman" w:hAnsi="Times New Roman" w:cs="Times New Roman"/>
          <w:color w:val="auto"/>
        </w:rPr>
        <w:fldChar w:fldCharType="begin"/>
      </w:r>
      <w:r w:rsidR="006D7305" w:rsidRPr="00214EFC">
        <w:rPr>
          <w:rStyle w:val="revised"/>
          <w:rFonts w:ascii="Times New Roman" w:hAnsi="Times New Roman" w:cs="Times New Roman"/>
          <w:color w:val="auto"/>
        </w:rPr>
        <w:instrText xml:space="preserve"> REF _Ref51145054 \h </w:instrText>
      </w:r>
      <w:r w:rsidR="00332EE5" w:rsidRPr="00214EFC">
        <w:rPr>
          <w:rStyle w:val="revised"/>
          <w:rFonts w:ascii="Times New Roman" w:hAnsi="Times New Roman" w:cs="Times New Roman"/>
          <w:color w:val="auto"/>
        </w:rPr>
        <w:instrText xml:space="preserve"> \* MERGEFORMAT </w:instrText>
      </w:r>
      <w:r w:rsidR="006D7305" w:rsidRPr="00214EFC">
        <w:rPr>
          <w:rStyle w:val="revised"/>
          <w:rFonts w:ascii="Times New Roman" w:hAnsi="Times New Roman" w:cs="Times New Roman"/>
          <w:color w:val="auto"/>
        </w:rPr>
      </w:r>
      <w:r w:rsidR="006D7305" w:rsidRPr="00214EFC">
        <w:rPr>
          <w:rStyle w:val="revised"/>
          <w:rFonts w:ascii="Times New Roman" w:hAnsi="Times New Roman" w:cs="Times New Roman"/>
          <w:color w:val="auto"/>
        </w:rPr>
        <w:fldChar w:fldCharType="separate"/>
      </w:r>
      <w:r w:rsidR="00EF0555" w:rsidRPr="00214EFC">
        <w:t xml:space="preserve">Table S </w:t>
      </w:r>
      <w:r w:rsidR="00EF0555">
        <w:rPr>
          <w:noProof/>
        </w:rPr>
        <w:t>2</w:t>
      </w:r>
      <w:r w:rsidR="006D7305" w:rsidRPr="00214EFC">
        <w:rPr>
          <w:rStyle w:val="revised"/>
          <w:rFonts w:ascii="Times New Roman" w:hAnsi="Times New Roman" w:cs="Times New Roman"/>
          <w:color w:val="auto"/>
        </w:rPr>
        <w:fldChar w:fldCharType="end"/>
      </w:r>
      <w:r w:rsidR="006D7305" w:rsidRPr="00214EFC">
        <w:rPr>
          <w:rStyle w:val="revised"/>
          <w:rFonts w:ascii="Times New Roman" w:hAnsi="Times New Roman" w:cs="Times New Roman"/>
          <w:color w:val="auto"/>
        </w:rPr>
        <w:t>)</w:t>
      </w:r>
      <w:r w:rsidR="00A35EEE" w:rsidRPr="00214EFC">
        <w:rPr>
          <w:rStyle w:val="revised"/>
          <w:rFonts w:ascii="Times New Roman" w:hAnsi="Times New Roman" w:cs="Times New Roman"/>
          <w:color w:val="auto"/>
        </w:rPr>
        <w:t xml:space="preserve">. Scenario </w:t>
      </w:r>
      <w:r w:rsidR="000F54A7">
        <w:rPr>
          <w:rStyle w:val="revised"/>
          <w:rFonts w:ascii="Times New Roman" w:hAnsi="Times New Roman" w:cs="Times New Roman"/>
          <w:color w:val="auto"/>
        </w:rPr>
        <w:t>“</w:t>
      </w:r>
      <w:proofErr w:type="spellStart"/>
      <w:r w:rsidR="000F54A7">
        <w:rPr>
          <w:rStyle w:val="revised"/>
          <w:rFonts w:ascii="Times New Roman" w:hAnsi="Times New Roman" w:cs="Times New Roman"/>
          <w:color w:val="auto"/>
        </w:rPr>
        <w:t>T</w:t>
      </w:r>
      <w:r w:rsidR="000F54A7">
        <w:rPr>
          <w:rStyle w:val="revised"/>
          <w:rFonts w:ascii="Times New Roman" w:hAnsi="Times New Roman" w:cs="Times New Roman"/>
          <w:color w:val="auto"/>
          <w:vertAlign w:val="subscript"/>
        </w:rPr>
        <w:t>default</w:t>
      </w:r>
      <w:proofErr w:type="spellEnd"/>
      <w:r w:rsidR="00A35EEE" w:rsidRPr="00214EFC">
        <w:rPr>
          <w:rStyle w:val="revised"/>
          <w:rFonts w:ascii="Times New Roman" w:hAnsi="Times New Roman" w:cs="Times New Roman"/>
          <w:color w:val="auto"/>
        </w:rPr>
        <w:t>” is accord with the intermittent social distancing scenario defined by</w:t>
      </w:r>
      <w:r w:rsidRPr="00C478D6">
        <w:t xml:space="preserve"> </w:t>
      </w:r>
      <w:proofErr w:type="spellStart"/>
      <w:r>
        <w:t>Kissler</w:t>
      </w:r>
      <w:proofErr w:type="spellEnd"/>
      <w:r>
        <w:t>, et al.</w:t>
      </w:r>
      <w:r>
        <w:fldChar w:fldCharType="begin"/>
      </w:r>
      <w:r>
        <w:instrText xml:space="preserve"> ADDIN ZOTERO_ITEM CSL_CITATION {"citationID":"N1w9ANXZ","properties":{"formattedCitation":"\\super 19\\nosupersub{}","plainCitation":"19","noteIndex":0},"citationItems":[{"id":1150,"uris":["http://zotero.org/users/4340498/items/3XMQBPGU"],"uri":["http://zotero.org/users/4340498/items/3XMQBPGU"],"itemData":{"id":1150,"type":"article-journal","abstract":"What happens next?\nFour months into the severe acute respiratory syndrome–coronavirus 2 (SARS-CoV-2) outbreak, we still do not know enough about postrecovery immune protection and environmental and seasonal influences on transmission to predict transmission dynamics accurately. However, we do know that humans are seasonally afflicted by other, less severe coronaviruses. Kissler et al. used existing data to build a deterministic model of multiyear interactions between existing coronaviruses, with a focus on the United States, and used this to project the potential epidemic dynamics and pressures on critical care capacity over the next 5 years. The long-term dynamics of SARS-CoV-2 strongly depends on immune responses and immune cross-reactions between the coronaviruses, as well as the timing of introduction of the new virus into a population. One scenario is that a resurgence in SARS-CoV-2 could occur as far into the future as 2025.\nScience, this issue p. 860\nIt is urgent to understand the future of severe acute respiratory syndrome–coronavirus 2 (SARS-CoV-2) transmission. We used estimates of seasonality, immunity, and cross-immunity for human coronavirus OC43 (HCoV-OC43) and HCoV-HKU1 using time-series data from the United States to inform a model of SARS-CoV-2 transmission. We projected that recurrent wintertime outbreaks of SARS-CoV-2 will probably occur after the initial, most severe pandemic wave. Absent other interventions, a key metric for the success of social distancing is whether critical care capacities are exceeded. To avoid this, prolonged or intermittent social distancing may be necessary into 2022. Additional interventions, including expanded critical care capacity and an effective therapeutic, would improve the success of intermittent distancing and hasten the acquisition of herd immunity. Longitudinal serological studies are urgently needed to determine the extent and duration of immunity to SARS-CoV-2. Even in the event of apparent elimination, SARS-CoV-2 surveillance should be maintained because a resurgence in contagion could be possible as late as 2024.\nIf immunity wanes, SARS-CoV-2 could cause recurrent wintertime peaks and require sustained surveillance and intermittent social distancing.\nIf immunity wanes, SARS-CoV-2 could cause recurrent wintertime peaks and require sustained surveillance and intermittent social distancing.","container-title":"Science","DOI":"10.1126/science.abb5793","ISSN":"0036-8075, 1095-9203","issue":"6493","language":"en","note":"publisher: American Association for the Advancement of Science\nsection: Report\nPMID: 32291278","page":"860-868","source":"science.sciencemag.org","title":"Projecting the transmission dynamics of SARS-CoV-2 through the postpandemic period","volume":"368","author":[{"family":"Kissler","given":"Stephen M."},{"family":"Tedijanto","given":"Christine"},{"family":"Goldstein","given":"Edward"},{"family":"Grad","given":"Yonatan H."},{"family":"Lipsitch","given":"Marc"}],"issued":{"date-parts":[["2020",5,22]]}}}],"schema":"https://github.com/citation-style-language/schema/raw/master/csl-citation.json"} </w:instrText>
      </w:r>
      <w:r>
        <w:fldChar w:fldCharType="separate"/>
      </w:r>
      <w:r w:rsidRPr="00C478D6">
        <w:rPr>
          <w:kern w:val="0"/>
          <w:szCs w:val="24"/>
          <w:vertAlign w:val="superscript"/>
        </w:rPr>
        <w:t>19</w:t>
      </w:r>
      <w:r>
        <w:fldChar w:fldCharType="end"/>
      </w:r>
      <w:r w:rsidR="00A35EEE" w:rsidRPr="00214EFC">
        <w:rPr>
          <w:rStyle w:val="revised"/>
          <w:rFonts w:ascii="Times New Roman" w:hAnsi="Times New Roman" w:cs="Times New Roman"/>
          <w:color w:val="auto"/>
        </w:rPr>
        <w:t>, scenario “</w:t>
      </w:r>
      <w:proofErr w:type="spellStart"/>
      <w:r w:rsidR="000F54A7">
        <w:rPr>
          <w:rStyle w:val="revised"/>
          <w:rFonts w:ascii="Times New Roman" w:hAnsi="Times New Roman" w:cs="Times New Roman"/>
          <w:color w:val="auto"/>
        </w:rPr>
        <w:t>T</w:t>
      </w:r>
      <w:r w:rsidR="000F54A7">
        <w:rPr>
          <w:rStyle w:val="revised"/>
          <w:rFonts w:ascii="Times New Roman" w:hAnsi="Times New Roman" w:cs="Times New Roman"/>
          <w:color w:val="auto"/>
          <w:vertAlign w:val="subscript"/>
        </w:rPr>
        <w:t>severe</w:t>
      </w:r>
      <w:proofErr w:type="spellEnd"/>
      <w:r w:rsidR="00A35EEE" w:rsidRPr="00214EFC">
        <w:rPr>
          <w:rStyle w:val="revised"/>
          <w:rFonts w:ascii="Times New Roman" w:hAnsi="Times New Roman" w:cs="Times New Roman"/>
          <w:color w:val="auto"/>
        </w:rPr>
        <w:t>” has 10% longer time for each lockdown period while scenario “</w:t>
      </w:r>
      <w:proofErr w:type="spellStart"/>
      <w:r w:rsidR="000F54A7">
        <w:rPr>
          <w:rStyle w:val="revised"/>
          <w:rFonts w:ascii="Times New Roman" w:hAnsi="Times New Roman" w:cs="Times New Roman"/>
          <w:color w:val="auto"/>
        </w:rPr>
        <w:t>T</w:t>
      </w:r>
      <w:r w:rsidR="000F54A7">
        <w:rPr>
          <w:rStyle w:val="revised"/>
          <w:rFonts w:ascii="Times New Roman" w:hAnsi="Times New Roman" w:cs="Times New Roman"/>
          <w:color w:val="auto"/>
          <w:vertAlign w:val="subscript"/>
        </w:rPr>
        <w:t>mild</w:t>
      </w:r>
      <w:proofErr w:type="spellEnd"/>
      <w:r w:rsidR="000F54A7">
        <w:rPr>
          <w:rStyle w:val="revised"/>
          <w:rFonts w:ascii="Times New Roman" w:hAnsi="Times New Roman" w:cs="Times New Roman"/>
          <w:color w:val="auto"/>
        </w:rPr>
        <w:t>”</w:t>
      </w:r>
      <m:oMath>
        <m:r>
          <w:rPr>
            <w:rStyle w:val="revised"/>
            <w:rFonts w:ascii="Cambria Math" w:hAnsi="Cambria Math" w:cs="Times New Roman"/>
            <w:color w:val="auto"/>
          </w:rPr>
          <m:t xml:space="preserve"> </m:t>
        </m:r>
      </m:oMath>
      <w:r w:rsidR="00A35EEE" w:rsidRPr="00214EFC">
        <w:rPr>
          <w:rStyle w:val="revised"/>
          <w:rFonts w:ascii="Times New Roman" w:hAnsi="Times New Roman" w:cs="Times New Roman"/>
          <w:color w:val="auto"/>
        </w:rPr>
        <w:t xml:space="preserve"> has 10% shorter.</w:t>
      </w:r>
    </w:p>
    <w:p w14:paraId="7C39C0C9" w14:textId="4D187C2D" w:rsidR="00A35EEE" w:rsidRPr="00214EFC" w:rsidRDefault="006D7305" w:rsidP="00AA63CD">
      <w:pPr>
        <w:pStyle w:val="af6"/>
        <w:spacing w:after="100" w:afterAutospacing="1" w:line="360" w:lineRule="auto"/>
        <w:rPr>
          <w:rStyle w:val="revised"/>
          <w:rFonts w:ascii="Times New Roman" w:hAnsi="Times New Roman" w:cs="Times New Roman"/>
          <w:color w:val="auto"/>
        </w:rPr>
      </w:pPr>
      <w:bookmarkStart w:id="16" w:name="_Ref51145054"/>
      <w:r w:rsidRPr="00214EFC">
        <w:t xml:space="preserve">Table S </w:t>
      </w:r>
      <w:fldSimple w:instr=" SEQ Table_S \* ARABIC ">
        <w:r w:rsidR="00A80F2F">
          <w:rPr>
            <w:noProof/>
          </w:rPr>
          <w:t>2</w:t>
        </w:r>
      </w:fldSimple>
      <w:bookmarkEnd w:id="16"/>
      <w:r w:rsidR="00A35EEE" w:rsidRPr="00214EFC">
        <w:rPr>
          <w:rStyle w:val="revised"/>
          <w:rFonts w:ascii="Times New Roman" w:hAnsi="Times New Roman" w:cs="Times New Roman"/>
          <w:color w:val="auto"/>
        </w:rPr>
        <w:t xml:space="preserve"> Scenarios of lockdown </w:t>
      </w:r>
      <w:r w:rsidR="001D18D5">
        <w:rPr>
          <w:rStyle w:val="revised"/>
          <w:rFonts w:ascii="Times New Roman" w:hAnsi="Times New Roman" w:cs="Times New Roman"/>
          <w:color w:val="auto"/>
        </w:rPr>
        <w:t>duration</w:t>
      </w:r>
    </w:p>
    <w:tbl>
      <w:tblPr>
        <w:tblStyle w:val="afa"/>
        <w:tblW w:w="5035" w:type="pct"/>
        <w:tblLook w:val="04A0" w:firstRow="1" w:lastRow="0" w:firstColumn="1" w:lastColumn="0" w:noHBand="0" w:noVBand="1"/>
      </w:tblPr>
      <w:tblGrid>
        <w:gridCol w:w="1986"/>
        <w:gridCol w:w="2126"/>
        <w:gridCol w:w="2126"/>
        <w:gridCol w:w="2126"/>
      </w:tblGrid>
      <w:tr w:rsidR="000F54A7" w:rsidRPr="00214EFC" w14:paraId="7C39C0CE" w14:textId="77777777" w:rsidTr="000F54A7">
        <w:tc>
          <w:tcPr>
            <w:tcW w:w="1187" w:type="pct"/>
            <w:tcBorders>
              <w:top w:val="single" w:sz="12" w:space="0" w:color="000000"/>
              <w:left w:val="nil"/>
              <w:bottom w:val="single" w:sz="8" w:space="0" w:color="000000"/>
              <w:right w:val="nil"/>
            </w:tcBorders>
            <w:shd w:val="clear" w:color="auto" w:fill="auto"/>
          </w:tcPr>
          <w:p w14:paraId="7C39C0CA" w14:textId="73808A84" w:rsidR="000F54A7" w:rsidRPr="00E309AB" w:rsidRDefault="00A93F20" w:rsidP="00AA63CD">
            <w:pPr>
              <w:pStyle w:val="Table"/>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color w:val="auto"/>
              </w:rPr>
              <w:lastRenderedPageBreak/>
              <w:t>Duration</w:t>
            </w:r>
          </w:p>
        </w:tc>
        <w:tc>
          <w:tcPr>
            <w:tcW w:w="1271" w:type="pct"/>
            <w:tcBorders>
              <w:top w:val="single" w:sz="12" w:space="0" w:color="000000"/>
              <w:left w:val="nil"/>
              <w:bottom w:val="single" w:sz="8" w:space="0" w:color="000000"/>
              <w:right w:val="nil"/>
            </w:tcBorders>
          </w:tcPr>
          <w:p w14:paraId="537C9E9B" w14:textId="0E076DBE" w:rsidR="000F54A7" w:rsidRPr="00E309AB" w:rsidDel="000F54A7" w:rsidRDefault="000F54A7" w:rsidP="00AA63CD">
            <w:pPr>
              <w:pStyle w:val="Table"/>
              <w:spacing w:after="100" w:afterAutospacing="1" w:line="360" w:lineRule="auto"/>
              <w:rPr>
                <w:rStyle w:val="revised"/>
                <w:rFonts w:ascii="Times New Roman" w:hAnsi="Times New Roman" w:cs="Times New Roman"/>
                <w:color w:val="auto"/>
              </w:rPr>
            </w:pPr>
            <w:proofErr w:type="spellStart"/>
            <w:r w:rsidRPr="00E309AB">
              <w:rPr>
                <w:rStyle w:val="revised"/>
                <w:rFonts w:ascii="Times New Roman" w:hAnsi="Times New Roman" w:cs="Times New Roman"/>
                <w:color w:val="auto"/>
              </w:rPr>
              <w:t>T</w:t>
            </w:r>
            <w:r w:rsidRPr="00E309AB">
              <w:rPr>
                <w:rStyle w:val="revised"/>
                <w:rFonts w:ascii="Times New Roman" w:hAnsi="Times New Roman" w:cs="Times New Roman"/>
                <w:color w:val="auto"/>
                <w:vertAlign w:val="subscript"/>
              </w:rPr>
              <w:t>mild</w:t>
            </w:r>
            <w:proofErr w:type="spellEnd"/>
          </w:p>
        </w:tc>
        <w:tc>
          <w:tcPr>
            <w:tcW w:w="1271" w:type="pct"/>
            <w:tcBorders>
              <w:top w:val="single" w:sz="12" w:space="0" w:color="000000"/>
              <w:left w:val="nil"/>
              <w:bottom w:val="single" w:sz="8" w:space="0" w:color="000000"/>
              <w:right w:val="nil"/>
            </w:tcBorders>
            <w:shd w:val="clear" w:color="auto" w:fill="auto"/>
          </w:tcPr>
          <w:p w14:paraId="7C39C0CB" w14:textId="07A26E1F" w:rsidR="000F54A7" w:rsidRPr="001D18D5" w:rsidRDefault="000F54A7" w:rsidP="00AA63CD">
            <w:pPr>
              <w:pStyle w:val="Table"/>
              <w:spacing w:after="100" w:afterAutospacing="1" w:line="360" w:lineRule="auto"/>
              <w:rPr>
                <w:rStyle w:val="revised"/>
                <w:rFonts w:ascii="Times New Roman" w:hAnsi="Times New Roman" w:cs="Times New Roman"/>
                <w:color w:val="auto"/>
              </w:rPr>
            </w:pPr>
            <w:proofErr w:type="spellStart"/>
            <w:r w:rsidRPr="00E309AB">
              <w:rPr>
                <w:rStyle w:val="revised"/>
                <w:rFonts w:ascii="Times New Roman" w:hAnsi="Times New Roman" w:cs="Times New Roman"/>
                <w:color w:val="auto"/>
              </w:rPr>
              <w:t>T</w:t>
            </w:r>
            <w:r w:rsidRPr="00E309AB">
              <w:rPr>
                <w:rStyle w:val="revised"/>
                <w:rFonts w:ascii="Times New Roman" w:hAnsi="Times New Roman" w:cs="Times New Roman"/>
                <w:color w:val="auto"/>
                <w:vertAlign w:val="subscript"/>
              </w:rPr>
              <w:t>default</w:t>
            </w:r>
            <w:proofErr w:type="spellEnd"/>
          </w:p>
        </w:tc>
        <w:tc>
          <w:tcPr>
            <w:tcW w:w="1271" w:type="pct"/>
            <w:tcBorders>
              <w:top w:val="single" w:sz="12" w:space="0" w:color="000000"/>
              <w:left w:val="nil"/>
              <w:bottom w:val="single" w:sz="8" w:space="0" w:color="000000"/>
              <w:right w:val="nil"/>
            </w:tcBorders>
            <w:shd w:val="clear" w:color="auto" w:fill="auto"/>
          </w:tcPr>
          <w:p w14:paraId="7C39C0CC" w14:textId="7DAC4CB1" w:rsidR="000F54A7" w:rsidRPr="001D18D5" w:rsidRDefault="000F54A7" w:rsidP="00AA63CD">
            <w:pPr>
              <w:pStyle w:val="Table"/>
              <w:spacing w:after="100" w:afterAutospacing="1" w:line="360" w:lineRule="auto"/>
              <w:rPr>
                <w:rStyle w:val="revised"/>
                <w:rFonts w:ascii="Times New Roman" w:hAnsi="Times New Roman" w:cs="Times New Roman"/>
                <w:color w:val="auto"/>
              </w:rPr>
            </w:pPr>
            <w:proofErr w:type="spellStart"/>
            <w:r w:rsidRPr="00E309AB">
              <w:rPr>
                <w:rStyle w:val="revised"/>
                <w:rFonts w:ascii="Times New Roman" w:hAnsi="Times New Roman" w:cs="Times New Roman"/>
                <w:color w:val="auto"/>
              </w:rPr>
              <w:t>T</w:t>
            </w:r>
            <w:r w:rsidRPr="00E309AB">
              <w:rPr>
                <w:rStyle w:val="revised"/>
                <w:rFonts w:ascii="Times New Roman" w:hAnsi="Times New Roman" w:cs="Times New Roman"/>
                <w:color w:val="auto"/>
                <w:vertAlign w:val="subscript"/>
              </w:rPr>
              <w:t>severe</w:t>
            </w:r>
            <w:proofErr w:type="spellEnd"/>
          </w:p>
        </w:tc>
      </w:tr>
      <w:tr w:rsidR="000F54A7" w:rsidRPr="00214EFC" w14:paraId="7C39C0D3" w14:textId="77777777" w:rsidTr="000F54A7">
        <w:tc>
          <w:tcPr>
            <w:tcW w:w="1187" w:type="pct"/>
            <w:tcBorders>
              <w:top w:val="single" w:sz="8" w:space="0" w:color="000000"/>
              <w:left w:val="nil"/>
              <w:bottom w:val="nil"/>
              <w:right w:val="nil"/>
            </w:tcBorders>
            <w:shd w:val="clear" w:color="auto" w:fill="auto"/>
          </w:tcPr>
          <w:p w14:paraId="7C39C0CF" w14:textId="56072BCB"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1</w:t>
            </w:r>
          </w:p>
        </w:tc>
        <w:tc>
          <w:tcPr>
            <w:tcW w:w="1271" w:type="pct"/>
            <w:tcBorders>
              <w:top w:val="single" w:sz="8" w:space="0" w:color="000000"/>
              <w:left w:val="nil"/>
              <w:bottom w:val="nil"/>
              <w:right w:val="nil"/>
            </w:tcBorders>
          </w:tcPr>
          <w:p w14:paraId="75168C88" w14:textId="232E0124"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25/03/20 – 30/06/20</w:t>
            </w:r>
          </w:p>
        </w:tc>
        <w:tc>
          <w:tcPr>
            <w:tcW w:w="1271" w:type="pct"/>
            <w:tcBorders>
              <w:top w:val="single" w:sz="8" w:space="0" w:color="000000"/>
              <w:left w:val="nil"/>
              <w:bottom w:val="nil"/>
              <w:right w:val="nil"/>
            </w:tcBorders>
            <w:shd w:val="clear" w:color="auto" w:fill="auto"/>
          </w:tcPr>
          <w:p w14:paraId="7C39C0D0" w14:textId="71F8E92E"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18/03/20 – 07/07/20</w:t>
            </w:r>
          </w:p>
        </w:tc>
        <w:tc>
          <w:tcPr>
            <w:tcW w:w="1271" w:type="pct"/>
            <w:tcBorders>
              <w:top w:val="single" w:sz="8" w:space="0" w:color="000000"/>
              <w:left w:val="nil"/>
              <w:bottom w:val="nil"/>
              <w:right w:val="nil"/>
            </w:tcBorders>
            <w:shd w:val="clear" w:color="auto" w:fill="auto"/>
          </w:tcPr>
          <w:p w14:paraId="7C39C0D1" w14:textId="77777777"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11/03/20 – 14/07/20</w:t>
            </w:r>
          </w:p>
        </w:tc>
      </w:tr>
      <w:tr w:rsidR="000F54A7" w:rsidRPr="00214EFC" w14:paraId="7C39C0DD" w14:textId="77777777" w:rsidTr="000F54A7">
        <w:tc>
          <w:tcPr>
            <w:tcW w:w="1187" w:type="pct"/>
            <w:tcBorders>
              <w:top w:val="nil"/>
              <w:left w:val="nil"/>
              <w:bottom w:val="nil"/>
              <w:right w:val="nil"/>
            </w:tcBorders>
            <w:shd w:val="clear" w:color="auto" w:fill="auto"/>
          </w:tcPr>
          <w:p w14:paraId="7C39C0D9" w14:textId="6C27F092"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2</w:t>
            </w:r>
          </w:p>
        </w:tc>
        <w:tc>
          <w:tcPr>
            <w:tcW w:w="1271" w:type="pct"/>
            <w:tcBorders>
              <w:top w:val="nil"/>
              <w:left w:val="nil"/>
              <w:bottom w:val="nil"/>
              <w:right w:val="nil"/>
            </w:tcBorders>
          </w:tcPr>
          <w:p w14:paraId="12DD8FCB" w14:textId="756B56E4"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09/09/20 – 10/11/20</w:t>
            </w:r>
          </w:p>
        </w:tc>
        <w:tc>
          <w:tcPr>
            <w:tcW w:w="1271" w:type="pct"/>
            <w:tcBorders>
              <w:top w:val="nil"/>
              <w:left w:val="nil"/>
              <w:bottom w:val="nil"/>
              <w:right w:val="nil"/>
            </w:tcBorders>
            <w:shd w:val="clear" w:color="auto" w:fill="auto"/>
          </w:tcPr>
          <w:p w14:paraId="7C39C0DA" w14:textId="63FA42B2"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02/09/20 – 17/11/20</w:t>
            </w:r>
          </w:p>
        </w:tc>
        <w:tc>
          <w:tcPr>
            <w:tcW w:w="1271" w:type="pct"/>
            <w:tcBorders>
              <w:top w:val="nil"/>
              <w:left w:val="nil"/>
              <w:bottom w:val="nil"/>
              <w:right w:val="nil"/>
            </w:tcBorders>
            <w:shd w:val="clear" w:color="auto" w:fill="auto"/>
          </w:tcPr>
          <w:p w14:paraId="7C39C0DB" w14:textId="77777777"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26/08/20 – 24/11/20</w:t>
            </w:r>
          </w:p>
        </w:tc>
      </w:tr>
      <w:tr w:rsidR="000F54A7" w:rsidRPr="00214EFC" w14:paraId="7C39C0E7" w14:textId="77777777" w:rsidTr="000F54A7">
        <w:tc>
          <w:tcPr>
            <w:tcW w:w="1187" w:type="pct"/>
            <w:tcBorders>
              <w:top w:val="nil"/>
              <w:left w:val="nil"/>
              <w:bottom w:val="nil"/>
              <w:right w:val="nil"/>
            </w:tcBorders>
            <w:shd w:val="clear" w:color="auto" w:fill="auto"/>
          </w:tcPr>
          <w:p w14:paraId="7C39C0E3" w14:textId="53450B79"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3</w:t>
            </w:r>
          </w:p>
        </w:tc>
        <w:tc>
          <w:tcPr>
            <w:tcW w:w="1271" w:type="pct"/>
            <w:tcBorders>
              <w:top w:val="nil"/>
              <w:left w:val="nil"/>
              <w:bottom w:val="nil"/>
              <w:right w:val="nil"/>
            </w:tcBorders>
          </w:tcPr>
          <w:p w14:paraId="65A58C4F" w14:textId="74FE2490"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nil"/>
              <w:right w:val="nil"/>
            </w:tcBorders>
            <w:shd w:val="clear" w:color="auto" w:fill="auto"/>
          </w:tcPr>
          <w:p w14:paraId="7C39C0E4" w14:textId="7AC1534C"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05/01/21 – 02/03/21</w:t>
            </w:r>
          </w:p>
        </w:tc>
        <w:tc>
          <w:tcPr>
            <w:tcW w:w="1271" w:type="pct"/>
            <w:tcBorders>
              <w:top w:val="nil"/>
              <w:left w:val="nil"/>
              <w:bottom w:val="nil"/>
              <w:right w:val="nil"/>
            </w:tcBorders>
            <w:shd w:val="clear" w:color="auto" w:fill="auto"/>
          </w:tcPr>
          <w:p w14:paraId="7C39C0E5" w14:textId="77777777"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30/12/20 – 09/03/21</w:t>
            </w:r>
          </w:p>
        </w:tc>
      </w:tr>
      <w:tr w:rsidR="000F54A7" w:rsidRPr="00214EFC" w14:paraId="7C39C0F1" w14:textId="77777777" w:rsidTr="000F54A7">
        <w:tc>
          <w:tcPr>
            <w:tcW w:w="1187" w:type="pct"/>
            <w:tcBorders>
              <w:top w:val="nil"/>
              <w:left w:val="nil"/>
              <w:bottom w:val="nil"/>
              <w:right w:val="nil"/>
            </w:tcBorders>
            <w:shd w:val="clear" w:color="auto" w:fill="auto"/>
          </w:tcPr>
          <w:p w14:paraId="7C39C0ED" w14:textId="1AD5F34E"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4</w:t>
            </w:r>
          </w:p>
        </w:tc>
        <w:tc>
          <w:tcPr>
            <w:tcW w:w="1271" w:type="pct"/>
            <w:tcBorders>
              <w:top w:val="nil"/>
              <w:left w:val="nil"/>
              <w:bottom w:val="nil"/>
              <w:right w:val="nil"/>
            </w:tcBorders>
          </w:tcPr>
          <w:p w14:paraId="48AFA7F9" w14:textId="6D4E69BC"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nil"/>
              <w:right w:val="nil"/>
            </w:tcBorders>
            <w:shd w:val="clear" w:color="auto" w:fill="auto"/>
          </w:tcPr>
          <w:p w14:paraId="7C39C0EE" w14:textId="58622844"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21/04/21 – 22/06/21</w:t>
            </w:r>
          </w:p>
        </w:tc>
        <w:tc>
          <w:tcPr>
            <w:tcW w:w="1271" w:type="pct"/>
            <w:tcBorders>
              <w:top w:val="nil"/>
              <w:left w:val="nil"/>
              <w:bottom w:val="nil"/>
              <w:right w:val="nil"/>
            </w:tcBorders>
            <w:shd w:val="clear" w:color="auto" w:fill="auto"/>
          </w:tcPr>
          <w:p w14:paraId="7C39C0EF" w14:textId="77777777"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14/04/21 – 29/06/21</w:t>
            </w:r>
          </w:p>
        </w:tc>
      </w:tr>
      <w:tr w:rsidR="000F54A7" w:rsidRPr="00214EFC" w14:paraId="7C39C0FB" w14:textId="77777777" w:rsidTr="000F54A7">
        <w:tc>
          <w:tcPr>
            <w:tcW w:w="1187" w:type="pct"/>
            <w:tcBorders>
              <w:top w:val="nil"/>
              <w:left w:val="nil"/>
              <w:bottom w:val="nil"/>
              <w:right w:val="nil"/>
            </w:tcBorders>
            <w:shd w:val="clear" w:color="auto" w:fill="auto"/>
          </w:tcPr>
          <w:p w14:paraId="7C39C0F7" w14:textId="68B1B5FA"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5</w:t>
            </w:r>
          </w:p>
        </w:tc>
        <w:tc>
          <w:tcPr>
            <w:tcW w:w="1271" w:type="pct"/>
            <w:tcBorders>
              <w:top w:val="nil"/>
              <w:left w:val="nil"/>
              <w:bottom w:val="nil"/>
              <w:right w:val="nil"/>
            </w:tcBorders>
          </w:tcPr>
          <w:p w14:paraId="4736F005" w14:textId="2014AB75"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nil"/>
              <w:right w:val="nil"/>
            </w:tcBorders>
            <w:shd w:val="clear" w:color="auto" w:fill="auto"/>
          </w:tcPr>
          <w:p w14:paraId="7C39C0F8" w14:textId="049F2D50"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nil"/>
              <w:right w:val="nil"/>
            </w:tcBorders>
            <w:shd w:val="clear" w:color="auto" w:fill="auto"/>
          </w:tcPr>
          <w:p w14:paraId="7C39C0F9" w14:textId="77777777"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28/07/21 – 28/09/21</w:t>
            </w:r>
          </w:p>
        </w:tc>
      </w:tr>
      <w:tr w:rsidR="000F54A7" w:rsidRPr="00214EFC" w14:paraId="7C39C105" w14:textId="77777777" w:rsidTr="000F54A7">
        <w:tc>
          <w:tcPr>
            <w:tcW w:w="1187" w:type="pct"/>
            <w:tcBorders>
              <w:top w:val="nil"/>
              <w:left w:val="nil"/>
              <w:bottom w:val="nil"/>
              <w:right w:val="nil"/>
            </w:tcBorders>
            <w:shd w:val="clear" w:color="auto" w:fill="auto"/>
          </w:tcPr>
          <w:p w14:paraId="7C39C101" w14:textId="699A0258"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6</w:t>
            </w:r>
          </w:p>
        </w:tc>
        <w:tc>
          <w:tcPr>
            <w:tcW w:w="1271" w:type="pct"/>
            <w:tcBorders>
              <w:top w:val="nil"/>
              <w:left w:val="nil"/>
              <w:bottom w:val="nil"/>
              <w:right w:val="nil"/>
            </w:tcBorders>
          </w:tcPr>
          <w:p w14:paraId="1A8E3AA0" w14:textId="7B9C8781"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nil"/>
              <w:right w:val="nil"/>
            </w:tcBorders>
            <w:shd w:val="clear" w:color="auto" w:fill="auto"/>
          </w:tcPr>
          <w:p w14:paraId="7C39C102" w14:textId="5458D138"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nil"/>
              <w:right w:val="nil"/>
            </w:tcBorders>
            <w:shd w:val="clear" w:color="auto" w:fill="auto"/>
          </w:tcPr>
          <w:p w14:paraId="7C39C103" w14:textId="77777777"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03/11/21 – 28/12/21</w:t>
            </w:r>
          </w:p>
        </w:tc>
      </w:tr>
      <w:tr w:rsidR="000F54A7" w:rsidRPr="00214EFC" w14:paraId="7C39C10F" w14:textId="77777777" w:rsidTr="000F54A7">
        <w:tc>
          <w:tcPr>
            <w:tcW w:w="1187" w:type="pct"/>
            <w:tcBorders>
              <w:top w:val="nil"/>
              <w:left w:val="nil"/>
              <w:bottom w:val="nil"/>
              <w:right w:val="nil"/>
            </w:tcBorders>
            <w:shd w:val="clear" w:color="auto" w:fill="auto"/>
          </w:tcPr>
          <w:p w14:paraId="7C39C10B" w14:textId="6E5F36B8"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7</w:t>
            </w:r>
          </w:p>
        </w:tc>
        <w:tc>
          <w:tcPr>
            <w:tcW w:w="1271" w:type="pct"/>
            <w:tcBorders>
              <w:top w:val="nil"/>
              <w:left w:val="nil"/>
              <w:bottom w:val="nil"/>
              <w:right w:val="nil"/>
            </w:tcBorders>
          </w:tcPr>
          <w:p w14:paraId="50314AB6" w14:textId="189B8253"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nil"/>
              <w:right w:val="nil"/>
            </w:tcBorders>
            <w:shd w:val="clear" w:color="auto" w:fill="auto"/>
          </w:tcPr>
          <w:p w14:paraId="7C39C10C" w14:textId="3ADBDAF0"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nil"/>
              <w:right w:val="nil"/>
            </w:tcBorders>
            <w:shd w:val="clear" w:color="auto" w:fill="auto"/>
          </w:tcPr>
          <w:p w14:paraId="7C39C10D" w14:textId="77777777"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09/02/22 – 05/04/22</w:t>
            </w:r>
          </w:p>
        </w:tc>
      </w:tr>
      <w:tr w:rsidR="000F54A7" w:rsidRPr="00214EFC" w14:paraId="7C39C119" w14:textId="77777777" w:rsidTr="00E309AB">
        <w:tc>
          <w:tcPr>
            <w:tcW w:w="1187" w:type="pct"/>
            <w:tcBorders>
              <w:top w:val="nil"/>
              <w:left w:val="nil"/>
              <w:bottom w:val="single" w:sz="8" w:space="0" w:color="000000"/>
              <w:right w:val="nil"/>
            </w:tcBorders>
            <w:shd w:val="clear" w:color="auto" w:fill="auto"/>
          </w:tcPr>
          <w:p w14:paraId="7C39C115" w14:textId="1F6B0ABF"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8</w:t>
            </w:r>
          </w:p>
        </w:tc>
        <w:tc>
          <w:tcPr>
            <w:tcW w:w="1271" w:type="pct"/>
            <w:tcBorders>
              <w:top w:val="nil"/>
              <w:left w:val="nil"/>
              <w:bottom w:val="single" w:sz="8" w:space="0" w:color="000000"/>
              <w:right w:val="nil"/>
            </w:tcBorders>
          </w:tcPr>
          <w:p w14:paraId="315E4DCB" w14:textId="4C8626EE"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single" w:sz="8" w:space="0" w:color="000000"/>
              <w:right w:val="nil"/>
            </w:tcBorders>
            <w:shd w:val="clear" w:color="auto" w:fill="auto"/>
          </w:tcPr>
          <w:p w14:paraId="7C39C116" w14:textId="688807E4" w:rsidR="000F54A7" w:rsidRPr="00214EFC" w:rsidRDefault="000F54A7" w:rsidP="00AA63CD">
            <w:pPr>
              <w:pStyle w:val="Table"/>
              <w:spacing w:after="100" w:afterAutospacing="1" w:line="360" w:lineRule="auto"/>
              <w:rPr>
                <w:rStyle w:val="revised"/>
                <w:rFonts w:ascii="Times New Roman" w:hAnsi="Times New Roman" w:cs="Times New Roman"/>
                <w:color w:val="auto"/>
              </w:rPr>
            </w:pPr>
          </w:p>
        </w:tc>
        <w:tc>
          <w:tcPr>
            <w:tcW w:w="1271" w:type="pct"/>
            <w:tcBorders>
              <w:top w:val="nil"/>
              <w:left w:val="nil"/>
              <w:bottom w:val="single" w:sz="8" w:space="0" w:color="000000"/>
              <w:right w:val="nil"/>
            </w:tcBorders>
            <w:shd w:val="clear" w:color="auto" w:fill="auto"/>
          </w:tcPr>
          <w:p w14:paraId="7C39C117" w14:textId="77777777" w:rsidR="000F54A7" w:rsidRPr="00214EFC" w:rsidRDefault="000F54A7" w:rsidP="00AA63CD">
            <w:pPr>
              <w:pStyle w:val="Table"/>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11/05/22 – 05/07/22</w:t>
            </w:r>
          </w:p>
        </w:tc>
      </w:tr>
    </w:tbl>
    <w:p w14:paraId="77CB08AD" w14:textId="77777777" w:rsidR="005E0904" w:rsidRPr="00E309AB" w:rsidRDefault="005E0904" w:rsidP="00AA63CD">
      <w:pPr>
        <w:pStyle w:val="note"/>
        <w:spacing w:after="100" w:afterAutospacing="1" w:line="360" w:lineRule="auto"/>
        <w:rPr>
          <w:rStyle w:val="revised"/>
          <w:rFonts w:ascii="Times New Roman" w:hAnsi="Times New Roman" w:cs="Times New Roman"/>
          <w:color w:val="auto"/>
        </w:rPr>
      </w:pPr>
    </w:p>
    <w:p w14:paraId="7C39C120" w14:textId="57BA27DE" w:rsidR="00A35EEE" w:rsidRPr="00A47CE9" w:rsidRDefault="00A35EEE" w:rsidP="00AA63CD">
      <w:pPr>
        <w:pStyle w:val="note"/>
        <w:numPr>
          <w:ilvl w:val="3"/>
          <w:numId w:val="47"/>
        </w:numPr>
        <w:spacing w:after="100" w:afterAutospacing="1" w:line="360" w:lineRule="auto"/>
        <w:ind w:firstLine="0"/>
        <w:rPr>
          <w:rStyle w:val="revised"/>
          <w:rFonts w:ascii="Times New Roman" w:hAnsi="Times New Roman" w:cs="Times New Roman"/>
          <w:color w:val="auto"/>
        </w:rPr>
      </w:pPr>
      <w:r w:rsidRPr="00A47CE9">
        <w:rPr>
          <w:rStyle w:val="revised"/>
          <w:rFonts w:ascii="Times New Roman" w:hAnsi="Times New Roman" w:cs="Times New Roman"/>
          <w:color w:val="auto"/>
          <w:sz w:val="21"/>
        </w:rPr>
        <w:t>Strictness of the first lockdown period (S1)</w:t>
      </w:r>
    </w:p>
    <w:p w14:paraId="7C39C121" w14:textId="6571FE69" w:rsidR="00A35EEE" w:rsidRPr="00214EFC" w:rsidRDefault="00A35EEE" w:rsidP="00AA63CD">
      <w:pPr>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We define three scenarios for the strictness of the first period. The basic scenario</w:t>
      </w:r>
      <w:r w:rsidR="003531C3">
        <w:rPr>
          <w:rStyle w:val="revised"/>
          <w:rFonts w:ascii="Times New Roman" w:hAnsi="Times New Roman" w:cs="Times New Roman"/>
          <w:color w:val="auto"/>
        </w:rPr>
        <w:t xml:space="preserve"> for default lockdown</w:t>
      </w:r>
      <w:r w:rsidRPr="00214EFC">
        <w:rPr>
          <w:rStyle w:val="revised"/>
          <w:rFonts w:ascii="Times New Roman" w:hAnsi="Times New Roman" w:cs="Times New Roman"/>
          <w:color w:val="auto"/>
        </w:rPr>
        <w:t xml:space="preserve"> (“</w:t>
      </w:r>
      <w:r w:rsidR="003531C3">
        <w:rPr>
          <w:rStyle w:val="revised"/>
          <w:rFonts w:ascii="Times New Roman" w:hAnsi="Times New Roman" w:cs="Times New Roman"/>
          <w:color w:val="auto"/>
        </w:rPr>
        <w:t>S1</w:t>
      </w:r>
      <w:r w:rsidR="003531C3">
        <w:rPr>
          <w:rStyle w:val="revised"/>
          <w:rFonts w:ascii="Times New Roman" w:hAnsi="Times New Roman" w:cs="Times New Roman"/>
          <w:color w:val="auto"/>
          <w:vertAlign w:val="subscript"/>
        </w:rPr>
        <w:t>default</w:t>
      </w:r>
      <w:r w:rsidRPr="00214EFC">
        <w:rPr>
          <w:rStyle w:val="revised"/>
          <w:rFonts w:ascii="Times New Roman" w:hAnsi="Times New Roman" w:cs="Times New Roman"/>
          <w:color w:val="auto"/>
        </w:rPr>
        <w:t>”) are calculated based on Google Community Mobility data</w:t>
      </w:r>
      <w:r w:rsidR="00C478D6">
        <w:rPr>
          <w:rStyle w:val="revised"/>
          <w:rFonts w:ascii="Times New Roman" w:hAnsi="Times New Roman" w:cs="Times New Roman"/>
          <w:color w:val="auto"/>
        </w:rPr>
        <w:fldChar w:fldCharType="begin"/>
      </w:r>
      <w:r w:rsidR="00C478D6">
        <w:rPr>
          <w:rStyle w:val="revised"/>
          <w:rFonts w:ascii="Times New Roman" w:hAnsi="Times New Roman" w:cs="Times New Roman"/>
          <w:color w:val="auto"/>
        </w:rPr>
        <w:instrText xml:space="preserve"> ADDIN ZOTERO_ITEM CSL_CITATION {"citationID":"LrA8H7zs","properties":{"formattedCitation":"\\super 20\\nosupersub{}","plainCitation":"20","noteIndex":0},"citationItems":[{"id":3407,"uris":["http://zotero.org/users/4340498/items/MXMP8UEB"],"uri":["http://zotero.org/users/4340498/items/MXMP8UEB"],"itemData":{"id":3407,"type":"webpage","title":"Google Community Mobility data","URL":"https://www.google.com/covid19/mobility/","author":[{"family":"Google","given":""}],"issued":{"date-parts":[["2020"]]}}}],"schema":"https://github.com/citation-style-language/schema/raw/master/csl-citation.json"} </w:instrText>
      </w:r>
      <w:r w:rsidR="00C478D6">
        <w:rPr>
          <w:rStyle w:val="revised"/>
          <w:rFonts w:ascii="Times New Roman" w:hAnsi="Times New Roman" w:cs="Times New Roman"/>
          <w:color w:val="auto"/>
        </w:rPr>
        <w:fldChar w:fldCharType="separate"/>
      </w:r>
      <w:r w:rsidR="00C478D6" w:rsidRPr="00C478D6">
        <w:rPr>
          <w:kern w:val="0"/>
          <w:szCs w:val="24"/>
          <w:vertAlign w:val="superscript"/>
        </w:rPr>
        <w:t>20</w:t>
      </w:r>
      <w:r w:rsidR="00C478D6">
        <w:rPr>
          <w:rStyle w:val="revised"/>
          <w:rFonts w:ascii="Times New Roman" w:hAnsi="Times New Roman" w:cs="Times New Roman"/>
          <w:color w:val="auto"/>
        </w:rPr>
        <w:fldChar w:fldCharType="end"/>
      </w:r>
      <w:r w:rsidRPr="00214EFC">
        <w:rPr>
          <w:rStyle w:val="revised"/>
          <w:rFonts w:ascii="Times New Roman" w:hAnsi="Times New Roman" w:cs="Times New Roman"/>
          <w:color w:val="auto"/>
        </w:rPr>
        <w:t>. Google provides the daily changes in people’s movement trends since 15</w:t>
      </w:r>
      <w:r w:rsidRPr="00214EFC">
        <w:rPr>
          <w:rStyle w:val="revised"/>
          <w:rFonts w:ascii="Times New Roman" w:hAnsi="Times New Roman" w:cs="Times New Roman"/>
          <w:color w:val="auto"/>
          <w:vertAlign w:val="superscript"/>
        </w:rPr>
        <w:t>th</w:t>
      </w:r>
      <w:r w:rsidRPr="00214EFC">
        <w:rPr>
          <w:rStyle w:val="revised"/>
          <w:rFonts w:ascii="Times New Roman" w:hAnsi="Times New Roman" w:cs="Times New Roman"/>
          <w:color w:val="auto"/>
        </w:rPr>
        <w:t xml:space="preserve"> February across six types of places: retail and recreation, groceries and pharmacies, parks, transit stations, workplaces, and residential area. We use the average of declines in movement trends from workplaces and increase from residential area to reflect the loss of labour availability and freightage capacity in different countries. We exclude the weekends and use the daily average value between 15</w:t>
      </w:r>
      <w:r w:rsidRPr="00214EFC">
        <w:rPr>
          <w:rStyle w:val="revised"/>
          <w:rFonts w:ascii="Times New Roman" w:hAnsi="Times New Roman" w:cs="Times New Roman"/>
          <w:color w:val="auto"/>
          <w:vertAlign w:val="superscript"/>
        </w:rPr>
        <w:t>th</w:t>
      </w:r>
      <w:r w:rsidRPr="00214EFC">
        <w:rPr>
          <w:rStyle w:val="revised"/>
          <w:rFonts w:ascii="Times New Roman" w:hAnsi="Times New Roman" w:cs="Times New Roman"/>
          <w:color w:val="auto"/>
        </w:rPr>
        <w:t xml:space="preserve"> March and 31</w:t>
      </w:r>
      <w:r w:rsidRPr="00214EFC">
        <w:rPr>
          <w:rStyle w:val="revised"/>
          <w:rFonts w:ascii="Times New Roman" w:hAnsi="Times New Roman" w:cs="Times New Roman"/>
          <w:color w:val="auto"/>
          <w:vertAlign w:val="superscript"/>
        </w:rPr>
        <w:t>st</w:t>
      </w:r>
      <w:r w:rsidRPr="00214EFC">
        <w:rPr>
          <w:rStyle w:val="revised"/>
          <w:rFonts w:ascii="Times New Roman" w:hAnsi="Times New Roman" w:cs="Times New Roman"/>
          <w:color w:val="auto"/>
        </w:rPr>
        <w:t xml:space="preserve"> July as the lockdown strictness for the first “lockdown period”. For China, we use the mobility data from Baidu and get 80% as the strictness of its first lockdown period</w:t>
      </w:r>
      <w:r w:rsidR="00C478D6">
        <w:rPr>
          <w:rStyle w:val="revised"/>
          <w:rFonts w:ascii="Times New Roman" w:hAnsi="Times New Roman" w:cs="Times New Roman"/>
          <w:color w:val="auto"/>
        </w:rPr>
        <w:fldChar w:fldCharType="begin"/>
      </w:r>
      <w:r w:rsidR="00C478D6">
        <w:rPr>
          <w:rStyle w:val="revised"/>
          <w:rFonts w:ascii="Times New Roman" w:hAnsi="Times New Roman" w:cs="Times New Roman"/>
          <w:color w:val="auto"/>
        </w:rPr>
        <w:instrText xml:space="preserve"> ADDIN ZOTERO_ITEM CSL_CITATION {"citationID":"tld5An4D","properties":{"formattedCitation":"\\super 21\\nosupersub{}","plainCitation":"21","noteIndex":0},"citationItems":[{"id":3408,"uris":["http://zotero.org/users/4340498/items/XPURJYNS"],"uri":["http://zotero.org/users/4340498/items/XPURJYNS"],"itemData":{"id":3408,"type":"webpage","title":"Daily inter-city travel data","URL":"https://qianxi.baidu.com/2020/","author":[{"family":"Baidu","given":""}],"issued":{"date-parts":[["2020"]]}}}],"schema":"https://github.com/citation-style-language/schema/raw/master/csl-citation.json"} </w:instrText>
      </w:r>
      <w:r w:rsidR="00C478D6">
        <w:rPr>
          <w:rStyle w:val="revised"/>
          <w:rFonts w:ascii="Times New Roman" w:hAnsi="Times New Roman" w:cs="Times New Roman"/>
          <w:color w:val="auto"/>
        </w:rPr>
        <w:fldChar w:fldCharType="separate"/>
      </w:r>
      <w:r w:rsidR="00C478D6" w:rsidRPr="00C478D6">
        <w:rPr>
          <w:kern w:val="0"/>
          <w:szCs w:val="24"/>
          <w:vertAlign w:val="superscript"/>
        </w:rPr>
        <w:t>21</w:t>
      </w:r>
      <w:r w:rsidR="00C478D6">
        <w:rPr>
          <w:rStyle w:val="revised"/>
          <w:rFonts w:ascii="Times New Roman" w:hAnsi="Times New Roman" w:cs="Times New Roman"/>
          <w:color w:val="auto"/>
        </w:rPr>
        <w:fldChar w:fldCharType="end"/>
      </w:r>
      <w:r w:rsidRPr="00214EFC">
        <w:rPr>
          <w:rStyle w:val="revised"/>
          <w:rFonts w:ascii="Times New Roman" w:hAnsi="Times New Roman" w:cs="Times New Roman"/>
          <w:color w:val="auto"/>
        </w:rPr>
        <w:t xml:space="preserve">. </w:t>
      </w:r>
      <w:r w:rsidR="006D7305" w:rsidRPr="00214EFC">
        <w:rPr>
          <w:rStyle w:val="revised"/>
          <w:rFonts w:ascii="Times New Roman" w:hAnsi="Times New Roman" w:cs="Times New Roman"/>
          <w:color w:val="auto"/>
        </w:rPr>
        <w:fldChar w:fldCharType="begin"/>
      </w:r>
      <w:r w:rsidR="006D7305" w:rsidRPr="00214EFC">
        <w:rPr>
          <w:rStyle w:val="revised"/>
          <w:rFonts w:ascii="Times New Roman" w:hAnsi="Times New Roman" w:cs="Times New Roman"/>
          <w:color w:val="auto"/>
        </w:rPr>
        <w:instrText xml:space="preserve"> REF _Ref51145446 \h </w:instrText>
      </w:r>
      <w:r w:rsidR="00332EE5" w:rsidRPr="00214EFC">
        <w:rPr>
          <w:rStyle w:val="revised"/>
          <w:rFonts w:ascii="Times New Roman" w:hAnsi="Times New Roman" w:cs="Times New Roman"/>
          <w:color w:val="auto"/>
        </w:rPr>
        <w:instrText xml:space="preserve"> \* MERGEFORMAT </w:instrText>
      </w:r>
      <w:r w:rsidR="006D7305" w:rsidRPr="00214EFC">
        <w:rPr>
          <w:rStyle w:val="revised"/>
          <w:rFonts w:ascii="Times New Roman" w:hAnsi="Times New Roman" w:cs="Times New Roman"/>
          <w:color w:val="auto"/>
        </w:rPr>
      </w:r>
      <w:r w:rsidR="006D7305" w:rsidRPr="00214EFC">
        <w:rPr>
          <w:rStyle w:val="revised"/>
          <w:rFonts w:ascii="Times New Roman" w:hAnsi="Times New Roman" w:cs="Times New Roman"/>
          <w:color w:val="auto"/>
        </w:rPr>
        <w:fldChar w:fldCharType="separate"/>
      </w:r>
      <w:r w:rsidR="00E309AB" w:rsidRPr="00214EFC">
        <w:t xml:space="preserve">Table S </w:t>
      </w:r>
      <w:r w:rsidR="00E309AB">
        <w:rPr>
          <w:noProof/>
        </w:rPr>
        <w:t>4</w:t>
      </w:r>
      <w:r w:rsidR="006D7305" w:rsidRPr="00214EFC">
        <w:rPr>
          <w:rStyle w:val="revised"/>
          <w:rFonts w:ascii="Times New Roman" w:hAnsi="Times New Roman" w:cs="Times New Roman"/>
          <w:color w:val="auto"/>
        </w:rPr>
        <w:fldChar w:fldCharType="end"/>
      </w:r>
      <w:r w:rsidR="006D7305" w:rsidRPr="00214EFC">
        <w:rPr>
          <w:rStyle w:val="revised"/>
          <w:rFonts w:ascii="Times New Roman" w:hAnsi="Times New Roman" w:cs="Times New Roman"/>
          <w:color w:val="auto"/>
        </w:rPr>
        <w:t xml:space="preserve"> </w:t>
      </w:r>
      <w:r w:rsidRPr="00214EFC">
        <w:rPr>
          <w:rStyle w:val="revised"/>
          <w:rFonts w:ascii="Times New Roman" w:hAnsi="Times New Roman" w:cs="Times New Roman"/>
          <w:color w:val="auto"/>
        </w:rPr>
        <w:t>shows the basic scenario of the strictness of first lockdown period (</w:t>
      </w:r>
      <w:r w:rsidR="003531C3">
        <w:rPr>
          <w:rStyle w:val="revised"/>
          <w:rFonts w:ascii="Times New Roman" w:hAnsi="Times New Roman" w:cs="Times New Roman"/>
          <w:color w:val="auto"/>
        </w:rPr>
        <w:t>“S1</w:t>
      </w:r>
      <w:r w:rsidR="003531C3">
        <w:rPr>
          <w:rStyle w:val="revised"/>
          <w:rFonts w:ascii="Times New Roman" w:hAnsi="Times New Roman" w:cs="Times New Roman"/>
          <w:color w:val="auto"/>
          <w:vertAlign w:val="subscript"/>
        </w:rPr>
        <w:t>default</w:t>
      </w:r>
      <w:r w:rsidRPr="00214EFC">
        <w:rPr>
          <w:rStyle w:val="revised"/>
          <w:rFonts w:ascii="Times New Roman" w:hAnsi="Times New Roman" w:cs="Times New Roman"/>
          <w:color w:val="auto"/>
        </w:rPr>
        <w:t>”) in the 79 countries. Then we define scenario</w:t>
      </w:r>
      <w:r w:rsidR="00305E0F">
        <w:rPr>
          <w:rStyle w:val="revised"/>
          <w:rFonts w:ascii="Times New Roman" w:hAnsi="Times New Roman" w:cs="Times New Roman"/>
          <w:color w:val="auto"/>
        </w:rPr>
        <w:t xml:space="preserve"> “S1</w:t>
      </w:r>
      <w:r w:rsidR="00305E0F">
        <w:rPr>
          <w:rStyle w:val="revised"/>
          <w:rFonts w:ascii="Times New Roman" w:hAnsi="Times New Roman" w:cs="Times New Roman"/>
          <w:color w:val="auto"/>
          <w:vertAlign w:val="subscript"/>
        </w:rPr>
        <w:t>severe</w:t>
      </w:r>
      <w:r w:rsidR="00305E0F">
        <w:rPr>
          <w:rStyle w:val="revised"/>
          <w:rFonts w:ascii="Times New Roman" w:hAnsi="Times New Roman" w:cs="Times New Roman"/>
          <w:color w:val="auto"/>
        </w:rPr>
        <w:t>”</w:t>
      </w:r>
      <w:r w:rsidRPr="00214EFC">
        <w:rPr>
          <w:rStyle w:val="revised"/>
          <w:rFonts w:ascii="Times New Roman" w:hAnsi="Times New Roman" w:cs="Times New Roman"/>
          <w:color w:val="auto"/>
        </w:rPr>
        <w:t xml:space="preserve"> as 10% stronger than “</w:t>
      </w:r>
      <w:r w:rsidR="00305E0F">
        <w:rPr>
          <w:rStyle w:val="revised"/>
          <w:rFonts w:ascii="Times New Roman" w:hAnsi="Times New Roman" w:cs="Times New Roman"/>
          <w:color w:val="auto"/>
        </w:rPr>
        <w:t>S1</w:t>
      </w:r>
      <w:r w:rsidR="00305E0F">
        <w:rPr>
          <w:rStyle w:val="revised"/>
          <w:rFonts w:ascii="Times New Roman" w:hAnsi="Times New Roman" w:cs="Times New Roman"/>
          <w:color w:val="auto"/>
          <w:vertAlign w:val="subscript"/>
        </w:rPr>
        <w:t>default</w:t>
      </w:r>
      <w:r w:rsidR="00305E0F">
        <w:rPr>
          <w:rStyle w:val="revised"/>
          <w:rFonts w:ascii="Times New Roman" w:hAnsi="Times New Roman" w:cs="Times New Roman"/>
          <w:color w:val="auto"/>
        </w:rPr>
        <w:t>”</w:t>
      </w:r>
      <w:r w:rsidRPr="00214EFC">
        <w:rPr>
          <w:rStyle w:val="revised"/>
          <w:rFonts w:ascii="Times New Roman" w:hAnsi="Times New Roman" w:cs="Times New Roman"/>
          <w:color w:val="auto"/>
        </w:rPr>
        <w:t xml:space="preserve"> and scenario “</w:t>
      </w:r>
      <w:r w:rsidR="00305E0F">
        <w:rPr>
          <w:rStyle w:val="revised"/>
          <w:rFonts w:ascii="Times New Roman" w:hAnsi="Times New Roman" w:cs="Times New Roman"/>
          <w:color w:val="auto"/>
        </w:rPr>
        <w:t>S1</w:t>
      </w:r>
      <w:r w:rsidR="00305E0F">
        <w:rPr>
          <w:rStyle w:val="revised"/>
          <w:rFonts w:ascii="Times New Roman" w:hAnsi="Times New Roman" w:cs="Times New Roman"/>
          <w:color w:val="auto"/>
          <w:vertAlign w:val="subscript"/>
        </w:rPr>
        <w:t>mild</w:t>
      </w:r>
      <w:r w:rsidRPr="00214EFC">
        <w:rPr>
          <w:rStyle w:val="revised"/>
          <w:rFonts w:ascii="Times New Roman" w:hAnsi="Times New Roman" w:cs="Times New Roman"/>
          <w:color w:val="auto"/>
        </w:rPr>
        <w:t>” as 10% weaker.</w:t>
      </w:r>
    </w:p>
    <w:p w14:paraId="7C39C122" w14:textId="0DF1E4C8" w:rsidR="00A35EEE" w:rsidRPr="00214EFC" w:rsidRDefault="00A35EEE" w:rsidP="00AA63CD">
      <w:pPr>
        <w:spacing w:after="100" w:afterAutospacing="1" w:line="360" w:lineRule="auto"/>
      </w:pPr>
      <w:r w:rsidRPr="00214EFC">
        <w:fldChar w:fldCharType="begin"/>
      </w:r>
      <w:r w:rsidRPr="00214EFC">
        <w:instrText>ADDIN EN.CITE &lt;EndNote&gt;&lt;Cite&gt;&lt;Author&gt;Baidu&lt;/Author&gt;&lt;Year&gt;2020&lt;/Year&gt;&lt;RecNum&gt;5181&lt;/RecNum&gt;&lt;DisplayText&gt;&lt;style face="superscript"&gt;30,31&lt;/style&gt;&lt;/DisplayText&gt;&lt;record&gt;&lt;rec-number&gt;5181&lt;/rec-number&gt;&lt;foreign-keys&gt;&lt;key app="EN" db-id="9azte9a5ia5pr2evpac5pda3sr5x2dfwfert" timestamp="1590937772"&gt;5181&lt;/key&gt;&lt;/foreign-keys&gt;&lt;ref-type name="Web Page"&gt;12&lt;/ref-type&gt;&lt;contributors&gt;&lt;authors&gt;&lt;author&gt;Baidu&lt;/author&gt;&lt;/authors&gt;&lt;/contributors&gt;&lt;titles&gt;&lt;title&gt;Daily inter-city travel data&lt;/title&gt;&lt;/titles&gt;&lt;dates&gt;&lt;year&gt;2020&lt;/year&gt;&lt;/dates&gt;&lt;urls&gt;&lt;related-urls&gt;&lt;url&gt;https://qianxi.baidu.com/2020/&lt;/url&gt;&lt;/related-urls&gt;&lt;/urls&gt;&lt;/record&gt;&lt;/Cite&gt;&lt;Cite&gt;&lt;Author&gt;Qiu&lt;/Author&gt;&lt;Year&gt;2020&lt;/Year&gt;&lt;RecNum&gt;5182&lt;/RecNum&gt;&lt;record&gt;&lt;rec-number&gt;5182&lt;/rec-number&gt;&lt;foreign-keys&gt;&lt;key app="EN" db-id="9azte9a5ia5pr2evpac5pda3sr5x2dfwfert" timestamp="1590937854"&gt;5182&lt;/key&gt;&lt;/foreign-keys&gt;&lt;ref-type name="Journal Article"&gt;17&lt;/ref-type&gt;&lt;contributors&gt;&lt;authors&gt;&lt;author&gt;Qiu, Yun&lt;/author&gt;&lt;author&gt;Chen, Xi&lt;/author&gt;&lt;author&gt;Shi, Wei&lt;/author&gt;&lt;/authors&gt;&lt;/contributors&gt;&lt;titles&gt;&lt;title&gt;Impacts of social and economic factors on the transmission of coronavirus disease 2019 (COVID-19) in China&lt;/title&gt;&lt;secondary-title&gt;Journal of Population Economics&lt;/secondary-title&gt;&lt;/titles&gt;&lt;periodical&gt;&lt;full-title&gt;Journal of Population Economics&lt;/full-title&gt;&lt;/periodical&gt;&lt;dates&gt;&lt;year&gt;2020&lt;/year&gt;&lt;/dates&gt;&lt;urls&gt;&lt;/urls&gt;&lt;electronic-resource-num&gt;10.1101/2020.03.13.20035238&lt;/electronic-resource-num&gt;&lt;/record&gt;&lt;/Cite&gt;&lt;/EndNote&gt;</w:instrText>
      </w:r>
      <w:r w:rsidRPr="00214EFC">
        <w:fldChar w:fldCharType="end"/>
      </w:r>
      <w:bookmarkStart w:id="17" w:name="Bookmark65"/>
      <w:bookmarkEnd w:id="17"/>
      <w:r w:rsidRPr="00214EFC">
        <w:t xml:space="preserve">The control measures may have different effects on the </w:t>
      </w:r>
      <w:proofErr w:type="spellStart"/>
      <w:r w:rsidRPr="00214EFC">
        <w:t>labour</w:t>
      </w:r>
      <w:proofErr w:type="spellEnd"/>
      <w:r w:rsidRPr="00214EFC">
        <w:t xml:space="preserve"> supply of different sectors. For example, there is no control measures on the lifeline sectors, such as hospitals and pharmaceutical companies. And sectors that has low exposure level to the virus, such as education, are less affected by the control measures than the commercial services which have higher level of exposure. Therefore, we time sectoral multipliers to the general strictness level </w:t>
      </w:r>
      <w:r w:rsidRPr="00214EFC">
        <w:lastRenderedPageBreak/>
        <w:t>to get the sector-specific strictness. The sectoral multipliers could differentiate the impact of pandemic on each sector and are designed from three dimensions, i.e., the exposure level to the virus, whether it is lifeline, and the possibility of working from home. Multipliers range from 0 to 1 (see</w:t>
      </w:r>
      <w:r w:rsidR="008D01B1" w:rsidRPr="00214EFC">
        <w:t xml:space="preserve"> </w:t>
      </w:r>
      <w:r w:rsidR="008D01B1" w:rsidRPr="00214EFC">
        <w:fldChar w:fldCharType="begin"/>
      </w:r>
      <w:r w:rsidR="008D01B1" w:rsidRPr="00214EFC">
        <w:instrText xml:space="preserve"> REF _Ref56516767 \h </w:instrText>
      </w:r>
      <w:r w:rsidR="00E0195B" w:rsidRPr="00214EFC">
        <w:instrText xml:space="preserve"> \* MERGEFORMAT </w:instrText>
      </w:r>
      <w:r w:rsidR="008D01B1" w:rsidRPr="00214EFC">
        <w:fldChar w:fldCharType="separate"/>
      </w:r>
      <w:r w:rsidR="00E309AB" w:rsidRPr="00214EFC">
        <w:t xml:space="preserve">Table S </w:t>
      </w:r>
      <w:r w:rsidR="00E309AB">
        <w:rPr>
          <w:noProof/>
        </w:rPr>
        <w:t>3</w:t>
      </w:r>
      <w:r w:rsidR="008D01B1" w:rsidRPr="00214EFC">
        <w:fldChar w:fldCharType="end"/>
      </w:r>
      <w:r w:rsidRPr="00214EFC">
        <w:t xml:space="preserve">) </w:t>
      </w:r>
      <w:r w:rsidRPr="00214EFC">
        <w:fldChar w:fldCharType="begin"/>
      </w:r>
      <w:r w:rsidR="00E96E4B" w:rsidRPr="00214EFC">
        <w:instrText xml:space="preserve"> ADDIN EN.CITE &lt;EndNote&gt;&lt;Cite&gt;&lt;Author&gt;Guan&lt;/Author&gt;&lt;Year&gt;2020&lt;/Year&gt;&lt;RecNum&gt;5146&lt;/RecNum&gt;&lt;DisplayText&gt;&lt;style face="superscript"&gt;8&lt;/style&gt;&lt;/DisplayText&gt;&lt;record&gt;&lt;rec-number&gt;5146&lt;/rec-number&gt;&lt;foreign-keys&gt;&lt;key app="EN" db-id="9azte9a5ia5pr2evpac5pda3sr5x2dfwfert" timestamp="1588816820"&gt;5146&lt;/key&gt;&lt;/foreign-keys&gt;&lt;ref-type name="Journal Article"&gt;17&lt;/ref-type&gt;&lt;contributors&gt;&lt;authors&gt;&lt;author&gt;Guan, Dabo&lt;/author&gt;&lt;author&gt;Wang, Daoping&lt;/author&gt;&lt;author&gt;Hallegatte, Stéphane&lt;/author&gt;&lt;author&gt;Huo, Jingwen&lt;/author&gt;&lt;author&gt;Li, Shuping&lt;/author&gt;&lt;author&gt;Bai, Chunyang&lt;/author&gt;&lt;author&gt;Lei, Tianyang&lt;/author&gt;&lt;author&gt;Xue, Qianyu&lt;/author&gt;&lt;author&gt;Davis, J. Steven&lt;/author&gt;&lt;author&gt;Coffman, D&amp;apos;Maris&lt;/author&gt;&lt;author&gt;Cheng, Danyang&lt;/author&gt;&lt;author&gt;Chen, Peipei&lt;/author&gt;&lt;author&gt;Liang, Xi&lt;/author&gt;&lt;author&gt;Xu, Bing&lt;/author&gt;&lt;author&gt;Lu, Xiaoshang&lt;/author&gt;&lt;author&gt;Wang, Shouyang&lt;/author&gt;&lt;author&gt;Hubacek, Klaus&lt;/author&gt;&lt;author&gt;Gong, Peng&lt;/author&gt;&lt;/authors&gt;&lt;/contributors&gt;&lt;titles&gt;&lt;title&gt;Global economic footprint of the COVID-19 pandemic&lt;/title&gt;&lt;secondary-title&gt;Nature Human Behaviour&lt;/secondary-title&gt;&lt;/titles&gt;&lt;periodical&gt;&lt;full-title&gt;Nature Human Behaviour&lt;/full-title&gt;&lt;/periodical&gt;&lt;dates&gt;&lt;year&gt;2020&lt;/year&gt;&lt;/dates&gt;&lt;urls&gt;&lt;/urls&gt;&lt;electronic-resource-num&gt;10.1038/s41562-020-0896-8&lt;/electronic-resource-num&gt;&lt;/record&gt;&lt;/Cite&gt;&lt;/EndNote&gt;</w:instrText>
      </w:r>
      <w:r w:rsidRPr="00214EFC">
        <w:fldChar w:fldCharType="separate"/>
      </w:r>
      <w:r w:rsidR="00E96E4B" w:rsidRPr="00214EFC">
        <w:rPr>
          <w:noProof/>
          <w:vertAlign w:val="superscript"/>
        </w:rPr>
        <w:t>8</w:t>
      </w:r>
      <w:r w:rsidRPr="00214EFC">
        <w:fldChar w:fldCharType="end"/>
      </w:r>
      <w:r w:rsidRPr="00214EFC">
        <w:t>. If a sector’s exposure level to the virus is low and it is a lifeline sector and is easy to work from home, the sector’s multiplier will be small, indicating that the sector is less affected by the pandemic and the lockdown measures.</w:t>
      </w:r>
      <w:bookmarkStart w:id="18" w:name="_Hlk49764790"/>
      <w:bookmarkEnd w:id="18"/>
    </w:p>
    <w:p w14:paraId="25CF2595" w14:textId="14FCB70C" w:rsidR="00592904" w:rsidRPr="00214EFC" w:rsidRDefault="00592904" w:rsidP="00AA63CD">
      <w:pPr>
        <w:pStyle w:val="af6"/>
        <w:spacing w:after="100" w:afterAutospacing="1" w:line="360" w:lineRule="auto"/>
      </w:pPr>
      <w:bookmarkStart w:id="19" w:name="_Ref56516767"/>
      <w:r w:rsidRPr="00214EFC">
        <w:t xml:space="preserve">Table S </w:t>
      </w:r>
      <w:fldSimple w:instr=" SEQ Table_S \* ARABIC ">
        <w:r w:rsidR="00A80F2F">
          <w:rPr>
            <w:noProof/>
          </w:rPr>
          <w:t>3</w:t>
        </w:r>
      </w:fldSimple>
      <w:bookmarkEnd w:id="19"/>
      <w:r w:rsidRPr="00214EFC">
        <w:t xml:space="preserve"> GTAP sector classification and multiplier.</w:t>
      </w:r>
    </w:p>
    <w:tbl>
      <w:tblPr>
        <w:tblStyle w:val="afa"/>
        <w:tblW w:w="833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46"/>
        <w:gridCol w:w="670"/>
        <w:gridCol w:w="2816"/>
        <w:gridCol w:w="1688"/>
        <w:gridCol w:w="1097"/>
        <w:gridCol w:w="1414"/>
      </w:tblGrid>
      <w:tr w:rsidR="00592904" w:rsidRPr="00214EFC" w14:paraId="29EC6878" w14:textId="77777777" w:rsidTr="002179D4">
        <w:trPr>
          <w:trHeight w:val="19"/>
          <w:jc w:val="center"/>
        </w:trPr>
        <w:tc>
          <w:tcPr>
            <w:tcW w:w="646" w:type="dxa"/>
            <w:tcBorders>
              <w:top w:val="single" w:sz="12" w:space="0" w:color="auto"/>
              <w:bottom w:val="single" w:sz="4" w:space="0" w:color="auto"/>
            </w:tcBorders>
            <w:noWrap/>
            <w:vAlign w:val="center"/>
            <w:hideMark/>
          </w:tcPr>
          <w:p w14:paraId="16E18C8A" w14:textId="77777777" w:rsidR="00592904" w:rsidRPr="00214EFC" w:rsidRDefault="00592904" w:rsidP="00AA63CD">
            <w:pPr>
              <w:spacing w:after="100" w:afterAutospacing="1" w:line="360" w:lineRule="auto"/>
              <w:rPr>
                <w:b/>
                <w:bCs/>
                <w:sz w:val="20"/>
                <w:szCs w:val="20"/>
              </w:rPr>
            </w:pPr>
            <w:r w:rsidRPr="00214EFC">
              <w:rPr>
                <w:b/>
                <w:bCs/>
                <w:sz w:val="20"/>
                <w:szCs w:val="20"/>
              </w:rPr>
              <w:t>SID</w:t>
            </w:r>
          </w:p>
        </w:tc>
        <w:tc>
          <w:tcPr>
            <w:tcW w:w="670" w:type="dxa"/>
            <w:tcBorders>
              <w:top w:val="single" w:sz="12" w:space="0" w:color="auto"/>
              <w:bottom w:val="single" w:sz="4" w:space="0" w:color="auto"/>
            </w:tcBorders>
            <w:noWrap/>
            <w:vAlign w:val="center"/>
            <w:hideMark/>
          </w:tcPr>
          <w:p w14:paraId="65D94194" w14:textId="77777777" w:rsidR="00592904" w:rsidRPr="00214EFC" w:rsidRDefault="00592904" w:rsidP="00AA63CD">
            <w:pPr>
              <w:spacing w:after="100" w:afterAutospacing="1" w:line="360" w:lineRule="auto"/>
              <w:rPr>
                <w:b/>
                <w:bCs/>
                <w:sz w:val="20"/>
                <w:szCs w:val="20"/>
              </w:rPr>
            </w:pPr>
            <w:r w:rsidRPr="00214EFC">
              <w:rPr>
                <w:b/>
                <w:bCs/>
                <w:sz w:val="20"/>
                <w:szCs w:val="20"/>
              </w:rPr>
              <w:t>Code</w:t>
            </w:r>
          </w:p>
        </w:tc>
        <w:tc>
          <w:tcPr>
            <w:tcW w:w="2816" w:type="dxa"/>
            <w:tcBorders>
              <w:top w:val="single" w:sz="12" w:space="0" w:color="auto"/>
              <w:bottom w:val="single" w:sz="4" w:space="0" w:color="auto"/>
            </w:tcBorders>
            <w:noWrap/>
            <w:vAlign w:val="center"/>
            <w:hideMark/>
          </w:tcPr>
          <w:p w14:paraId="5AB5B47D" w14:textId="77777777" w:rsidR="00592904" w:rsidRPr="00214EFC" w:rsidRDefault="00592904" w:rsidP="00AA63CD">
            <w:pPr>
              <w:spacing w:after="100" w:afterAutospacing="1" w:line="360" w:lineRule="auto"/>
              <w:rPr>
                <w:b/>
                <w:bCs/>
                <w:sz w:val="20"/>
                <w:szCs w:val="20"/>
              </w:rPr>
            </w:pPr>
            <w:r w:rsidRPr="00214EFC">
              <w:rPr>
                <w:b/>
                <w:bCs/>
                <w:sz w:val="20"/>
                <w:szCs w:val="20"/>
              </w:rPr>
              <w:t>Name</w:t>
            </w:r>
          </w:p>
        </w:tc>
        <w:tc>
          <w:tcPr>
            <w:tcW w:w="1688" w:type="dxa"/>
            <w:tcBorders>
              <w:top w:val="single" w:sz="12" w:space="0" w:color="auto"/>
              <w:bottom w:val="single" w:sz="4" w:space="0" w:color="auto"/>
            </w:tcBorders>
            <w:noWrap/>
            <w:vAlign w:val="center"/>
            <w:hideMark/>
          </w:tcPr>
          <w:p w14:paraId="07DA0491" w14:textId="77777777" w:rsidR="00592904" w:rsidRPr="00214EFC" w:rsidRDefault="00592904" w:rsidP="00AA63CD">
            <w:pPr>
              <w:spacing w:after="100" w:afterAutospacing="1" w:line="360" w:lineRule="auto"/>
              <w:rPr>
                <w:b/>
                <w:bCs/>
                <w:sz w:val="20"/>
                <w:szCs w:val="20"/>
              </w:rPr>
            </w:pPr>
            <w:r w:rsidRPr="00214EFC">
              <w:rPr>
                <w:b/>
                <w:bCs/>
                <w:sz w:val="20"/>
                <w:szCs w:val="20"/>
              </w:rPr>
              <w:t>Short Name</w:t>
            </w:r>
          </w:p>
        </w:tc>
        <w:tc>
          <w:tcPr>
            <w:tcW w:w="1097" w:type="dxa"/>
            <w:tcBorders>
              <w:top w:val="single" w:sz="12" w:space="0" w:color="auto"/>
              <w:bottom w:val="single" w:sz="4" w:space="0" w:color="auto"/>
            </w:tcBorders>
            <w:noWrap/>
            <w:vAlign w:val="center"/>
            <w:hideMark/>
          </w:tcPr>
          <w:p w14:paraId="51EDEA65" w14:textId="77777777" w:rsidR="00592904" w:rsidRPr="00214EFC" w:rsidRDefault="00592904" w:rsidP="00AA63CD">
            <w:pPr>
              <w:spacing w:after="100" w:afterAutospacing="1" w:line="360" w:lineRule="auto"/>
              <w:rPr>
                <w:b/>
                <w:bCs/>
                <w:sz w:val="20"/>
                <w:szCs w:val="20"/>
              </w:rPr>
            </w:pPr>
            <w:r w:rsidRPr="00214EFC">
              <w:rPr>
                <w:b/>
                <w:bCs/>
                <w:sz w:val="20"/>
                <w:szCs w:val="20"/>
              </w:rPr>
              <w:t>Multiplier</w:t>
            </w:r>
          </w:p>
        </w:tc>
        <w:tc>
          <w:tcPr>
            <w:tcW w:w="1414" w:type="dxa"/>
            <w:tcBorders>
              <w:top w:val="single" w:sz="12" w:space="0" w:color="auto"/>
              <w:bottom w:val="single" w:sz="4" w:space="0" w:color="auto"/>
            </w:tcBorders>
            <w:noWrap/>
            <w:vAlign w:val="center"/>
            <w:hideMark/>
          </w:tcPr>
          <w:p w14:paraId="2F45F59E" w14:textId="77777777" w:rsidR="00592904" w:rsidRPr="00214EFC" w:rsidRDefault="00592904" w:rsidP="00AA63CD">
            <w:pPr>
              <w:spacing w:after="100" w:afterAutospacing="1" w:line="360" w:lineRule="auto"/>
              <w:rPr>
                <w:b/>
                <w:bCs/>
                <w:sz w:val="20"/>
                <w:szCs w:val="20"/>
              </w:rPr>
            </w:pPr>
            <w:r w:rsidRPr="00214EFC">
              <w:rPr>
                <w:b/>
                <w:bCs/>
                <w:sz w:val="20"/>
                <w:szCs w:val="20"/>
              </w:rPr>
              <w:t>Rational</w:t>
            </w:r>
          </w:p>
        </w:tc>
      </w:tr>
      <w:tr w:rsidR="00592904" w:rsidRPr="00214EFC" w14:paraId="0D84533C" w14:textId="77777777" w:rsidTr="002179D4">
        <w:trPr>
          <w:trHeight w:val="19"/>
          <w:jc w:val="center"/>
        </w:trPr>
        <w:tc>
          <w:tcPr>
            <w:tcW w:w="646" w:type="dxa"/>
            <w:tcBorders>
              <w:top w:val="single" w:sz="4" w:space="0" w:color="auto"/>
            </w:tcBorders>
            <w:noWrap/>
            <w:vAlign w:val="center"/>
            <w:hideMark/>
          </w:tcPr>
          <w:p w14:paraId="6D7094AA"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670" w:type="dxa"/>
            <w:tcBorders>
              <w:top w:val="single" w:sz="4" w:space="0" w:color="auto"/>
            </w:tcBorders>
            <w:noWrap/>
            <w:vAlign w:val="center"/>
            <w:hideMark/>
          </w:tcPr>
          <w:p w14:paraId="13042C21" w14:textId="77777777" w:rsidR="00592904" w:rsidRPr="00214EFC" w:rsidRDefault="00592904" w:rsidP="00AA63CD">
            <w:pPr>
              <w:spacing w:after="100" w:afterAutospacing="1" w:line="360" w:lineRule="auto"/>
              <w:rPr>
                <w:sz w:val="20"/>
                <w:szCs w:val="20"/>
              </w:rPr>
            </w:pPr>
            <w:proofErr w:type="spellStart"/>
            <w:r w:rsidRPr="00214EFC">
              <w:rPr>
                <w:sz w:val="20"/>
                <w:szCs w:val="20"/>
              </w:rPr>
              <w:t>pdr</w:t>
            </w:r>
            <w:proofErr w:type="spellEnd"/>
          </w:p>
        </w:tc>
        <w:tc>
          <w:tcPr>
            <w:tcW w:w="2816" w:type="dxa"/>
            <w:tcBorders>
              <w:top w:val="single" w:sz="4" w:space="0" w:color="auto"/>
            </w:tcBorders>
            <w:noWrap/>
            <w:vAlign w:val="center"/>
            <w:hideMark/>
          </w:tcPr>
          <w:p w14:paraId="221DB6E5" w14:textId="77777777" w:rsidR="00592904" w:rsidRPr="00214EFC" w:rsidRDefault="00592904" w:rsidP="00AA63CD">
            <w:pPr>
              <w:spacing w:after="100" w:afterAutospacing="1" w:line="360" w:lineRule="auto"/>
              <w:jc w:val="left"/>
              <w:rPr>
                <w:sz w:val="20"/>
                <w:szCs w:val="20"/>
              </w:rPr>
            </w:pPr>
            <w:r w:rsidRPr="00214EFC">
              <w:rPr>
                <w:sz w:val="20"/>
                <w:szCs w:val="20"/>
              </w:rPr>
              <w:t>Paddy rice</w:t>
            </w:r>
          </w:p>
        </w:tc>
        <w:tc>
          <w:tcPr>
            <w:tcW w:w="1688" w:type="dxa"/>
            <w:tcBorders>
              <w:top w:val="single" w:sz="4" w:space="0" w:color="auto"/>
            </w:tcBorders>
            <w:noWrap/>
            <w:vAlign w:val="center"/>
            <w:hideMark/>
          </w:tcPr>
          <w:p w14:paraId="68FE3EEA" w14:textId="77777777" w:rsidR="00592904" w:rsidRPr="00214EFC" w:rsidRDefault="00592904" w:rsidP="00AA63CD">
            <w:pPr>
              <w:spacing w:after="100" w:afterAutospacing="1" w:line="360" w:lineRule="auto"/>
              <w:rPr>
                <w:sz w:val="20"/>
                <w:szCs w:val="20"/>
              </w:rPr>
            </w:pPr>
            <w:r w:rsidRPr="00214EFC">
              <w:rPr>
                <w:sz w:val="20"/>
                <w:szCs w:val="20"/>
              </w:rPr>
              <w:t>Rice</w:t>
            </w:r>
          </w:p>
        </w:tc>
        <w:tc>
          <w:tcPr>
            <w:tcW w:w="1097" w:type="dxa"/>
            <w:tcBorders>
              <w:top w:val="single" w:sz="4" w:space="0" w:color="auto"/>
            </w:tcBorders>
            <w:noWrap/>
            <w:vAlign w:val="center"/>
            <w:hideMark/>
          </w:tcPr>
          <w:p w14:paraId="7CC07B09"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restart"/>
            <w:tcBorders>
              <w:top w:val="single" w:sz="4" w:space="0" w:color="auto"/>
            </w:tcBorders>
            <w:vAlign w:val="center"/>
            <w:hideMark/>
          </w:tcPr>
          <w:p w14:paraId="7F3CF4E9" w14:textId="77777777" w:rsidR="00592904" w:rsidRPr="00214EFC" w:rsidRDefault="00592904" w:rsidP="00AA63CD">
            <w:pPr>
              <w:spacing w:after="100" w:afterAutospacing="1" w:line="360" w:lineRule="auto"/>
              <w:jc w:val="left"/>
              <w:rPr>
                <w:sz w:val="20"/>
                <w:szCs w:val="20"/>
              </w:rPr>
            </w:pPr>
            <w:r w:rsidRPr="00214EFC">
              <w:rPr>
                <w:sz w:val="20"/>
                <w:szCs w:val="20"/>
              </w:rPr>
              <w:t>1)Lower exposure risk of agricultural production activities.</w:t>
            </w:r>
          </w:p>
          <w:p w14:paraId="608C9D88" w14:textId="77777777" w:rsidR="00592904" w:rsidRPr="00214EFC" w:rsidRDefault="00592904" w:rsidP="00AA63CD">
            <w:pPr>
              <w:spacing w:after="100" w:afterAutospacing="1" w:line="360" w:lineRule="auto"/>
              <w:jc w:val="left"/>
              <w:rPr>
                <w:sz w:val="20"/>
                <w:szCs w:val="20"/>
              </w:rPr>
            </w:pPr>
            <w:r w:rsidRPr="00214EFC">
              <w:rPr>
                <w:sz w:val="20"/>
                <w:szCs w:val="20"/>
              </w:rPr>
              <w:t>2) Necessity</w:t>
            </w:r>
          </w:p>
        </w:tc>
      </w:tr>
      <w:tr w:rsidR="00592904" w:rsidRPr="00214EFC" w14:paraId="21985046" w14:textId="77777777" w:rsidTr="002179D4">
        <w:trPr>
          <w:trHeight w:val="19"/>
          <w:jc w:val="center"/>
        </w:trPr>
        <w:tc>
          <w:tcPr>
            <w:tcW w:w="646" w:type="dxa"/>
            <w:noWrap/>
            <w:vAlign w:val="center"/>
            <w:hideMark/>
          </w:tcPr>
          <w:p w14:paraId="2879DCB2" w14:textId="77777777" w:rsidR="00592904" w:rsidRPr="00214EFC" w:rsidRDefault="00592904" w:rsidP="00AA63CD">
            <w:pPr>
              <w:spacing w:after="100" w:afterAutospacing="1" w:line="360" w:lineRule="auto"/>
              <w:rPr>
                <w:sz w:val="20"/>
                <w:szCs w:val="20"/>
              </w:rPr>
            </w:pPr>
            <w:r w:rsidRPr="00214EFC">
              <w:rPr>
                <w:sz w:val="20"/>
                <w:szCs w:val="20"/>
              </w:rPr>
              <w:t>2</w:t>
            </w:r>
          </w:p>
        </w:tc>
        <w:tc>
          <w:tcPr>
            <w:tcW w:w="670" w:type="dxa"/>
            <w:noWrap/>
            <w:vAlign w:val="center"/>
            <w:hideMark/>
          </w:tcPr>
          <w:p w14:paraId="66145F78" w14:textId="77777777" w:rsidR="00592904" w:rsidRPr="00214EFC" w:rsidRDefault="00592904" w:rsidP="00AA63CD">
            <w:pPr>
              <w:spacing w:after="100" w:afterAutospacing="1" w:line="360" w:lineRule="auto"/>
              <w:rPr>
                <w:sz w:val="20"/>
                <w:szCs w:val="20"/>
              </w:rPr>
            </w:pPr>
            <w:proofErr w:type="spellStart"/>
            <w:r w:rsidRPr="00214EFC">
              <w:rPr>
                <w:sz w:val="20"/>
                <w:szCs w:val="20"/>
              </w:rPr>
              <w:t>wht</w:t>
            </w:r>
            <w:proofErr w:type="spellEnd"/>
          </w:p>
        </w:tc>
        <w:tc>
          <w:tcPr>
            <w:tcW w:w="2816" w:type="dxa"/>
            <w:noWrap/>
            <w:vAlign w:val="center"/>
            <w:hideMark/>
          </w:tcPr>
          <w:p w14:paraId="369F7163" w14:textId="77777777" w:rsidR="00592904" w:rsidRPr="00214EFC" w:rsidRDefault="00592904" w:rsidP="00AA63CD">
            <w:pPr>
              <w:spacing w:after="100" w:afterAutospacing="1" w:line="360" w:lineRule="auto"/>
              <w:jc w:val="left"/>
              <w:rPr>
                <w:sz w:val="20"/>
                <w:szCs w:val="20"/>
              </w:rPr>
            </w:pPr>
            <w:r w:rsidRPr="00214EFC">
              <w:rPr>
                <w:sz w:val="20"/>
                <w:szCs w:val="20"/>
              </w:rPr>
              <w:t>Wheat</w:t>
            </w:r>
          </w:p>
        </w:tc>
        <w:tc>
          <w:tcPr>
            <w:tcW w:w="1688" w:type="dxa"/>
            <w:noWrap/>
            <w:vAlign w:val="center"/>
            <w:hideMark/>
          </w:tcPr>
          <w:p w14:paraId="1DCDA0EF" w14:textId="77777777" w:rsidR="00592904" w:rsidRPr="00214EFC" w:rsidRDefault="00592904" w:rsidP="00AA63CD">
            <w:pPr>
              <w:spacing w:after="100" w:afterAutospacing="1" w:line="360" w:lineRule="auto"/>
              <w:rPr>
                <w:sz w:val="20"/>
                <w:szCs w:val="20"/>
              </w:rPr>
            </w:pPr>
            <w:r w:rsidRPr="00214EFC">
              <w:rPr>
                <w:sz w:val="20"/>
                <w:szCs w:val="20"/>
              </w:rPr>
              <w:t>Wheat</w:t>
            </w:r>
          </w:p>
        </w:tc>
        <w:tc>
          <w:tcPr>
            <w:tcW w:w="1097" w:type="dxa"/>
            <w:noWrap/>
            <w:vAlign w:val="center"/>
            <w:hideMark/>
          </w:tcPr>
          <w:p w14:paraId="74A3AC9D"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4622014A" w14:textId="77777777" w:rsidR="00592904" w:rsidRPr="00214EFC" w:rsidRDefault="00592904" w:rsidP="00AA63CD">
            <w:pPr>
              <w:spacing w:after="100" w:afterAutospacing="1" w:line="360" w:lineRule="auto"/>
              <w:jc w:val="left"/>
              <w:rPr>
                <w:sz w:val="20"/>
                <w:szCs w:val="20"/>
              </w:rPr>
            </w:pPr>
          </w:p>
        </w:tc>
      </w:tr>
      <w:tr w:rsidR="00592904" w:rsidRPr="00214EFC" w14:paraId="17A07357" w14:textId="77777777" w:rsidTr="002179D4">
        <w:trPr>
          <w:trHeight w:val="19"/>
          <w:jc w:val="center"/>
        </w:trPr>
        <w:tc>
          <w:tcPr>
            <w:tcW w:w="646" w:type="dxa"/>
            <w:noWrap/>
            <w:vAlign w:val="center"/>
            <w:hideMark/>
          </w:tcPr>
          <w:p w14:paraId="6B4C3F7B" w14:textId="77777777" w:rsidR="00592904" w:rsidRPr="00214EFC" w:rsidRDefault="00592904" w:rsidP="00AA63CD">
            <w:pPr>
              <w:spacing w:after="100" w:afterAutospacing="1" w:line="360" w:lineRule="auto"/>
              <w:rPr>
                <w:sz w:val="20"/>
                <w:szCs w:val="20"/>
              </w:rPr>
            </w:pPr>
            <w:r w:rsidRPr="00214EFC">
              <w:rPr>
                <w:sz w:val="20"/>
                <w:szCs w:val="20"/>
              </w:rPr>
              <w:t>3</w:t>
            </w:r>
          </w:p>
        </w:tc>
        <w:tc>
          <w:tcPr>
            <w:tcW w:w="670" w:type="dxa"/>
            <w:noWrap/>
            <w:vAlign w:val="center"/>
            <w:hideMark/>
          </w:tcPr>
          <w:p w14:paraId="672C3869" w14:textId="77777777" w:rsidR="00592904" w:rsidRPr="00214EFC" w:rsidRDefault="00592904" w:rsidP="00AA63CD">
            <w:pPr>
              <w:spacing w:after="100" w:afterAutospacing="1" w:line="360" w:lineRule="auto"/>
              <w:rPr>
                <w:sz w:val="20"/>
                <w:szCs w:val="20"/>
              </w:rPr>
            </w:pPr>
            <w:proofErr w:type="spellStart"/>
            <w:r w:rsidRPr="00214EFC">
              <w:rPr>
                <w:sz w:val="20"/>
                <w:szCs w:val="20"/>
              </w:rPr>
              <w:t>gro</w:t>
            </w:r>
            <w:proofErr w:type="spellEnd"/>
          </w:p>
        </w:tc>
        <w:tc>
          <w:tcPr>
            <w:tcW w:w="2816" w:type="dxa"/>
            <w:noWrap/>
            <w:vAlign w:val="center"/>
            <w:hideMark/>
          </w:tcPr>
          <w:p w14:paraId="267CEF2F" w14:textId="77777777" w:rsidR="00592904" w:rsidRPr="00214EFC" w:rsidRDefault="00592904" w:rsidP="00AA63CD">
            <w:pPr>
              <w:spacing w:after="100" w:afterAutospacing="1" w:line="360" w:lineRule="auto"/>
              <w:jc w:val="left"/>
              <w:rPr>
                <w:sz w:val="20"/>
                <w:szCs w:val="20"/>
              </w:rPr>
            </w:pPr>
            <w:r w:rsidRPr="00214EFC">
              <w:rPr>
                <w:sz w:val="20"/>
                <w:szCs w:val="20"/>
              </w:rPr>
              <w:t xml:space="preserve">Cereal grains </w:t>
            </w:r>
            <w:proofErr w:type="spellStart"/>
            <w:r w:rsidRPr="00214EFC">
              <w:rPr>
                <w:sz w:val="20"/>
                <w:szCs w:val="20"/>
              </w:rPr>
              <w:t>nec</w:t>
            </w:r>
            <w:proofErr w:type="spellEnd"/>
          </w:p>
        </w:tc>
        <w:tc>
          <w:tcPr>
            <w:tcW w:w="1688" w:type="dxa"/>
            <w:noWrap/>
            <w:vAlign w:val="center"/>
            <w:hideMark/>
          </w:tcPr>
          <w:p w14:paraId="21F0AC27" w14:textId="77777777" w:rsidR="00592904" w:rsidRPr="00214EFC" w:rsidRDefault="00592904" w:rsidP="00AA63CD">
            <w:pPr>
              <w:spacing w:after="100" w:afterAutospacing="1" w:line="360" w:lineRule="auto"/>
              <w:rPr>
                <w:sz w:val="20"/>
                <w:szCs w:val="20"/>
              </w:rPr>
            </w:pPr>
            <w:r w:rsidRPr="00214EFC">
              <w:rPr>
                <w:sz w:val="20"/>
                <w:szCs w:val="20"/>
              </w:rPr>
              <w:t>Cereals</w:t>
            </w:r>
          </w:p>
        </w:tc>
        <w:tc>
          <w:tcPr>
            <w:tcW w:w="1097" w:type="dxa"/>
            <w:noWrap/>
            <w:vAlign w:val="center"/>
            <w:hideMark/>
          </w:tcPr>
          <w:p w14:paraId="290911FC"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5C03C4C4" w14:textId="77777777" w:rsidR="00592904" w:rsidRPr="00214EFC" w:rsidRDefault="00592904" w:rsidP="00AA63CD">
            <w:pPr>
              <w:spacing w:after="100" w:afterAutospacing="1" w:line="360" w:lineRule="auto"/>
              <w:jc w:val="left"/>
              <w:rPr>
                <w:sz w:val="20"/>
                <w:szCs w:val="20"/>
              </w:rPr>
            </w:pPr>
          </w:p>
        </w:tc>
      </w:tr>
      <w:tr w:rsidR="00592904" w:rsidRPr="00214EFC" w14:paraId="6FA4E909" w14:textId="77777777" w:rsidTr="002179D4">
        <w:trPr>
          <w:trHeight w:val="19"/>
          <w:jc w:val="center"/>
        </w:trPr>
        <w:tc>
          <w:tcPr>
            <w:tcW w:w="646" w:type="dxa"/>
            <w:noWrap/>
            <w:vAlign w:val="center"/>
            <w:hideMark/>
          </w:tcPr>
          <w:p w14:paraId="017585CF" w14:textId="77777777" w:rsidR="00592904" w:rsidRPr="00214EFC" w:rsidRDefault="00592904" w:rsidP="00AA63CD">
            <w:pPr>
              <w:spacing w:after="100" w:afterAutospacing="1" w:line="360" w:lineRule="auto"/>
              <w:rPr>
                <w:sz w:val="20"/>
                <w:szCs w:val="20"/>
              </w:rPr>
            </w:pPr>
            <w:r w:rsidRPr="00214EFC">
              <w:rPr>
                <w:sz w:val="20"/>
                <w:szCs w:val="20"/>
              </w:rPr>
              <w:t>4</w:t>
            </w:r>
          </w:p>
        </w:tc>
        <w:tc>
          <w:tcPr>
            <w:tcW w:w="670" w:type="dxa"/>
            <w:noWrap/>
            <w:vAlign w:val="center"/>
            <w:hideMark/>
          </w:tcPr>
          <w:p w14:paraId="149B0854" w14:textId="77777777" w:rsidR="00592904" w:rsidRPr="00214EFC" w:rsidRDefault="00592904" w:rsidP="00AA63CD">
            <w:pPr>
              <w:spacing w:after="100" w:afterAutospacing="1" w:line="360" w:lineRule="auto"/>
              <w:rPr>
                <w:sz w:val="20"/>
                <w:szCs w:val="20"/>
              </w:rPr>
            </w:pPr>
            <w:proofErr w:type="spellStart"/>
            <w:r w:rsidRPr="00214EFC">
              <w:rPr>
                <w:sz w:val="20"/>
                <w:szCs w:val="20"/>
              </w:rPr>
              <w:t>v_f</w:t>
            </w:r>
            <w:proofErr w:type="spellEnd"/>
          </w:p>
        </w:tc>
        <w:tc>
          <w:tcPr>
            <w:tcW w:w="2816" w:type="dxa"/>
            <w:noWrap/>
            <w:vAlign w:val="center"/>
            <w:hideMark/>
          </w:tcPr>
          <w:p w14:paraId="1A9B45DA" w14:textId="77777777" w:rsidR="00592904" w:rsidRPr="00214EFC" w:rsidRDefault="00592904" w:rsidP="00AA63CD">
            <w:pPr>
              <w:spacing w:after="100" w:afterAutospacing="1" w:line="360" w:lineRule="auto"/>
              <w:jc w:val="left"/>
              <w:rPr>
                <w:sz w:val="20"/>
                <w:szCs w:val="20"/>
              </w:rPr>
            </w:pPr>
            <w:r w:rsidRPr="00214EFC">
              <w:rPr>
                <w:sz w:val="20"/>
                <w:szCs w:val="20"/>
              </w:rPr>
              <w:t>Vegetables, fruit, nuts</w:t>
            </w:r>
          </w:p>
        </w:tc>
        <w:tc>
          <w:tcPr>
            <w:tcW w:w="1688" w:type="dxa"/>
            <w:noWrap/>
            <w:vAlign w:val="center"/>
            <w:hideMark/>
          </w:tcPr>
          <w:p w14:paraId="51D3782D" w14:textId="77777777" w:rsidR="00592904" w:rsidRPr="00214EFC" w:rsidRDefault="00592904" w:rsidP="00AA63CD">
            <w:pPr>
              <w:spacing w:after="100" w:afterAutospacing="1" w:line="360" w:lineRule="auto"/>
              <w:rPr>
                <w:sz w:val="20"/>
                <w:szCs w:val="20"/>
              </w:rPr>
            </w:pPr>
            <w:r w:rsidRPr="00214EFC">
              <w:rPr>
                <w:sz w:val="20"/>
                <w:szCs w:val="20"/>
              </w:rPr>
              <w:t>Veg &amp; fruits</w:t>
            </w:r>
          </w:p>
        </w:tc>
        <w:tc>
          <w:tcPr>
            <w:tcW w:w="1097" w:type="dxa"/>
            <w:noWrap/>
            <w:vAlign w:val="center"/>
            <w:hideMark/>
          </w:tcPr>
          <w:p w14:paraId="38B62C7A"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3FD52979" w14:textId="77777777" w:rsidR="00592904" w:rsidRPr="00214EFC" w:rsidRDefault="00592904" w:rsidP="00AA63CD">
            <w:pPr>
              <w:spacing w:after="100" w:afterAutospacing="1" w:line="360" w:lineRule="auto"/>
              <w:jc w:val="left"/>
              <w:rPr>
                <w:sz w:val="20"/>
                <w:szCs w:val="20"/>
              </w:rPr>
            </w:pPr>
          </w:p>
        </w:tc>
      </w:tr>
      <w:tr w:rsidR="00592904" w:rsidRPr="00214EFC" w14:paraId="3691DFAF" w14:textId="77777777" w:rsidTr="002179D4">
        <w:trPr>
          <w:trHeight w:val="19"/>
          <w:jc w:val="center"/>
        </w:trPr>
        <w:tc>
          <w:tcPr>
            <w:tcW w:w="646" w:type="dxa"/>
            <w:noWrap/>
            <w:vAlign w:val="center"/>
            <w:hideMark/>
          </w:tcPr>
          <w:p w14:paraId="248CF58F" w14:textId="77777777" w:rsidR="00592904" w:rsidRPr="00214EFC" w:rsidRDefault="00592904" w:rsidP="00AA63CD">
            <w:pPr>
              <w:spacing w:after="100" w:afterAutospacing="1" w:line="360" w:lineRule="auto"/>
              <w:rPr>
                <w:sz w:val="20"/>
                <w:szCs w:val="20"/>
              </w:rPr>
            </w:pPr>
            <w:r w:rsidRPr="00214EFC">
              <w:rPr>
                <w:sz w:val="20"/>
                <w:szCs w:val="20"/>
              </w:rPr>
              <w:t>5</w:t>
            </w:r>
          </w:p>
        </w:tc>
        <w:tc>
          <w:tcPr>
            <w:tcW w:w="670" w:type="dxa"/>
            <w:noWrap/>
            <w:vAlign w:val="center"/>
            <w:hideMark/>
          </w:tcPr>
          <w:p w14:paraId="4EB52905" w14:textId="77777777" w:rsidR="00592904" w:rsidRPr="00214EFC" w:rsidRDefault="00592904" w:rsidP="00AA63CD">
            <w:pPr>
              <w:spacing w:after="100" w:afterAutospacing="1" w:line="360" w:lineRule="auto"/>
              <w:rPr>
                <w:sz w:val="20"/>
                <w:szCs w:val="20"/>
              </w:rPr>
            </w:pPr>
            <w:proofErr w:type="spellStart"/>
            <w:r w:rsidRPr="00214EFC">
              <w:rPr>
                <w:sz w:val="20"/>
                <w:szCs w:val="20"/>
              </w:rPr>
              <w:t>osd</w:t>
            </w:r>
            <w:proofErr w:type="spellEnd"/>
          </w:p>
        </w:tc>
        <w:tc>
          <w:tcPr>
            <w:tcW w:w="2816" w:type="dxa"/>
            <w:noWrap/>
            <w:vAlign w:val="center"/>
            <w:hideMark/>
          </w:tcPr>
          <w:p w14:paraId="16F375E4" w14:textId="77777777" w:rsidR="00592904" w:rsidRPr="00214EFC" w:rsidRDefault="00592904" w:rsidP="00AA63CD">
            <w:pPr>
              <w:spacing w:after="100" w:afterAutospacing="1" w:line="360" w:lineRule="auto"/>
              <w:jc w:val="left"/>
              <w:rPr>
                <w:sz w:val="20"/>
                <w:szCs w:val="20"/>
              </w:rPr>
            </w:pPr>
            <w:r w:rsidRPr="00214EFC">
              <w:rPr>
                <w:sz w:val="20"/>
                <w:szCs w:val="20"/>
              </w:rPr>
              <w:t>Oil seeds</w:t>
            </w:r>
          </w:p>
        </w:tc>
        <w:tc>
          <w:tcPr>
            <w:tcW w:w="1688" w:type="dxa"/>
            <w:noWrap/>
            <w:vAlign w:val="center"/>
            <w:hideMark/>
          </w:tcPr>
          <w:p w14:paraId="14FE73D6" w14:textId="77777777" w:rsidR="00592904" w:rsidRPr="00214EFC" w:rsidRDefault="00592904" w:rsidP="00AA63CD">
            <w:pPr>
              <w:spacing w:after="100" w:afterAutospacing="1" w:line="360" w:lineRule="auto"/>
              <w:rPr>
                <w:sz w:val="20"/>
                <w:szCs w:val="20"/>
              </w:rPr>
            </w:pPr>
            <w:r w:rsidRPr="00214EFC">
              <w:rPr>
                <w:sz w:val="20"/>
                <w:szCs w:val="20"/>
              </w:rPr>
              <w:t>Oilseed</w:t>
            </w:r>
          </w:p>
        </w:tc>
        <w:tc>
          <w:tcPr>
            <w:tcW w:w="1097" w:type="dxa"/>
            <w:noWrap/>
            <w:vAlign w:val="center"/>
            <w:hideMark/>
          </w:tcPr>
          <w:p w14:paraId="00AEA194"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46794D28" w14:textId="77777777" w:rsidR="00592904" w:rsidRPr="00214EFC" w:rsidRDefault="00592904" w:rsidP="00AA63CD">
            <w:pPr>
              <w:spacing w:after="100" w:afterAutospacing="1" w:line="360" w:lineRule="auto"/>
              <w:jc w:val="left"/>
              <w:rPr>
                <w:sz w:val="20"/>
                <w:szCs w:val="20"/>
              </w:rPr>
            </w:pPr>
          </w:p>
        </w:tc>
      </w:tr>
      <w:tr w:rsidR="00592904" w:rsidRPr="00214EFC" w14:paraId="4A1B8725" w14:textId="77777777" w:rsidTr="002179D4">
        <w:trPr>
          <w:trHeight w:val="19"/>
          <w:jc w:val="center"/>
        </w:trPr>
        <w:tc>
          <w:tcPr>
            <w:tcW w:w="646" w:type="dxa"/>
            <w:noWrap/>
            <w:vAlign w:val="center"/>
            <w:hideMark/>
          </w:tcPr>
          <w:p w14:paraId="153F0DF3" w14:textId="77777777" w:rsidR="00592904" w:rsidRPr="00214EFC" w:rsidRDefault="00592904" w:rsidP="00AA63CD">
            <w:pPr>
              <w:spacing w:after="100" w:afterAutospacing="1" w:line="360" w:lineRule="auto"/>
              <w:rPr>
                <w:sz w:val="20"/>
                <w:szCs w:val="20"/>
              </w:rPr>
            </w:pPr>
            <w:r w:rsidRPr="00214EFC">
              <w:rPr>
                <w:sz w:val="20"/>
                <w:szCs w:val="20"/>
              </w:rPr>
              <w:t>6</w:t>
            </w:r>
          </w:p>
        </w:tc>
        <w:tc>
          <w:tcPr>
            <w:tcW w:w="670" w:type="dxa"/>
            <w:noWrap/>
            <w:vAlign w:val="center"/>
            <w:hideMark/>
          </w:tcPr>
          <w:p w14:paraId="2F06E0CB" w14:textId="77777777" w:rsidR="00592904" w:rsidRPr="00214EFC" w:rsidRDefault="00592904" w:rsidP="00AA63CD">
            <w:pPr>
              <w:spacing w:after="100" w:afterAutospacing="1" w:line="360" w:lineRule="auto"/>
              <w:rPr>
                <w:sz w:val="20"/>
                <w:szCs w:val="20"/>
              </w:rPr>
            </w:pPr>
            <w:proofErr w:type="spellStart"/>
            <w:r w:rsidRPr="00214EFC">
              <w:rPr>
                <w:sz w:val="20"/>
                <w:szCs w:val="20"/>
              </w:rPr>
              <w:t>c_b</w:t>
            </w:r>
            <w:proofErr w:type="spellEnd"/>
          </w:p>
        </w:tc>
        <w:tc>
          <w:tcPr>
            <w:tcW w:w="2816" w:type="dxa"/>
            <w:noWrap/>
            <w:vAlign w:val="center"/>
            <w:hideMark/>
          </w:tcPr>
          <w:p w14:paraId="35EAAA75" w14:textId="77777777" w:rsidR="00592904" w:rsidRPr="00214EFC" w:rsidRDefault="00592904" w:rsidP="00AA63CD">
            <w:pPr>
              <w:spacing w:after="100" w:afterAutospacing="1" w:line="360" w:lineRule="auto"/>
              <w:jc w:val="left"/>
              <w:rPr>
                <w:sz w:val="20"/>
                <w:szCs w:val="20"/>
              </w:rPr>
            </w:pPr>
            <w:r w:rsidRPr="00214EFC">
              <w:rPr>
                <w:sz w:val="20"/>
                <w:szCs w:val="20"/>
              </w:rPr>
              <w:t>Sugar cane, sugar beet</w:t>
            </w:r>
          </w:p>
        </w:tc>
        <w:tc>
          <w:tcPr>
            <w:tcW w:w="1688" w:type="dxa"/>
            <w:noWrap/>
            <w:vAlign w:val="center"/>
            <w:hideMark/>
          </w:tcPr>
          <w:p w14:paraId="069A14C3" w14:textId="77777777" w:rsidR="00592904" w:rsidRPr="00214EFC" w:rsidRDefault="00592904" w:rsidP="00AA63CD">
            <w:pPr>
              <w:spacing w:after="100" w:afterAutospacing="1" w:line="360" w:lineRule="auto"/>
              <w:rPr>
                <w:sz w:val="20"/>
                <w:szCs w:val="20"/>
              </w:rPr>
            </w:pPr>
            <w:r w:rsidRPr="00214EFC">
              <w:rPr>
                <w:sz w:val="20"/>
                <w:szCs w:val="20"/>
              </w:rPr>
              <w:t>Sugar crops</w:t>
            </w:r>
          </w:p>
        </w:tc>
        <w:tc>
          <w:tcPr>
            <w:tcW w:w="1097" w:type="dxa"/>
            <w:noWrap/>
            <w:vAlign w:val="center"/>
            <w:hideMark/>
          </w:tcPr>
          <w:p w14:paraId="601B308A"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0E2204B7" w14:textId="77777777" w:rsidR="00592904" w:rsidRPr="00214EFC" w:rsidRDefault="00592904" w:rsidP="00AA63CD">
            <w:pPr>
              <w:spacing w:after="100" w:afterAutospacing="1" w:line="360" w:lineRule="auto"/>
              <w:jc w:val="left"/>
              <w:rPr>
                <w:sz w:val="20"/>
                <w:szCs w:val="20"/>
              </w:rPr>
            </w:pPr>
          </w:p>
        </w:tc>
      </w:tr>
      <w:tr w:rsidR="00592904" w:rsidRPr="00214EFC" w14:paraId="04E369A8" w14:textId="77777777" w:rsidTr="002179D4">
        <w:trPr>
          <w:trHeight w:val="19"/>
          <w:jc w:val="center"/>
        </w:trPr>
        <w:tc>
          <w:tcPr>
            <w:tcW w:w="646" w:type="dxa"/>
            <w:noWrap/>
            <w:vAlign w:val="center"/>
            <w:hideMark/>
          </w:tcPr>
          <w:p w14:paraId="1D1C65CB" w14:textId="77777777" w:rsidR="00592904" w:rsidRPr="00214EFC" w:rsidRDefault="00592904" w:rsidP="00AA63CD">
            <w:pPr>
              <w:spacing w:after="100" w:afterAutospacing="1" w:line="360" w:lineRule="auto"/>
              <w:rPr>
                <w:sz w:val="20"/>
                <w:szCs w:val="20"/>
              </w:rPr>
            </w:pPr>
            <w:r w:rsidRPr="00214EFC">
              <w:rPr>
                <w:sz w:val="20"/>
                <w:szCs w:val="20"/>
              </w:rPr>
              <w:t>7</w:t>
            </w:r>
          </w:p>
        </w:tc>
        <w:tc>
          <w:tcPr>
            <w:tcW w:w="670" w:type="dxa"/>
            <w:noWrap/>
            <w:vAlign w:val="center"/>
            <w:hideMark/>
          </w:tcPr>
          <w:p w14:paraId="6579DDEF" w14:textId="77777777" w:rsidR="00592904" w:rsidRPr="00214EFC" w:rsidRDefault="00592904" w:rsidP="00AA63CD">
            <w:pPr>
              <w:spacing w:after="100" w:afterAutospacing="1" w:line="360" w:lineRule="auto"/>
              <w:rPr>
                <w:sz w:val="20"/>
                <w:szCs w:val="20"/>
              </w:rPr>
            </w:pPr>
            <w:proofErr w:type="spellStart"/>
            <w:r w:rsidRPr="00214EFC">
              <w:rPr>
                <w:sz w:val="20"/>
                <w:szCs w:val="20"/>
              </w:rPr>
              <w:t>pfb</w:t>
            </w:r>
            <w:proofErr w:type="spellEnd"/>
          </w:p>
        </w:tc>
        <w:tc>
          <w:tcPr>
            <w:tcW w:w="2816" w:type="dxa"/>
            <w:noWrap/>
            <w:vAlign w:val="center"/>
            <w:hideMark/>
          </w:tcPr>
          <w:p w14:paraId="0F43F4B7" w14:textId="77777777" w:rsidR="00592904" w:rsidRPr="00214EFC" w:rsidRDefault="00592904" w:rsidP="00AA63CD">
            <w:pPr>
              <w:spacing w:after="100" w:afterAutospacing="1" w:line="360" w:lineRule="auto"/>
              <w:jc w:val="left"/>
              <w:rPr>
                <w:sz w:val="20"/>
                <w:szCs w:val="20"/>
              </w:rPr>
            </w:pPr>
            <w:r w:rsidRPr="00214EFC">
              <w:rPr>
                <w:sz w:val="20"/>
                <w:szCs w:val="20"/>
              </w:rPr>
              <w:t xml:space="preserve">Plant-based </w:t>
            </w:r>
            <w:proofErr w:type="spellStart"/>
            <w:r w:rsidRPr="00214EFC">
              <w:rPr>
                <w:sz w:val="20"/>
                <w:szCs w:val="20"/>
              </w:rPr>
              <w:t>fibers</w:t>
            </w:r>
            <w:proofErr w:type="spellEnd"/>
          </w:p>
        </w:tc>
        <w:tc>
          <w:tcPr>
            <w:tcW w:w="1688" w:type="dxa"/>
            <w:noWrap/>
            <w:vAlign w:val="center"/>
            <w:hideMark/>
          </w:tcPr>
          <w:p w14:paraId="3D0FD09F" w14:textId="77777777" w:rsidR="00592904" w:rsidRPr="00214EFC" w:rsidRDefault="00592904" w:rsidP="00AA63CD">
            <w:pPr>
              <w:spacing w:after="100" w:afterAutospacing="1" w:line="360" w:lineRule="auto"/>
              <w:rPr>
                <w:sz w:val="20"/>
                <w:szCs w:val="20"/>
              </w:rPr>
            </w:pPr>
            <w:r w:rsidRPr="00214EFC">
              <w:rPr>
                <w:sz w:val="20"/>
                <w:szCs w:val="20"/>
              </w:rPr>
              <w:t>Fibre crops</w:t>
            </w:r>
          </w:p>
        </w:tc>
        <w:tc>
          <w:tcPr>
            <w:tcW w:w="1097" w:type="dxa"/>
            <w:noWrap/>
            <w:vAlign w:val="center"/>
            <w:hideMark/>
          </w:tcPr>
          <w:p w14:paraId="22C329D2"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342830C3" w14:textId="77777777" w:rsidR="00592904" w:rsidRPr="00214EFC" w:rsidRDefault="00592904" w:rsidP="00AA63CD">
            <w:pPr>
              <w:spacing w:after="100" w:afterAutospacing="1" w:line="360" w:lineRule="auto"/>
              <w:jc w:val="left"/>
              <w:rPr>
                <w:sz w:val="20"/>
                <w:szCs w:val="20"/>
              </w:rPr>
            </w:pPr>
          </w:p>
        </w:tc>
      </w:tr>
      <w:tr w:rsidR="00592904" w:rsidRPr="00214EFC" w14:paraId="3C79FB5E" w14:textId="77777777" w:rsidTr="002179D4">
        <w:trPr>
          <w:trHeight w:val="19"/>
          <w:jc w:val="center"/>
        </w:trPr>
        <w:tc>
          <w:tcPr>
            <w:tcW w:w="646" w:type="dxa"/>
            <w:noWrap/>
            <w:vAlign w:val="center"/>
            <w:hideMark/>
          </w:tcPr>
          <w:p w14:paraId="23590A14" w14:textId="77777777" w:rsidR="00592904" w:rsidRPr="00214EFC" w:rsidRDefault="00592904" w:rsidP="00AA63CD">
            <w:pPr>
              <w:spacing w:after="100" w:afterAutospacing="1" w:line="360" w:lineRule="auto"/>
              <w:rPr>
                <w:sz w:val="20"/>
                <w:szCs w:val="20"/>
              </w:rPr>
            </w:pPr>
            <w:r w:rsidRPr="00214EFC">
              <w:rPr>
                <w:sz w:val="20"/>
                <w:szCs w:val="20"/>
              </w:rPr>
              <w:t>8</w:t>
            </w:r>
          </w:p>
        </w:tc>
        <w:tc>
          <w:tcPr>
            <w:tcW w:w="670" w:type="dxa"/>
            <w:noWrap/>
            <w:vAlign w:val="center"/>
            <w:hideMark/>
          </w:tcPr>
          <w:p w14:paraId="29E47603" w14:textId="77777777" w:rsidR="00592904" w:rsidRPr="00214EFC" w:rsidRDefault="00592904" w:rsidP="00AA63CD">
            <w:pPr>
              <w:spacing w:after="100" w:afterAutospacing="1" w:line="360" w:lineRule="auto"/>
              <w:rPr>
                <w:sz w:val="20"/>
                <w:szCs w:val="20"/>
              </w:rPr>
            </w:pPr>
            <w:proofErr w:type="spellStart"/>
            <w:r w:rsidRPr="00214EFC">
              <w:rPr>
                <w:sz w:val="20"/>
                <w:szCs w:val="20"/>
              </w:rPr>
              <w:t>ocr</w:t>
            </w:r>
            <w:proofErr w:type="spellEnd"/>
          </w:p>
        </w:tc>
        <w:tc>
          <w:tcPr>
            <w:tcW w:w="2816" w:type="dxa"/>
            <w:noWrap/>
            <w:vAlign w:val="center"/>
            <w:hideMark/>
          </w:tcPr>
          <w:p w14:paraId="3C901546" w14:textId="77777777" w:rsidR="00592904" w:rsidRPr="00214EFC" w:rsidRDefault="00592904" w:rsidP="00AA63CD">
            <w:pPr>
              <w:spacing w:after="100" w:afterAutospacing="1" w:line="360" w:lineRule="auto"/>
              <w:jc w:val="left"/>
              <w:rPr>
                <w:sz w:val="20"/>
                <w:szCs w:val="20"/>
              </w:rPr>
            </w:pPr>
            <w:r w:rsidRPr="00214EFC">
              <w:rPr>
                <w:sz w:val="20"/>
                <w:szCs w:val="20"/>
              </w:rPr>
              <w:t xml:space="preserve">Crops </w:t>
            </w:r>
            <w:proofErr w:type="spellStart"/>
            <w:r w:rsidRPr="00214EFC">
              <w:rPr>
                <w:sz w:val="20"/>
                <w:szCs w:val="20"/>
              </w:rPr>
              <w:t>nec</w:t>
            </w:r>
            <w:proofErr w:type="spellEnd"/>
          </w:p>
        </w:tc>
        <w:tc>
          <w:tcPr>
            <w:tcW w:w="1688" w:type="dxa"/>
            <w:noWrap/>
            <w:vAlign w:val="center"/>
            <w:hideMark/>
          </w:tcPr>
          <w:p w14:paraId="7E8D0381" w14:textId="77777777" w:rsidR="00592904" w:rsidRPr="00214EFC" w:rsidRDefault="00592904" w:rsidP="00AA63CD">
            <w:pPr>
              <w:spacing w:after="100" w:afterAutospacing="1" w:line="360" w:lineRule="auto"/>
              <w:rPr>
                <w:sz w:val="20"/>
                <w:szCs w:val="20"/>
              </w:rPr>
            </w:pPr>
            <w:r w:rsidRPr="00214EFC">
              <w:rPr>
                <w:sz w:val="20"/>
                <w:szCs w:val="20"/>
              </w:rPr>
              <w:t xml:space="preserve">Crops </w:t>
            </w:r>
            <w:proofErr w:type="spellStart"/>
            <w:r w:rsidRPr="00214EFC">
              <w:rPr>
                <w:sz w:val="20"/>
                <w:szCs w:val="20"/>
              </w:rPr>
              <w:t>nec</w:t>
            </w:r>
            <w:proofErr w:type="spellEnd"/>
          </w:p>
        </w:tc>
        <w:tc>
          <w:tcPr>
            <w:tcW w:w="1097" w:type="dxa"/>
            <w:noWrap/>
            <w:vAlign w:val="center"/>
            <w:hideMark/>
          </w:tcPr>
          <w:p w14:paraId="02CC6D58"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778B77A5" w14:textId="77777777" w:rsidR="00592904" w:rsidRPr="00214EFC" w:rsidRDefault="00592904" w:rsidP="00AA63CD">
            <w:pPr>
              <w:spacing w:after="100" w:afterAutospacing="1" w:line="360" w:lineRule="auto"/>
              <w:jc w:val="left"/>
              <w:rPr>
                <w:sz w:val="20"/>
                <w:szCs w:val="20"/>
              </w:rPr>
            </w:pPr>
          </w:p>
        </w:tc>
      </w:tr>
      <w:tr w:rsidR="00592904" w:rsidRPr="00214EFC" w14:paraId="5D23F4A1" w14:textId="77777777" w:rsidTr="002179D4">
        <w:trPr>
          <w:trHeight w:val="19"/>
          <w:jc w:val="center"/>
        </w:trPr>
        <w:tc>
          <w:tcPr>
            <w:tcW w:w="646" w:type="dxa"/>
            <w:noWrap/>
            <w:vAlign w:val="center"/>
            <w:hideMark/>
          </w:tcPr>
          <w:p w14:paraId="2EAD0A75" w14:textId="77777777" w:rsidR="00592904" w:rsidRPr="00214EFC" w:rsidRDefault="00592904" w:rsidP="00AA63CD">
            <w:pPr>
              <w:spacing w:after="100" w:afterAutospacing="1" w:line="360" w:lineRule="auto"/>
              <w:rPr>
                <w:sz w:val="20"/>
                <w:szCs w:val="20"/>
              </w:rPr>
            </w:pPr>
            <w:r w:rsidRPr="00214EFC">
              <w:rPr>
                <w:sz w:val="20"/>
                <w:szCs w:val="20"/>
              </w:rPr>
              <w:t>9</w:t>
            </w:r>
          </w:p>
        </w:tc>
        <w:tc>
          <w:tcPr>
            <w:tcW w:w="670" w:type="dxa"/>
            <w:noWrap/>
            <w:vAlign w:val="center"/>
            <w:hideMark/>
          </w:tcPr>
          <w:p w14:paraId="3F770505" w14:textId="77777777" w:rsidR="00592904" w:rsidRPr="00214EFC" w:rsidRDefault="00592904" w:rsidP="00AA63CD">
            <w:pPr>
              <w:spacing w:after="100" w:afterAutospacing="1" w:line="360" w:lineRule="auto"/>
              <w:rPr>
                <w:sz w:val="20"/>
                <w:szCs w:val="20"/>
              </w:rPr>
            </w:pPr>
            <w:proofErr w:type="spellStart"/>
            <w:r w:rsidRPr="00214EFC">
              <w:rPr>
                <w:sz w:val="20"/>
                <w:szCs w:val="20"/>
              </w:rPr>
              <w:t>ctl</w:t>
            </w:r>
            <w:proofErr w:type="spellEnd"/>
          </w:p>
        </w:tc>
        <w:tc>
          <w:tcPr>
            <w:tcW w:w="2816" w:type="dxa"/>
            <w:noWrap/>
            <w:vAlign w:val="center"/>
            <w:hideMark/>
          </w:tcPr>
          <w:p w14:paraId="5408547A" w14:textId="77777777" w:rsidR="00592904" w:rsidRPr="00214EFC" w:rsidRDefault="00592904" w:rsidP="00AA63CD">
            <w:pPr>
              <w:spacing w:after="100" w:afterAutospacing="1" w:line="360" w:lineRule="auto"/>
              <w:jc w:val="left"/>
              <w:rPr>
                <w:sz w:val="20"/>
                <w:szCs w:val="20"/>
              </w:rPr>
            </w:pPr>
            <w:r w:rsidRPr="00214EFC">
              <w:rPr>
                <w:sz w:val="20"/>
                <w:szCs w:val="20"/>
              </w:rPr>
              <w:t>Cattle, sheep and goats, horses</w:t>
            </w:r>
          </w:p>
        </w:tc>
        <w:tc>
          <w:tcPr>
            <w:tcW w:w="1688" w:type="dxa"/>
            <w:noWrap/>
            <w:vAlign w:val="center"/>
            <w:hideMark/>
          </w:tcPr>
          <w:p w14:paraId="5E9DA6FB" w14:textId="77777777" w:rsidR="00592904" w:rsidRPr="00214EFC" w:rsidRDefault="00592904" w:rsidP="00AA63CD">
            <w:pPr>
              <w:spacing w:after="100" w:afterAutospacing="1" w:line="360" w:lineRule="auto"/>
              <w:rPr>
                <w:sz w:val="20"/>
                <w:szCs w:val="20"/>
              </w:rPr>
            </w:pPr>
            <w:r w:rsidRPr="00214EFC">
              <w:rPr>
                <w:sz w:val="20"/>
                <w:szCs w:val="20"/>
              </w:rPr>
              <w:t>Livestock</w:t>
            </w:r>
          </w:p>
        </w:tc>
        <w:tc>
          <w:tcPr>
            <w:tcW w:w="1097" w:type="dxa"/>
            <w:noWrap/>
            <w:vAlign w:val="center"/>
            <w:hideMark/>
          </w:tcPr>
          <w:p w14:paraId="611BE324"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05E5D4DE" w14:textId="77777777" w:rsidR="00592904" w:rsidRPr="00214EFC" w:rsidRDefault="00592904" w:rsidP="00AA63CD">
            <w:pPr>
              <w:spacing w:after="100" w:afterAutospacing="1" w:line="360" w:lineRule="auto"/>
              <w:jc w:val="left"/>
              <w:rPr>
                <w:sz w:val="20"/>
                <w:szCs w:val="20"/>
              </w:rPr>
            </w:pPr>
          </w:p>
        </w:tc>
      </w:tr>
      <w:tr w:rsidR="00592904" w:rsidRPr="00214EFC" w14:paraId="76922FB8" w14:textId="77777777" w:rsidTr="002179D4">
        <w:trPr>
          <w:trHeight w:val="19"/>
          <w:jc w:val="center"/>
        </w:trPr>
        <w:tc>
          <w:tcPr>
            <w:tcW w:w="646" w:type="dxa"/>
            <w:noWrap/>
            <w:vAlign w:val="center"/>
            <w:hideMark/>
          </w:tcPr>
          <w:p w14:paraId="476CB63B" w14:textId="77777777" w:rsidR="00592904" w:rsidRPr="00214EFC" w:rsidRDefault="00592904" w:rsidP="00AA63CD">
            <w:pPr>
              <w:spacing w:after="100" w:afterAutospacing="1" w:line="360" w:lineRule="auto"/>
              <w:rPr>
                <w:sz w:val="20"/>
                <w:szCs w:val="20"/>
              </w:rPr>
            </w:pPr>
            <w:r w:rsidRPr="00214EFC">
              <w:rPr>
                <w:sz w:val="20"/>
                <w:szCs w:val="20"/>
              </w:rPr>
              <w:t>10</w:t>
            </w:r>
          </w:p>
        </w:tc>
        <w:tc>
          <w:tcPr>
            <w:tcW w:w="670" w:type="dxa"/>
            <w:noWrap/>
            <w:vAlign w:val="center"/>
            <w:hideMark/>
          </w:tcPr>
          <w:p w14:paraId="3097C4EF" w14:textId="77777777" w:rsidR="00592904" w:rsidRPr="00214EFC" w:rsidRDefault="00592904" w:rsidP="00AA63CD">
            <w:pPr>
              <w:spacing w:after="100" w:afterAutospacing="1" w:line="360" w:lineRule="auto"/>
              <w:rPr>
                <w:sz w:val="20"/>
                <w:szCs w:val="20"/>
              </w:rPr>
            </w:pPr>
            <w:proofErr w:type="spellStart"/>
            <w:r w:rsidRPr="00214EFC">
              <w:rPr>
                <w:sz w:val="20"/>
                <w:szCs w:val="20"/>
              </w:rPr>
              <w:t>oap</w:t>
            </w:r>
            <w:proofErr w:type="spellEnd"/>
          </w:p>
        </w:tc>
        <w:tc>
          <w:tcPr>
            <w:tcW w:w="2816" w:type="dxa"/>
            <w:noWrap/>
            <w:vAlign w:val="center"/>
            <w:hideMark/>
          </w:tcPr>
          <w:p w14:paraId="496AD3F3" w14:textId="77777777" w:rsidR="00592904" w:rsidRPr="00214EFC" w:rsidRDefault="00592904" w:rsidP="00AA63CD">
            <w:pPr>
              <w:spacing w:after="100" w:afterAutospacing="1" w:line="360" w:lineRule="auto"/>
              <w:jc w:val="left"/>
              <w:rPr>
                <w:sz w:val="20"/>
                <w:szCs w:val="20"/>
              </w:rPr>
            </w:pPr>
            <w:r w:rsidRPr="00214EFC">
              <w:rPr>
                <w:sz w:val="20"/>
                <w:szCs w:val="20"/>
              </w:rPr>
              <w:t xml:space="preserve">Animal products </w:t>
            </w:r>
            <w:proofErr w:type="spellStart"/>
            <w:r w:rsidRPr="00214EFC">
              <w:rPr>
                <w:sz w:val="20"/>
                <w:szCs w:val="20"/>
              </w:rPr>
              <w:t>nec</w:t>
            </w:r>
            <w:proofErr w:type="spellEnd"/>
          </w:p>
        </w:tc>
        <w:tc>
          <w:tcPr>
            <w:tcW w:w="1688" w:type="dxa"/>
            <w:noWrap/>
            <w:vAlign w:val="center"/>
            <w:hideMark/>
          </w:tcPr>
          <w:p w14:paraId="2251E3ED" w14:textId="77777777" w:rsidR="00592904" w:rsidRPr="00214EFC" w:rsidRDefault="00592904" w:rsidP="00AA63CD">
            <w:pPr>
              <w:spacing w:after="100" w:afterAutospacing="1" w:line="360" w:lineRule="auto"/>
              <w:rPr>
                <w:sz w:val="20"/>
                <w:szCs w:val="20"/>
              </w:rPr>
            </w:pPr>
            <w:r w:rsidRPr="00214EFC">
              <w:rPr>
                <w:sz w:val="20"/>
                <w:szCs w:val="20"/>
              </w:rPr>
              <w:t>Poultry</w:t>
            </w:r>
          </w:p>
        </w:tc>
        <w:tc>
          <w:tcPr>
            <w:tcW w:w="1097" w:type="dxa"/>
            <w:noWrap/>
            <w:vAlign w:val="center"/>
            <w:hideMark/>
          </w:tcPr>
          <w:p w14:paraId="3AA1BBFC"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69B597EC" w14:textId="77777777" w:rsidR="00592904" w:rsidRPr="00214EFC" w:rsidRDefault="00592904" w:rsidP="00AA63CD">
            <w:pPr>
              <w:spacing w:after="100" w:afterAutospacing="1" w:line="360" w:lineRule="auto"/>
              <w:jc w:val="left"/>
              <w:rPr>
                <w:sz w:val="20"/>
                <w:szCs w:val="20"/>
              </w:rPr>
            </w:pPr>
          </w:p>
        </w:tc>
      </w:tr>
      <w:tr w:rsidR="00592904" w:rsidRPr="00214EFC" w14:paraId="41A58059" w14:textId="77777777" w:rsidTr="002179D4">
        <w:trPr>
          <w:trHeight w:val="19"/>
          <w:jc w:val="center"/>
        </w:trPr>
        <w:tc>
          <w:tcPr>
            <w:tcW w:w="646" w:type="dxa"/>
            <w:noWrap/>
            <w:vAlign w:val="center"/>
            <w:hideMark/>
          </w:tcPr>
          <w:p w14:paraId="613D90C4" w14:textId="77777777" w:rsidR="00592904" w:rsidRPr="00214EFC" w:rsidRDefault="00592904" w:rsidP="00AA63CD">
            <w:pPr>
              <w:spacing w:after="100" w:afterAutospacing="1" w:line="360" w:lineRule="auto"/>
              <w:rPr>
                <w:sz w:val="20"/>
                <w:szCs w:val="20"/>
              </w:rPr>
            </w:pPr>
            <w:r w:rsidRPr="00214EFC">
              <w:rPr>
                <w:sz w:val="20"/>
                <w:szCs w:val="20"/>
              </w:rPr>
              <w:t>11</w:t>
            </w:r>
          </w:p>
        </w:tc>
        <w:tc>
          <w:tcPr>
            <w:tcW w:w="670" w:type="dxa"/>
            <w:noWrap/>
            <w:vAlign w:val="center"/>
            <w:hideMark/>
          </w:tcPr>
          <w:p w14:paraId="11E790D6" w14:textId="77777777" w:rsidR="00592904" w:rsidRPr="00214EFC" w:rsidRDefault="00592904" w:rsidP="00AA63CD">
            <w:pPr>
              <w:spacing w:after="100" w:afterAutospacing="1" w:line="360" w:lineRule="auto"/>
              <w:rPr>
                <w:sz w:val="20"/>
                <w:szCs w:val="20"/>
              </w:rPr>
            </w:pPr>
            <w:proofErr w:type="spellStart"/>
            <w:r w:rsidRPr="00214EFC">
              <w:rPr>
                <w:sz w:val="20"/>
                <w:szCs w:val="20"/>
              </w:rPr>
              <w:t>rmk</w:t>
            </w:r>
            <w:proofErr w:type="spellEnd"/>
          </w:p>
        </w:tc>
        <w:tc>
          <w:tcPr>
            <w:tcW w:w="2816" w:type="dxa"/>
            <w:noWrap/>
            <w:vAlign w:val="center"/>
            <w:hideMark/>
          </w:tcPr>
          <w:p w14:paraId="7BAC2F37" w14:textId="77777777" w:rsidR="00592904" w:rsidRPr="00214EFC" w:rsidRDefault="00592904" w:rsidP="00AA63CD">
            <w:pPr>
              <w:spacing w:after="100" w:afterAutospacing="1" w:line="360" w:lineRule="auto"/>
              <w:jc w:val="left"/>
              <w:rPr>
                <w:sz w:val="20"/>
                <w:szCs w:val="20"/>
              </w:rPr>
            </w:pPr>
            <w:r w:rsidRPr="00214EFC">
              <w:rPr>
                <w:sz w:val="20"/>
                <w:szCs w:val="20"/>
              </w:rPr>
              <w:t>Raw milk</w:t>
            </w:r>
          </w:p>
        </w:tc>
        <w:tc>
          <w:tcPr>
            <w:tcW w:w="1688" w:type="dxa"/>
            <w:noWrap/>
            <w:vAlign w:val="center"/>
            <w:hideMark/>
          </w:tcPr>
          <w:p w14:paraId="179C4A24" w14:textId="77777777" w:rsidR="00592904" w:rsidRPr="00214EFC" w:rsidRDefault="00592904" w:rsidP="00AA63CD">
            <w:pPr>
              <w:spacing w:after="100" w:afterAutospacing="1" w:line="360" w:lineRule="auto"/>
              <w:rPr>
                <w:sz w:val="20"/>
                <w:szCs w:val="20"/>
              </w:rPr>
            </w:pPr>
            <w:r w:rsidRPr="00214EFC">
              <w:rPr>
                <w:sz w:val="20"/>
                <w:szCs w:val="20"/>
              </w:rPr>
              <w:t>Milk</w:t>
            </w:r>
          </w:p>
        </w:tc>
        <w:tc>
          <w:tcPr>
            <w:tcW w:w="1097" w:type="dxa"/>
            <w:noWrap/>
            <w:vAlign w:val="center"/>
            <w:hideMark/>
          </w:tcPr>
          <w:p w14:paraId="61D515FA"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46B8FBED" w14:textId="77777777" w:rsidR="00592904" w:rsidRPr="00214EFC" w:rsidRDefault="00592904" w:rsidP="00AA63CD">
            <w:pPr>
              <w:spacing w:after="100" w:afterAutospacing="1" w:line="360" w:lineRule="auto"/>
              <w:jc w:val="left"/>
              <w:rPr>
                <w:sz w:val="20"/>
                <w:szCs w:val="20"/>
              </w:rPr>
            </w:pPr>
          </w:p>
        </w:tc>
      </w:tr>
      <w:tr w:rsidR="00592904" w:rsidRPr="00214EFC" w14:paraId="78B95215" w14:textId="77777777" w:rsidTr="002179D4">
        <w:trPr>
          <w:trHeight w:val="19"/>
          <w:jc w:val="center"/>
        </w:trPr>
        <w:tc>
          <w:tcPr>
            <w:tcW w:w="646" w:type="dxa"/>
            <w:noWrap/>
            <w:vAlign w:val="center"/>
            <w:hideMark/>
          </w:tcPr>
          <w:p w14:paraId="0539BA97" w14:textId="77777777" w:rsidR="00592904" w:rsidRPr="00214EFC" w:rsidRDefault="00592904" w:rsidP="00AA63CD">
            <w:pPr>
              <w:spacing w:after="100" w:afterAutospacing="1" w:line="360" w:lineRule="auto"/>
              <w:rPr>
                <w:sz w:val="20"/>
                <w:szCs w:val="20"/>
              </w:rPr>
            </w:pPr>
            <w:r w:rsidRPr="00214EFC">
              <w:rPr>
                <w:sz w:val="20"/>
                <w:szCs w:val="20"/>
              </w:rPr>
              <w:t>12</w:t>
            </w:r>
          </w:p>
        </w:tc>
        <w:tc>
          <w:tcPr>
            <w:tcW w:w="670" w:type="dxa"/>
            <w:noWrap/>
            <w:vAlign w:val="center"/>
            <w:hideMark/>
          </w:tcPr>
          <w:p w14:paraId="12B7E7AF" w14:textId="77777777" w:rsidR="00592904" w:rsidRPr="00214EFC" w:rsidRDefault="00592904" w:rsidP="00AA63CD">
            <w:pPr>
              <w:spacing w:after="100" w:afterAutospacing="1" w:line="360" w:lineRule="auto"/>
              <w:rPr>
                <w:sz w:val="20"/>
                <w:szCs w:val="20"/>
              </w:rPr>
            </w:pPr>
            <w:proofErr w:type="spellStart"/>
            <w:r w:rsidRPr="00214EFC">
              <w:rPr>
                <w:sz w:val="20"/>
                <w:szCs w:val="20"/>
              </w:rPr>
              <w:t>wol</w:t>
            </w:r>
            <w:proofErr w:type="spellEnd"/>
          </w:p>
        </w:tc>
        <w:tc>
          <w:tcPr>
            <w:tcW w:w="2816" w:type="dxa"/>
            <w:noWrap/>
            <w:vAlign w:val="center"/>
            <w:hideMark/>
          </w:tcPr>
          <w:p w14:paraId="343FDA39" w14:textId="77777777" w:rsidR="00592904" w:rsidRPr="00214EFC" w:rsidRDefault="00592904" w:rsidP="00AA63CD">
            <w:pPr>
              <w:spacing w:after="100" w:afterAutospacing="1" w:line="360" w:lineRule="auto"/>
              <w:jc w:val="left"/>
              <w:rPr>
                <w:sz w:val="20"/>
                <w:szCs w:val="20"/>
              </w:rPr>
            </w:pPr>
            <w:r w:rsidRPr="00214EFC">
              <w:rPr>
                <w:sz w:val="20"/>
                <w:szCs w:val="20"/>
              </w:rPr>
              <w:t>Wool, silk-worm cocoons</w:t>
            </w:r>
          </w:p>
        </w:tc>
        <w:tc>
          <w:tcPr>
            <w:tcW w:w="1688" w:type="dxa"/>
            <w:noWrap/>
            <w:vAlign w:val="center"/>
            <w:hideMark/>
          </w:tcPr>
          <w:p w14:paraId="10A398A6" w14:textId="77777777" w:rsidR="00592904" w:rsidRPr="00214EFC" w:rsidRDefault="00592904" w:rsidP="00AA63CD">
            <w:pPr>
              <w:spacing w:after="100" w:afterAutospacing="1" w:line="360" w:lineRule="auto"/>
              <w:rPr>
                <w:sz w:val="20"/>
                <w:szCs w:val="20"/>
              </w:rPr>
            </w:pPr>
            <w:r w:rsidRPr="00214EFC">
              <w:rPr>
                <w:sz w:val="20"/>
                <w:szCs w:val="20"/>
              </w:rPr>
              <w:t xml:space="preserve">Animal </w:t>
            </w:r>
            <w:proofErr w:type="spellStart"/>
            <w:r w:rsidRPr="00214EFC">
              <w:rPr>
                <w:sz w:val="20"/>
                <w:szCs w:val="20"/>
              </w:rPr>
              <w:t>fiber</w:t>
            </w:r>
            <w:proofErr w:type="spellEnd"/>
          </w:p>
        </w:tc>
        <w:tc>
          <w:tcPr>
            <w:tcW w:w="1097" w:type="dxa"/>
            <w:noWrap/>
            <w:vAlign w:val="center"/>
            <w:hideMark/>
          </w:tcPr>
          <w:p w14:paraId="6F23C6E8"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4A92B1BC" w14:textId="77777777" w:rsidR="00592904" w:rsidRPr="00214EFC" w:rsidRDefault="00592904" w:rsidP="00AA63CD">
            <w:pPr>
              <w:spacing w:after="100" w:afterAutospacing="1" w:line="360" w:lineRule="auto"/>
              <w:jc w:val="left"/>
              <w:rPr>
                <w:sz w:val="20"/>
                <w:szCs w:val="20"/>
              </w:rPr>
            </w:pPr>
          </w:p>
        </w:tc>
      </w:tr>
      <w:tr w:rsidR="00592904" w:rsidRPr="00214EFC" w14:paraId="669E0280" w14:textId="77777777" w:rsidTr="002179D4">
        <w:trPr>
          <w:trHeight w:val="19"/>
          <w:jc w:val="center"/>
        </w:trPr>
        <w:tc>
          <w:tcPr>
            <w:tcW w:w="646" w:type="dxa"/>
            <w:noWrap/>
            <w:vAlign w:val="center"/>
            <w:hideMark/>
          </w:tcPr>
          <w:p w14:paraId="788EF932" w14:textId="77777777" w:rsidR="00592904" w:rsidRPr="00214EFC" w:rsidRDefault="00592904" w:rsidP="00AA63CD">
            <w:pPr>
              <w:spacing w:after="100" w:afterAutospacing="1" w:line="360" w:lineRule="auto"/>
              <w:rPr>
                <w:sz w:val="20"/>
                <w:szCs w:val="20"/>
              </w:rPr>
            </w:pPr>
            <w:r w:rsidRPr="00214EFC">
              <w:rPr>
                <w:sz w:val="20"/>
                <w:szCs w:val="20"/>
              </w:rPr>
              <w:t>13</w:t>
            </w:r>
          </w:p>
        </w:tc>
        <w:tc>
          <w:tcPr>
            <w:tcW w:w="670" w:type="dxa"/>
            <w:noWrap/>
            <w:vAlign w:val="center"/>
            <w:hideMark/>
          </w:tcPr>
          <w:p w14:paraId="1FFADFE3" w14:textId="77777777" w:rsidR="00592904" w:rsidRPr="00214EFC" w:rsidRDefault="00592904" w:rsidP="00AA63CD">
            <w:pPr>
              <w:spacing w:after="100" w:afterAutospacing="1" w:line="360" w:lineRule="auto"/>
              <w:rPr>
                <w:sz w:val="20"/>
                <w:szCs w:val="20"/>
              </w:rPr>
            </w:pPr>
            <w:proofErr w:type="spellStart"/>
            <w:r w:rsidRPr="00214EFC">
              <w:rPr>
                <w:sz w:val="20"/>
                <w:szCs w:val="20"/>
              </w:rPr>
              <w:t>frs</w:t>
            </w:r>
            <w:proofErr w:type="spellEnd"/>
          </w:p>
        </w:tc>
        <w:tc>
          <w:tcPr>
            <w:tcW w:w="2816" w:type="dxa"/>
            <w:noWrap/>
            <w:vAlign w:val="center"/>
            <w:hideMark/>
          </w:tcPr>
          <w:p w14:paraId="766BD084" w14:textId="77777777" w:rsidR="00592904" w:rsidRPr="00214EFC" w:rsidRDefault="00592904" w:rsidP="00AA63CD">
            <w:pPr>
              <w:spacing w:after="100" w:afterAutospacing="1" w:line="360" w:lineRule="auto"/>
              <w:jc w:val="left"/>
              <w:rPr>
                <w:sz w:val="20"/>
                <w:szCs w:val="20"/>
              </w:rPr>
            </w:pPr>
            <w:r w:rsidRPr="00214EFC">
              <w:rPr>
                <w:sz w:val="20"/>
                <w:szCs w:val="20"/>
              </w:rPr>
              <w:t>Forestry</w:t>
            </w:r>
          </w:p>
        </w:tc>
        <w:tc>
          <w:tcPr>
            <w:tcW w:w="1688" w:type="dxa"/>
            <w:noWrap/>
            <w:vAlign w:val="center"/>
            <w:hideMark/>
          </w:tcPr>
          <w:p w14:paraId="212B5BFB" w14:textId="77777777" w:rsidR="00592904" w:rsidRPr="00214EFC" w:rsidRDefault="00592904" w:rsidP="00AA63CD">
            <w:pPr>
              <w:spacing w:after="100" w:afterAutospacing="1" w:line="360" w:lineRule="auto"/>
              <w:rPr>
                <w:sz w:val="20"/>
                <w:szCs w:val="20"/>
              </w:rPr>
            </w:pPr>
            <w:r w:rsidRPr="00214EFC">
              <w:rPr>
                <w:sz w:val="20"/>
                <w:szCs w:val="20"/>
              </w:rPr>
              <w:t>Forestry</w:t>
            </w:r>
          </w:p>
        </w:tc>
        <w:tc>
          <w:tcPr>
            <w:tcW w:w="1097" w:type="dxa"/>
            <w:noWrap/>
            <w:vAlign w:val="center"/>
            <w:hideMark/>
          </w:tcPr>
          <w:p w14:paraId="177461C3"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66D72471" w14:textId="77777777" w:rsidR="00592904" w:rsidRPr="00214EFC" w:rsidRDefault="00592904" w:rsidP="00AA63CD">
            <w:pPr>
              <w:spacing w:after="100" w:afterAutospacing="1" w:line="360" w:lineRule="auto"/>
              <w:jc w:val="left"/>
              <w:rPr>
                <w:sz w:val="20"/>
                <w:szCs w:val="20"/>
              </w:rPr>
            </w:pPr>
          </w:p>
        </w:tc>
      </w:tr>
      <w:tr w:rsidR="00592904" w:rsidRPr="00214EFC" w14:paraId="29635FEA" w14:textId="77777777" w:rsidTr="002179D4">
        <w:trPr>
          <w:trHeight w:val="19"/>
          <w:jc w:val="center"/>
        </w:trPr>
        <w:tc>
          <w:tcPr>
            <w:tcW w:w="646" w:type="dxa"/>
            <w:noWrap/>
            <w:vAlign w:val="center"/>
            <w:hideMark/>
          </w:tcPr>
          <w:p w14:paraId="56D2E794" w14:textId="77777777" w:rsidR="00592904" w:rsidRPr="00214EFC" w:rsidRDefault="00592904" w:rsidP="00AA63CD">
            <w:pPr>
              <w:spacing w:after="100" w:afterAutospacing="1" w:line="360" w:lineRule="auto"/>
              <w:rPr>
                <w:sz w:val="20"/>
                <w:szCs w:val="20"/>
              </w:rPr>
            </w:pPr>
            <w:r w:rsidRPr="00214EFC">
              <w:rPr>
                <w:sz w:val="20"/>
                <w:szCs w:val="20"/>
              </w:rPr>
              <w:t>14</w:t>
            </w:r>
          </w:p>
        </w:tc>
        <w:tc>
          <w:tcPr>
            <w:tcW w:w="670" w:type="dxa"/>
            <w:noWrap/>
            <w:vAlign w:val="center"/>
            <w:hideMark/>
          </w:tcPr>
          <w:p w14:paraId="740AF500" w14:textId="77777777" w:rsidR="00592904" w:rsidRPr="00214EFC" w:rsidRDefault="00592904" w:rsidP="00AA63CD">
            <w:pPr>
              <w:spacing w:after="100" w:afterAutospacing="1" w:line="360" w:lineRule="auto"/>
              <w:rPr>
                <w:sz w:val="20"/>
                <w:szCs w:val="20"/>
              </w:rPr>
            </w:pPr>
            <w:proofErr w:type="spellStart"/>
            <w:r w:rsidRPr="00214EFC">
              <w:rPr>
                <w:sz w:val="20"/>
                <w:szCs w:val="20"/>
              </w:rPr>
              <w:t>fsh</w:t>
            </w:r>
            <w:proofErr w:type="spellEnd"/>
          </w:p>
        </w:tc>
        <w:tc>
          <w:tcPr>
            <w:tcW w:w="2816" w:type="dxa"/>
            <w:noWrap/>
            <w:vAlign w:val="center"/>
            <w:hideMark/>
          </w:tcPr>
          <w:p w14:paraId="6365F1D7" w14:textId="77777777" w:rsidR="00592904" w:rsidRPr="00214EFC" w:rsidRDefault="00592904" w:rsidP="00AA63CD">
            <w:pPr>
              <w:spacing w:after="100" w:afterAutospacing="1" w:line="360" w:lineRule="auto"/>
              <w:jc w:val="left"/>
              <w:rPr>
                <w:sz w:val="20"/>
                <w:szCs w:val="20"/>
              </w:rPr>
            </w:pPr>
            <w:r w:rsidRPr="00214EFC">
              <w:rPr>
                <w:sz w:val="20"/>
                <w:szCs w:val="20"/>
              </w:rPr>
              <w:t>Fishing</w:t>
            </w:r>
          </w:p>
        </w:tc>
        <w:tc>
          <w:tcPr>
            <w:tcW w:w="1688" w:type="dxa"/>
            <w:noWrap/>
            <w:vAlign w:val="center"/>
            <w:hideMark/>
          </w:tcPr>
          <w:p w14:paraId="58FBB439" w14:textId="77777777" w:rsidR="00592904" w:rsidRPr="00214EFC" w:rsidRDefault="00592904" w:rsidP="00AA63CD">
            <w:pPr>
              <w:spacing w:after="100" w:afterAutospacing="1" w:line="360" w:lineRule="auto"/>
              <w:rPr>
                <w:sz w:val="20"/>
                <w:szCs w:val="20"/>
              </w:rPr>
            </w:pPr>
            <w:r w:rsidRPr="00214EFC">
              <w:rPr>
                <w:sz w:val="20"/>
                <w:szCs w:val="20"/>
              </w:rPr>
              <w:t>Fishing</w:t>
            </w:r>
          </w:p>
        </w:tc>
        <w:tc>
          <w:tcPr>
            <w:tcW w:w="1097" w:type="dxa"/>
            <w:noWrap/>
            <w:vAlign w:val="center"/>
            <w:hideMark/>
          </w:tcPr>
          <w:p w14:paraId="4B3DD6DB" w14:textId="77777777" w:rsidR="00592904" w:rsidRPr="00214EFC" w:rsidRDefault="00592904" w:rsidP="00AA63CD">
            <w:pPr>
              <w:spacing w:after="100" w:afterAutospacing="1" w:line="360" w:lineRule="auto"/>
              <w:rPr>
                <w:sz w:val="20"/>
                <w:szCs w:val="20"/>
              </w:rPr>
            </w:pPr>
            <w:r w:rsidRPr="00214EFC">
              <w:rPr>
                <w:sz w:val="20"/>
                <w:szCs w:val="20"/>
              </w:rPr>
              <w:t>0.5</w:t>
            </w:r>
          </w:p>
        </w:tc>
        <w:tc>
          <w:tcPr>
            <w:tcW w:w="1414" w:type="dxa"/>
            <w:vMerge/>
            <w:vAlign w:val="center"/>
            <w:hideMark/>
          </w:tcPr>
          <w:p w14:paraId="1E687BD5" w14:textId="77777777" w:rsidR="00592904" w:rsidRPr="00214EFC" w:rsidRDefault="00592904" w:rsidP="00AA63CD">
            <w:pPr>
              <w:spacing w:after="100" w:afterAutospacing="1" w:line="360" w:lineRule="auto"/>
              <w:jc w:val="left"/>
              <w:rPr>
                <w:sz w:val="20"/>
                <w:szCs w:val="20"/>
              </w:rPr>
            </w:pPr>
          </w:p>
        </w:tc>
      </w:tr>
      <w:tr w:rsidR="00592904" w:rsidRPr="00214EFC" w14:paraId="0E5DEFD8" w14:textId="77777777" w:rsidTr="002179D4">
        <w:trPr>
          <w:trHeight w:val="19"/>
          <w:jc w:val="center"/>
        </w:trPr>
        <w:tc>
          <w:tcPr>
            <w:tcW w:w="646" w:type="dxa"/>
            <w:noWrap/>
            <w:vAlign w:val="center"/>
            <w:hideMark/>
          </w:tcPr>
          <w:p w14:paraId="64635D10" w14:textId="77777777" w:rsidR="00592904" w:rsidRPr="00214EFC" w:rsidRDefault="00592904" w:rsidP="00AA63CD">
            <w:pPr>
              <w:spacing w:after="100" w:afterAutospacing="1" w:line="360" w:lineRule="auto"/>
              <w:rPr>
                <w:sz w:val="20"/>
                <w:szCs w:val="20"/>
              </w:rPr>
            </w:pPr>
            <w:r w:rsidRPr="00214EFC">
              <w:rPr>
                <w:sz w:val="20"/>
                <w:szCs w:val="20"/>
              </w:rPr>
              <w:t>15</w:t>
            </w:r>
          </w:p>
        </w:tc>
        <w:tc>
          <w:tcPr>
            <w:tcW w:w="670" w:type="dxa"/>
            <w:noWrap/>
            <w:vAlign w:val="center"/>
            <w:hideMark/>
          </w:tcPr>
          <w:p w14:paraId="52F60C79" w14:textId="77777777" w:rsidR="00592904" w:rsidRPr="00214EFC" w:rsidRDefault="00592904" w:rsidP="00AA63CD">
            <w:pPr>
              <w:spacing w:after="100" w:afterAutospacing="1" w:line="360" w:lineRule="auto"/>
              <w:rPr>
                <w:sz w:val="20"/>
                <w:szCs w:val="20"/>
              </w:rPr>
            </w:pPr>
            <w:proofErr w:type="spellStart"/>
            <w:r w:rsidRPr="00214EFC">
              <w:rPr>
                <w:sz w:val="20"/>
                <w:szCs w:val="20"/>
              </w:rPr>
              <w:t>coa</w:t>
            </w:r>
            <w:proofErr w:type="spellEnd"/>
          </w:p>
        </w:tc>
        <w:tc>
          <w:tcPr>
            <w:tcW w:w="2816" w:type="dxa"/>
            <w:noWrap/>
            <w:vAlign w:val="center"/>
            <w:hideMark/>
          </w:tcPr>
          <w:p w14:paraId="444959BF" w14:textId="77777777" w:rsidR="00592904" w:rsidRPr="00214EFC" w:rsidRDefault="00592904" w:rsidP="00AA63CD">
            <w:pPr>
              <w:spacing w:after="100" w:afterAutospacing="1" w:line="360" w:lineRule="auto"/>
              <w:jc w:val="left"/>
              <w:rPr>
                <w:sz w:val="20"/>
                <w:szCs w:val="20"/>
              </w:rPr>
            </w:pPr>
            <w:r w:rsidRPr="00214EFC">
              <w:rPr>
                <w:sz w:val="20"/>
                <w:szCs w:val="20"/>
              </w:rPr>
              <w:t>Coal</w:t>
            </w:r>
          </w:p>
        </w:tc>
        <w:tc>
          <w:tcPr>
            <w:tcW w:w="1688" w:type="dxa"/>
            <w:noWrap/>
            <w:vAlign w:val="center"/>
            <w:hideMark/>
          </w:tcPr>
          <w:p w14:paraId="4D04BB6B" w14:textId="77777777" w:rsidR="00592904" w:rsidRPr="00214EFC" w:rsidRDefault="00592904" w:rsidP="00AA63CD">
            <w:pPr>
              <w:spacing w:after="100" w:afterAutospacing="1" w:line="360" w:lineRule="auto"/>
              <w:rPr>
                <w:sz w:val="20"/>
                <w:szCs w:val="20"/>
              </w:rPr>
            </w:pPr>
            <w:r w:rsidRPr="00214EFC">
              <w:rPr>
                <w:sz w:val="20"/>
                <w:szCs w:val="20"/>
              </w:rPr>
              <w:t>Coal</w:t>
            </w:r>
          </w:p>
        </w:tc>
        <w:tc>
          <w:tcPr>
            <w:tcW w:w="1097" w:type="dxa"/>
            <w:noWrap/>
            <w:vAlign w:val="center"/>
            <w:hideMark/>
          </w:tcPr>
          <w:p w14:paraId="4996D934"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restart"/>
            <w:vAlign w:val="center"/>
            <w:hideMark/>
          </w:tcPr>
          <w:p w14:paraId="3B1777DB" w14:textId="77777777" w:rsidR="00592904" w:rsidRPr="00214EFC" w:rsidRDefault="00592904" w:rsidP="00AA63CD">
            <w:pPr>
              <w:spacing w:after="100" w:afterAutospacing="1" w:line="360" w:lineRule="auto"/>
              <w:jc w:val="left"/>
              <w:rPr>
                <w:sz w:val="20"/>
                <w:szCs w:val="20"/>
              </w:rPr>
            </w:pPr>
            <w:r w:rsidRPr="00214EFC">
              <w:rPr>
                <w:sz w:val="20"/>
                <w:szCs w:val="20"/>
              </w:rPr>
              <w:t xml:space="preserve">Ordinary </w:t>
            </w:r>
            <w:proofErr w:type="spellStart"/>
            <w:r w:rsidRPr="00214EFC">
              <w:rPr>
                <w:sz w:val="20"/>
                <w:szCs w:val="20"/>
              </w:rPr>
              <w:t>setor</w:t>
            </w:r>
            <w:proofErr w:type="spellEnd"/>
          </w:p>
        </w:tc>
      </w:tr>
      <w:tr w:rsidR="00592904" w:rsidRPr="00214EFC" w14:paraId="7C74AA15" w14:textId="77777777" w:rsidTr="002179D4">
        <w:trPr>
          <w:trHeight w:val="19"/>
          <w:jc w:val="center"/>
        </w:trPr>
        <w:tc>
          <w:tcPr>
            <w:tcW w:w="646" w:type="dxa"/>
            <w:noWrap/>
            <w:vAlign w:val="center"/>
            <w:hideMark/>
          </w:tcPr>
          <w:p w14:paraId="44C6D86E" w14:textId="77777777" w:rsidR="00592904" w:rsidRPr="00214EFC" w:rsidRDefault="00592904" w:rsidP="00AA63CD">
            <w:pPr>
              <w:spacing w:after="100" w:afterAutospacing="1" w:line="360" w:lineRule="auto"/>
              <w:rPr>
                <w:sz w:val="20"/>
                <w:szCs w:val="20"/>
              </w:rPr>
            </w:pPr>
            <w:r w:rsidRPr="00214EFC">
              <w:rPr>
                <w:sz w:val="20"/>
                <w:szCs w:val="20"/>
              </w:rPr>
              <w:t>16</w:t>
            </w:r>
          </w:p>
        </w:tc>
        <w:tc>
          <w:tcPr>
            <w:tcW w:w="670" w:type="dxa"/>
            <w:noWrap/>
            <w:vAlign w:val="center"/>
            <w:hideMark/>
          </w:tcPr>
          <w:p w14:paraId="1B69DF30" w14:textId="77777777" w:rsidR="00592904" w:rsidRPr="00214EFC" w:rsidRDefault="00592904" w:rsidP="00AA63CD">
            <w:pPr>
              <w:spacing w:after="100" w:afterAutospacing="1" w:line="360" w:lineRule="auto"/>
              <w:rPr>
                <w:sz w:val="20"/>
                <w:szCs w:val="20"/>
              </w:rPr>
            </w:pPr>
            <w:r w:rsidRPr="00214EFC">
              <w:rPr>
                <w:sz w:val="20"/>
                <w:szCs w:val="20"/>
              </w:rPr>
              <w:t>oil</w:t>
            </w:r>
          </w:p>
        </w:tc>
        <w:tc>
          <w:tcPr>
            <w:tcW w:w="2816" w:type="dxa"/>
            <w:noWrap/>
            <w:vAlign w:val="center"/>
            <w:hideMark/>
          </w:tcPr>
          <w:p w14:paraId="47A3E524" w14:textId="77777777" w:rsidR="00592904" w:rsidRPr="00214EFC" w:rsidRDefault="00592904" w:rsidP="00AA63CD">
            <w:pPr>
              <w:spacing w:after="100" w:afterAutospacing="1" w:line="360" w:lineRule="auto"/>
              <w:jc w:val="left"/>
              <w:rPr>
                <w:sz w:val="20"/>
                <w:szCs w:val="20"/>
              </w:rPr>
            </w:pPr>
            <w:r w:rsidRPr="00214EFC">
              <w:rPr>
                <w:sz w:val="20"/>
                <w:szCs w:val="20"/>
              </w:rPr>
              <w:t>Oil</w:t>
            </w:r>
          </w:p>
        </w:tc>
        <w:tc>
          <w:tcPr>
            <w:tcW w:w="1688" w:type="dxa"/>
            <w:noWrap/>
            <w:vAlign w:val="center"/>
            <w:hideMark/>
          </w:tcPr>
          <w:p w14:paraId="759A7276" w14:textId="77777777" w:rsidR="00592904" w:rsidRPr="00214EFC" w:rsidRDefault="00592904" w:rsidP="00AA63CD">
            <w:pPr>
              <w:spacing w:after="100" w:afterAutospacing="1" w:line="360" w:lineRule="auto"/>
              <w:rPr>
                <w:sz w:val="20"/>
                <w:szCs w:val="20"/>
              </w:rPr>
            </w:pPr>
            <w:r w:rsidRPr="00214EFC">
              <w:rPr>
                <w:sz w:val="20"/>
                <w:szCs w:val="20"/>
              </w:rPr>
              <w:t>Oil</w:t>
            </w:r>
          </w:p>
        </w:tc>
        <w:tc>
          <w:tcPr>
            <w:tcW w:w="1097" w:type="dxa"/>
            <w:noWrap/>
            <w:vAlign w:val="center"/>
            <w:hideMark/>
          </w:tcPr>
          <w:p w14:paraId="412617A5"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6D65FBAA" w14:textId="77777777" w:rsidR="00592904" w:rsidRPr="00214EFC" w:rsidRDefault="00592904" w:rsidP="00AA63CD">
            <w:pPr>
              <w:spacing w:after="100" w:afterAutospacing="1" w:line="360" w:lineRule="auto"/>
              <w:jc w:val="left"/>
              <w:rPr>
                <w:sz w:val="20"/>
                <w:szCs w:val="20"/>
              </w:rPr>
            </w:pPr>
          </w:p>
        </w:tc>
      </w:tr>
      <w:tr w:rsidR="00592904" w:rsidRPr="00214EFC" w14:paraId="5391D515" w14:textId="77777777" w:rsidTr="002179D4">
        <w:trPr>
          <w:trHeight w:val="19"/>
          <w:jc w:val="center"/>
        </w:trPr>
        <w:tc>
          <w:tcPr>
            <w:tcW w:w="646" w:type="dxa"/>
            <w:noWrap/>
            <w:vAlign w:val="center"/>
            <w:hideMark/>
          </w:tcPr>
          <w:p w14:paraId="22ADD540" w14:textId="77777777" w:rsidR="00592904" w:rsidRPr="00214EFC" w:rsidRDefault="00592904" w:rsidP="00AA63CD">
            <w:pPr>
              <w:spacing w:after="100" w:afterAutospacing="1" w:line="360" w:lineRule="auto"/>
              <w:rPr>
                <w:sz w:val="20"/>
                <w:szCs w:val="20"/>
              </w:rPr>
            </w:pPr>
            <w:r w:rsidRPr="00214EFC">
              <w:rPr>
                <w:sz w:val="20"/>
                <w:szCs w:val="20"/>
              </w:rPr>
              <w:lastRenderedPageBreak/>
              <w:t>17</w:t>
            </w:r>
          </w:p>
        </w:tc>
        <w:tc>
          <w:tcPr>
            <w:tcW w:w="670" w:type="dxa"/>
            <w:noWrap/>
            <w:vAlign w:val="center"/>
            <w:hideMark/>
          </w:tcPr>
          <w:p w14:paraId="01DAC834" w14:textId="77777777" w:rsidR="00592904" w:rsidRPr="00214EFC" w:rsidRDefault="00592904" w:rsidP="00AA63CD">
            <w:pPr>
              <w:spacing w:after="100" w:afterAutospacing="1" w:line="360" w:lineRule="auto"/>
              <w:rPr>
                <w:sz w:val="20"/>
                <w:szCs w:val="20"/>
              </w:rPr>
            </w:pPr>
            <w:r w:rsidRPr="00214EFC">
              <w:rPr>
                <w:sz w:val="20"/>
                <w:szCs w:val="20"/>
              </w:rPr>
              <w:t>gas</w:t>
            </w:r>
          </w:p>
        </w:tc>
        <w:tc>
          <w:tcPr>
            <w:tcW w:w="2816" w:type="dxa"/>
            <w:noWrap/>
            <w:vAlign w:val="center"/>
            <w:hideMark/>
          </w:tcPr>
          <w:p w14:paraId="413F1F19" w14:textId="77777777" w:rsidR="00592904" w:rsidRPr="00214EFC" w:rsidRDefault="00592904" w:rsidP="00AA63CD">
            <w:pPr>
              <w:spacing w:after="100" w:afterAutospacing="1" w:line="360" w:lineRule="auto"/>
              <w:jc w:val="left"/>
              <w:rPr>
                <w:sz w:val="20"/>
                <w:szCs w:val="20"/>
              </w:rPr>
            </w:pPr>
            <w:r w:rsidRPr="00214EFC">
              <w:rPr>
                <w:sz w:val="20"/>
                <w:szCs w:val="20"/>
              </w:rPr>
              <w:t>Gas</w:t>
            </w:r>
          </w:p>
        </w:tc>
        <w:tc>
          <w:tcPr>
            <w:tcW w:w="1688" w:type="dxa"/>
            <w:noWrap/>
            <w:vAlign w:val="center"/>
            <w:hideMark/>
          </w:tcPr>
          <w:p w14:paraId="2D98E25E" w14:textId="77777777" w:rsidR="00592904" w:rsidRPr="00214EFC" w:rsidRDefault="00592904" w:rsidP="00AA63CD">
            <w:pPr>
              <w:spacing w:after="100" w:afterAutospacing="1" w:line="360" w:lineRule="auto"/>
              <w:rPr>
                <w:sz w:val="20"/>
                <w:szCs w:val="20"/>
              </w:rPr>
            </w:pPr>
            <w:r w:rsidRPr="00214EFC">
              <w:rPr>
                <w:sz w:val="20"/>
                <w:szCs w:val="20"/>
              </w:rPr>
              <w:t>Gas</w:t>
            </w:r>
          </w:p>
        </w:tc>
        <w:tc>
          <w:tcPr>
            <w:tcW w:w="1097" w:type="dxa"/>
            <w:noWrap/>
            <w:vAlign w:val="center"/>
            <w:hideMark/>
          </w:tcPr>
          <w:p w14:paraId="5D310A49"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3D648011" w14:textId="77777777" w:rsidR="00592904" w:rsidRPr="00214EFC" w:rsidRDefault="00592904" w:rsidP="00AA63CD">
            <w:pPr>
              <w:spacing w:after="100" w:afterAutospacing="1" w:line="360" w:lineRule="auto"/>
              <w:jc w:val="left"/>
              <w:rPr>
                <w:sz w:val="20"/>
                <w:szCs w:val="20"/>
              </w:rPr>
            </w:pPr>
          </w:p>
        </w:tc>
      </w:tr>
      <w:tr w:rsidR="00592904" w:rsidRPr="00214EFC" w14:paraId="0521E863" w14:textId="77777777" w:rsidTr="002179D4">
        <w:trPr>
          <w:trHeight w:val="19"/>
          <w:jc w:val="center"/>
        </w:trPr>
        <w:tc>
          <w:tcPr>
            <w:tcW w:w="646" w:type="dxa"/>
            <w:noWrap/>
            <w:vAlign w:val="center"/>
            <w:hideMark/>
          </w:tcPr>
          <w:p w14:paraId="1CA8565B" w14:textId="77777777" w:rsidR="00592904" w:rsidRPr="00214EFC" w:rsidRDefault="00592904" w:rsidP="00AA63CD">
            <w:pPr>
              <w:spacing w:after="100" w:afterAutospacing="1" w:line="360" w:lineRule="auto"/>
              <w:rPr>
                <w:sz w:val="20"/>
                <w:szCs w:val="20"/>
              </w:rPr>
            </w:pPr>
            <w:r w:rsidRPr="00214EFC">
              <w:rPr>
                <w:sz w:val="20"/>
                <w:szCs w:val="20"/>
              </w:rPr>
              <w:t>18</w:t>
            </w:r>
          </w:p>
        </w:tc>
        <w:tc>
          <w:tcPr>
            <w:tcW w:w="670" w:type="dxa"/>
            <w:noWrap/>
            <w:vAlign w:val="center"/>
            <w:hideMark/>
          </w:tcPr>
          <w:p w14:paraId="01059EBB" w14:textId="77777777" w:rsidR="00592904" w:rsidRPr="00214EFC" w:rsidRDefault="00592904" w:rsidP="00AA63CD">
            <w:pPr>
              <w:spacing w:after="100" w:afterAutospacing="1" w:line="360" w:lineRule="auto"/>
              <w:rPr>
                <w:sz w:val="20"/>
                <w:szCs w:val="20"/>
              </w:rPr>
            </w:pPr>
            <w:proofErr w:type="spellStart"/>
            <w:r w:rsidRPr="00214EFC">
              <w:rPr>
                <w:sz w:val="20"/>
                <w:szCs w:val="20"/>
              </w:rPr>
              <w:t>oxt</w:t>
            </w:r>
            <w:proofErr w:type="spellEnd"/>
          </w:p>
        </w:tc>
        <w:tc>
          <w:tcPr>
            <w:tcW w:w="2816" w:type="dxa"/>
            <w:noWrap/>
            <w:vAlign w:val="center"/>
            <w:hideMark/>
          </w:tcPr>
          <w:p w14:paraId="4FA70BDA" w14:textId="77777777" w:rsidR="00592904" w:rsidRPr="00214EFC" w:rsidRDefault="00592904" w:rsidP="00AA63CD">
            <w:pPr>
              <w:spacing w:after="100" w:afterAutospacing="1" w:line="360" w:lineRule="auto"/>
              <w:jc w:val="left"/>
              <w:rPr>
                <w:sz w:val="20"/>
                <w:szCs w:val="20"/>
              </w:rPr>
            </w:pPr>
            <w:r w:rsidRPr="00214EFC">
              <w:rPr>
                <w:sz w:val="20"/>
                <w:szCs w:val="20"/>
              </w:rPr>
              <w:t>Other Extraction</w:t>
            </w:r>
          </w:p>
        </w:tc>
        <w:tc>
          <w:tcPr>
            <w:tcW w:w="1688" w:type="dxa"/>
            <w:noWrap/>
            <w:vAlign w:val="center"/>
            <w:hideMark/>
          </w:tcPr>
          <w:p w14:paraId="567E9292" w14:textId="77777777" w:rsidR="00592904" w:rsidRPr="00214EFC" w:rsidRDefault="00592904" w:rsidP="00AA63CD">
            <w:pPr>
              <w:spacing w:after="100" w:afterAutospacing="1" w:line="360" w:lineRule="auto"/>
              <w:rPr>
                <w:sz w:val="20"/>
                <w:szCs w:val="20"/>
              </w:rPr>
            </w:pPr>
            <w:r w:rsidRPr="00214EFC">
              <w:rPr>
                <w:sz w:val="20"/>
                <w:szCs w:val="20"/>
              </w:rPr>
              <w:t>Other extraction</w:t>
            </w:r>
          </w:p>
        </w:tc>
        <w:tc>
          <w:tcPr>
            <w:tcW w:w="1097" w:type="dxa"/>
            <w:noWrap/>
            <w:vAlign w:val="center"/>
            <w:hideMark/>
          </w:tcPr>
          <w:p w14:paraId="50C9D151"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696FE7F1" w14:textId="77777777" w:rsidR="00592904" w:rsidRPr="00214EFC" w:rsidRDefault="00592904" w:rsidP="00AA63CD">
            <w:pPr>
              <w:spacing w:after="100" w:afterAutospacing="1" w:line="360" w:lineRule="auto"/>
              <w:jc w:val="left"/>
              <w:rPr>
                <w:sz w:val="20"/>
                <w:szCs w:val="20"/>
              </w:rPr>
            </w:pPr>
          </w:p>
        </w:tc>
      </w:tr>
      <w:tr w:rsidR="00592904" w:rsidRPr="00214EFC" w14:paraId="56DFF187" w14:textId="77777777" w:rsidTr="002179D4">
        <w:trPr>
          <w:trHeight w:val="19"/>
          <w:jc w:val="center"/>
        </w:trPr>
        <w:tc>
          <w:tcPr>
            <w:tcW w:w="646" w:type="dxa"/>
            <w:noWrap/>
            <w:vAlign w:val="center"/>
            <w:hideMark/>
          </w:tcPr>
          <w:p w14:paraId="00DCDDA8" w14:textId="77777777" w:rsidR="00592904" w:rsidRPr="00214EFC" w:rsidRDefault="00592904" w:rsidP="00AA63CD">
            <w:pPr>
              <w:spacing w:after="100" w:afterAutospacing="1" w:line="360" w:lineRule="auto"/>
              <w:rPr>
                <w:sz w:val="20"/>
                <w:szCs w:val="20"/>
              </w:rPr>
            </w:pPr>
            <w:r w:rsidRPr="00214EFC">
              <w:rPr>
                <w:sz w:val="20"/>
                <w:szCs w:val="20"/>
              </w:rPr>
              <w:t>19</w:t>
            </w:r>
          </w:p>
        </w:tc>
        <w:tc>
          <w:tcPr>
            <w:tcW w:w="670" w:type="dxa"/>
            <w:noWrap/>
            <w:vAlign w:val="center"/>
            <w:hideMark/>
          </w:tcPr>
          <w:p w14:paraId="343038A5" w14:textId="77777777" w:rsidR="00592904" w:rsidRPr="00214EFC" w:rsidRDefault="00592904" w:rsidP="00AA63CD">
            <w:pPr>
              <w:spacing w:after="100" w:afterAutospacing="1" w:line="360" w:lineRule="auto"/>
              <w:rPr>
                <w:sz w:val="20"/>
                <w:szCs w:val="20"/>
              </w:rPr>
            </w:pPr>
            <w:proofErr w:type="spellStart"/>
            <w:r w:rsidRPr="00214EFC">
              <w:rPr>
                <w:sz w:val="20"/>
                <w:szCs w:val="20"/>
              </w:rPr>
              <w:t>cmt</w:t>
            </w:r>
            <w:proofErr w:type="spellEnd"/>
          </w:p>
        </w:tc>
        <w:tc>
          <w:tcPr>
            <w:tcW w:w="2816" w:type="dxa"/>
            <w:noWrap/>
            <w:vAlign w:val="center"/>
            <w:hideMark/>
          </w:tcPr>
          <w:p w14:paraId="38F9D7C7" w14:textId="77777777" w:rsidR="00592904" w:rsidRPr="00214EFC" w:rsidRDefault="00592904" w:rsidP="00AA63CD">
            <w:pPr>
              <w:spacing w:after="100" w:afterAutospacing="1" w:line="360" w:lineRule="auto"/>
              <w:jc w:val="left"/>
              <w:rPr>
                <w:sz w:val="20"/>
                <w:szCs w:val="20"/>
              </w:rPr>
            </w:pPr>
            <w:r w:rsidRPr="00214EFC">
              <w:rPr>
                <w:sz w:val="20"/>
                <w:szCs w:val="20"/>
              </w:rPr>
              <w:t>Meat: cattle, sheep, goats, horse</w:t>
            </w:r>
          </w:p>
        </w:tc>
        <w:tc>
          <w:tcPr>
            <w:tcW w:w="1688" w:type="dxa"/>
            <w:noWrap/>
            <w:vAlign w:val="center"/>
            <w:hideMark/>
          </w:tcPr>
          <w:p w14:paraId="63D7B75C" w14:textId="77777777" w:rsidR="00592904" w:rsidRPr="00214EFC" w:rsidRDefault="00592904" w:rsidP="00AA63CD">
            <w:pPr>
              <w:spacing w:after="100" w:afterAutospacing="1" w:line="360" w:lineRule="auto"/>
              <w:rPr>
                <w:sz w:val="20"/>
                <w:szCs w:val="20"/>
              </w:rPr>
            </w:pPr>
            <w:r w:rsidRPr="00214EFC">
              <w:rPr>
                <w:sz w:val="20"/>
                <w:szCs w:val="20"/>
              </w:rPr>
              <w:t>Red meat</w:t>
            </w:r>
          </w:p>
        </w:tc>
        <w:tc>
          <w:tcPr>
            <w:tcW w:w="1097" w:type="dxa"/>
            <w:noWrap/>
            <w:vAlign w:val="center"/>
            <w:hideMark/>
          </w:tcPr>
          <w:p w14:paraId="65A22048"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17BD5E86" w14:textId="77777777" w:rsidR="00592904" w:rsidRPr="00214EFC" w:rsidRDefault="00592904" w:rsidP="00AA63CD">
            <w:pPr>
              <w:spacing w:after="100" w:afterAutospacing="1" w:line="360" w:lineRule="auto"/>
              <w:jc w:val="left"/>
              <w:rPr>
                <w:sz w:val="20"/>
                <w:szCs w:val="20"/>
              </w:rPr>
            </w:pPr>
          </w:p>
        </w:tc>
      </w:tr>
      <w:tr w:rsidR="00592904" w:rsidRPr="00214EFC" w14:paraId="428E7460" w14:textId="77777777" w:rsidTr="002179D4">
        <w:trPr>
          <w:trHeight w:val="19"/>
          <w:jc w:val="center"/>
        </w:trPr>
        <w:tc>
          <w:tcPr>
            <w:tcW w:w="646" w:type="dxa"/>
            <w:noWrap/>
            <w:vAlign w:val="center"/>
            <w:hideMark/>
          </w:tcPr>
          <w:p w14:paraId="6841A062" w14:textId="77777777" w:rsidR="00592904" w:rsidRPr="00214EFC" w:rsidRDefault="00592904" w:rsidP="00AA63CD">
            <w:pPr>
              <w:spacing w:after="100" w:afterAutospacing="1" w:line="360" w:lineRule="auto"/>
              <w:rPr>
                <w:sz w:val="20"/>
                <w:szCs w:val="20"/>
              </w:rPr>
            </w:pPr>
            <w:r w:rsidRPr="00214EFC">
              <w:rPr>
                <w:sz w:val="20"/>
                <w:szCs w:val="20"/>
              </w:rPr>
              <w:t>20</w:t>
            </w:r>
          </w:p>
        </w:tc>
        <w:tc>
          <w:tcPr>
            <w:tcW w:w="670" w:type="dxa"/>
            <w:noWrap/>
            <w:vAlign w:val="center"/>
            <w:hideMark/>
          </w:tcPr>
          <w:p w14:paraId="38B2AF5C" w14:textId="77777777" w:rsidR="00592904" w:rsidRPr="00214EFC" w:rsidRDefault="00592904" w:rsidP="00AA63CD">
            <w:pPr>
              <w:spacing w:after="100" w:afterAutospacing="1" w:line="360" w:lineRule="auto"/>
              <w:rPr>
                <w:sz w:val="20"/>
                <w:szCs w:val="20"/>
              </w:rPr>
            </w:pPr>
            <w:proofErr w:type="spellStart"/>
            <w:r w:rsidRPr="00214EFC">
              <w:rPr>
                <w:sz w:val="20"/>
                <w:szCs w:val="20"/>
              </w:rPr>
              <w:t>omt</w:t>
            </w:r>
            <w:proofErr w:type="spellEnd"/>
          </w:p>
        </w:tc>
        <w:tc>
          <w:tcPr>
            <w:tcW w:w="2816" w:type="dxa"/>
            <w:noWrap/>
            <w:vAlign w:val="center"/>
            <w:hideMark/>
          </w:tcPr>
          <w:p w14:paraId="39FE3B82" w14:textId="77777777" w:rsidR="00592904" w:rsidRPr="00214EFC" w:rsidRDefault="00592904" w:rsidP="00AA63CD">
            <w:pPr>
              <w:spacing w:after="100" w:afterAutospacing="1" w:line="360" w:lineRule="auto"/>
              <w:jc w:val="left"/>
              <w:rPr>
                <w:sz w:val="20"/>
                <w:szCs w:val="20"/>
              </w:rPr>
            </w:pPr>
            <w:r w:rsidRPr="00214EFC">
              <w:rPr>
                <w:sz w:val="20"/>
                <w:szCs w:val="20"/>
              </w:rPr>
              <w:t xml:space="preserve">Meat products </w:t>
            </w:r>
            <w:proofErr w:type="spellStart"/>
            <w:r w:rsidRPr="00214EFC">
              <w:rPr>
                <w:sz w:val="20"/>
                <w:szCs w:val="20"/>
              </w:rPr>
              <w:t>nec</w:t>
            </w:r>
            <w:proofErr w:type="spellEnd"/>
          </w:p>
        </w:tc>
        <w:tc>
          <w:tcPr>
            <w:tcW w:w="1688" w:type="dxa"/>
            <w:noWrap/>
            <w:vAlign w:val="center"/>
            <w:hideMark/>
          </w:tcPr>
          <w:p w14:paraId="693DB0F5" w14:textId="77777777" w:rsidR="00592904" w:rsidRPr="00214EFC" w:rsidRDefault="00592904" w:rsidP="00AA63CD">
            <w:pPr>
              <w:spacing w:after="100" w:afterAutospacing="1" w:line="360" w:lineRule="auto"/>
              <w:rPr>
                <w:sz w:val="20"/>
                <w:szCs w:val="20"/>
              </w:rPr>
            </w:pPr>
            <w:r w:rsidRPr="00214EFC">
              <w:rPr>
                <w:sz w:val="20"/>
                <w:szCs w:val="20"/>
              </w:rPr>
              <w:t>White meat</w:t>
            </w:r>
          </w:p>
        </w:tc>
        <w:tc>
          <w:tcPr>
            <w:tcW w:w="1097" w:type="dxa"/>
            <w:noWrap/>
            <w:vAlign w:val="center"/>
            <w:hideMark/>
          </w:tcPr>
          <w:p w14:paraId="7EBA92D2"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569F911A" w14:textId="77777777" w:rsidR="00592904" w:rsidRPr="00214EFC" w:rsidRDefault="00592904" w:rsidP="00AA63CD">
            <w:pPr>
              <w:spacing w:after="100" w:afterAutospacing="1" w:line="360" w:lineRule="auto"/>
              <w:jc w:val="left"/>
              <w:rPr>
                <w:sz w:val="20"/>
                <w:szCs w:val="20"/>
              </w:rPr>
            </w:pPr>
          </w:p>
        </w:tc>
      </w:tr>
      <w:tr w:rsidR="00592904" w:rsidRPr="00214EFC" w14:paraId="3B5A1B8D" w14:textId="77777777" w:rsidTr="002179D4">
        <w:trPr>
          <w:trHeight w:val="19"/>
          <w:jc w:val="center"/>
        </w:trPr>
        <w:tc>
          <w:tcPr>
            <w:tcW w:w="646" w:type="dxa"/>
            <w:noWrap/>
            <w:vAlign w:val="center"/>
            <w:hideMark/>
          </w:tcPr>
          <w:p w14:paraId="6E137039" w14:textId="77777777" w:rsidR="00592904" w:rsidRPr="00214EFC" w:rsidRDefault="00592904" w:rsidP="00AA63CD">
            <w:pPr>
              <w:spacing w:after="100" w:afterAutospacing="1" w:line="360" w:lineRule="auto"/>
              <w:rPr>
                <w:sz w:val="20"/>
                <w:szCs w:val="20"/>
              </w:rPr>
            </w:pPr>
            <w:r w:rsidRPr="00214EFC">
              <w:rPr>
                <w:sz w:val="20"/>
                <w:szCs w:val="20"/>
              </w:rPr>
              <w:t>21</w:t>
            </w:r>
          </w:p>
        </w:tc>
        <w:tc>
          <w:tcPr>
            <w:tcW w:w="670" w:type="dxa"/>
            <w:noWrap/>
            <w:vAlign w:val="center"/>
            <w:hideMark/>
          </w:tcPr>
          <w:p w14:paraId="7AC52361" w14:textId="77777777" w:rsidR="00592904" w:rsidRPr="00214EFC" w:rsidRDefault="00592904" w:rsidP="00AA63CD">
            <w:pPr>
              <w:spacing w:after="100" w:afterAutospacing="1" w:line="360" w:lineRule="auto"/>
              <w:rPr>
                <w:sz w:val="20"/>
                <w:szCs w:val="20"/>
              </w:rPr>
            </w:pPr>
            <w:r w:rsidRPr="00214EFC">
              <w:rPr>
                <w:sz w:val="20"/>
                <w:szCs w:val="20"/>
              </w:rPr>
              <w:t>vol</w:t>
            </w:r>
          </w:p>
        </w:tc>
        <w:tc>
          <w:tcPr>
            <w:tcW w:w="2816" w:type="dxa"/>
            <w:noWrap/>
            <w:vAlign w:val="center"/>
            <w:hideMark/>
          </w:tcPr>
          <w:p w14:paraId="77EB36FF" w14:textId="77777777" w:rsidR="00592904" w:rsidRPr="00214EFC" w:rsidRDefault="00592904" w:rsidP="00AA63CD">
            <w:pPr>
              <w:spacing w:after="100" w:afterAutospacing="1" w:line="360" w:lineRule="auto"/>
              <w:jc w:val="left"/>
              <w:rPr>
                <w:sz w:val="20"/>
                <w:szCs w:val="20"/>
              </w:rPr>
            </w:pPr>
            <w:r w:rsidRPr="00214EFC">
              <w:rPr>
                <w:sz w:val="20"/>
                <w:szCs w:val="20"/>
              </w:rPr>
              <w:t>Vegetable oils and fats</w:t>
            </w:r>
          </w:p>
        </w:tc>
        <w:tc>
          <w:tcPr>
            <w:tcW w:w="1688" w:type="dxa"/>
            <w:noWrap/>
            <w:vAlign w:val="center"/>
            <w:hideMark/>
          </w:tcPr>
          <w:p w14:paraId="15A9D118" w14:textId="77777777" w:rsidR="00592904" w:rsidRPr="00214EFC" w:rsidRDefault="00592904" w:rsidP="00AA63CD">
            <w:pPr>
              <w:spacing w:after="100" w:afterAutospacing="1" w:line="360" w:lineRule="auto"/>
              <w:rPr>
                <w:sz w:val="20"/>
                <w:szCs w:val="20"/>
              </w:rPr>
            </w:pPr>
            <w:r w:rsidRPr="00214EFC">
              <w:rPr>
                <w:sz w:val="20"/>
                <w:szCs w:val="20"/>
              </w:rPr>
              <w:t>Oil</w:t>
            </w:r>
          </w:p>
        </w:tc>
        <w:tc>
          <w:tcPr>
            <w:tcW w:w="1097" w:type="dxa"/>
            <w:noWrap/>
            <w:vAlign w:val="center"/>
            <w:hideMark/>
          </w:tcPr>
          <w:p w14:paraId="2EC75452"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2FFA9605" w14:textId="77777777" w:rsidR="00592904" w:rsidRPr="00214EFC" w:rsidRDefault="00592904" w:rsidP="00AA63CD">
            <w:pPr>
              <w:spacing w:after="100" w:afterAutospacing="1" w:line="360" w:lineRule="auto"/>
              <w:jc w:val="left"/>
              <w:rPr>
                <w:sz w:val="20"/>
                <w:szCs w:val="20"/>
              </w:rPr>
            </w:pPr>
          </w:p>
        </w:tc>
      </w:tr>
      <w:tr w:rsidR="00592904" w:rsidRPr="00214EFC" w14:paraId="6F168014" w14:textId="77777777" w:rsidTr="002179D4">
        <w:trPr>
          <w:trHeight w:val="19"/>
          <w:jc w:val="center"/>
        </w:trPr>
        <w:tc>
          <w:tcPr>
            <w:tcW w:w="646" w:type="dxa"/>
            <w:noWrap/>
            <w:vAlign w:val="center"/>
            <w:hideMark/>
          </w:tcPr>
          <w:p w14:paraId="0ADFD2FB" w14:textId="77777777" w:rsidR="00592904" w:rsidRPr="00214EFC" w:rsidRDefault="00592904" w:rsidP="00AA63CD">
            <w:pPr>
              <w:spacing w:after="100" w:afterAutospacing="1" w:line="360" w:lineRule="auto"/>
              <w:rPr>
                <w:sz w:val="20"/>
                <w:szCs w:val="20"/>
              </w:rPr>
            </w:pPr>
            <w:r w:rsidRPr="00214EFC">
              <w:rPr>
                <w:sz w:val="20"/>
                <w:szCs w:val="20"/>
              </w:rPr>
              <w:t>22</w:t>
            </w:r>
          </w:p>
        </w:tc>
        <w:tc>
          <w:tcPr>
            <w:tcW w:w="670" w:type="dxa"/>
            <w:noWrap/>
            <w:vAlign w:val="center"/>
            <w:hideMark/>
          </w:tcPr>
          <w:p w14:paraId="47ADAA18" w14:textId="77777777" w:rsidR="00592904" w:rsidRPr="00214EFC" w:rsidRDefault="00592904" w:rsidP="00AA63CD">
            <w:pPr>
              <w:spacing w:after="100" w:afterAutospacing="1" w:line="360" w:lineRule="auto"/>
              <w:rPr>
                <w:sz w:val="20"/>
                <w:szCs w:val="20"/>
              </w:rPr>
            </w:pPr>
            <w:r w:rsidRPr="00214EFC">
              <w:rPr>
                <w:sz w:val="20"/>
                <w:szCs w:val="20"/>
              </w:rPr>
              <w:t>mil</w:t>
            </w:r>
          </w:p>
        </w:tc>
        <w:tc>
          <w:tcPr>
            <w:tcW w:w="2816" w:type="dxa"/>
            <w:noWrap/>
            <w:vAlign w:val="center"/>
            <w:hideMark/>
          </w:tcPr>
          <w:p w14:paraId="6C633C6C" w14:textId="77777777" w:rsidR="00592904" w:rsidRPr="00214EFC" w:rsidRDefault="00592904" w:rsidP="00AA63CD">
            <w:pPr>
              <w:spacing w:after="100" w:afterAutospacing="1" w:line="360" w:lineRule="auto"/>
              <w:jc w:val="left"/>
              <w:rPr>
                <w:sz w:val="20"/>
                <w:szCs w:val="20"/>
              </w:rPr>
            </w:pPr>
            <w:r w:rsidRPr="00214EFC">
              <w:rPr>
                <w:sz w:val="20"/>
                <w:szCs w:val="20"/>
              </w:rPr>
              <w:t>Dairy products</w:t>
            </w:r>
          </w:p>
        </w:tc>
        <w:tc>
          <w:tcPr>
            <w:tcW w:w="1688" w:type="dxa"/>
            <w:noWrap/>
            <w:vAlign w:val="center"/>
            <w:hideMark/>
          </w:tcPr>
          <w:p w14:paraId="3611F60B" w14:textId="77777777" w:rsidR="00592904" w:rsidRPr="00214EFC" w:rsidRDefault="00592904" w:rsidP="00AA63CD">
            <w:pPr>
              <w:spacing w:after="100" w:afterAutospacing="1" w:line="360" w:lineRule="auto"/>
              <w:rPr>
                <w:sz w:val="20"/>
                <w:szCs w:val="20"/>
              </w:rPr>
            </w:pPr>
            <w:r w:rsidRPr="00214EFC">
              <w:rPr>
                <w:sz w:val="20"/>
                <w:szCs w:val="20"/>
              </w:rPr>
              <w:t>Dairy</w:t>
            </w:r>
          </w:p>
        </w:tc>
        <w:tc>
          <w:tcPr>
            <w:tcW w:w="1097" w:type="dxa"/>
            <w:noWrap/>
            <w:vAlign w:val="center"/>
            <w:hideMark/>
          </w:tcPr>
          <w:p w14:paraId="6A18D2BE"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5559BF8E" w14:textId="77777777" w:rsidR="00592904" w:rsidRPr="00214EFC" w:rsidRDefault="00592904" w:rsidP="00AA63CD">
            <w:pPr>
              <w:spacing w:after="100" w:afterAutospacing="1" w:line="360" w:lineRule="auto"/>
              <w:jc w:val="left"/>
              <w:rPr>
                <w:sz w:val="20"/>
                <w:szCs w:val="20"/>
              </w:rPr>
            </w:pPr>
          </w:p>
        </w:tc>
      </w:tr>
      <w:tr w:rsidR="00592904" w:rsidRPr="00214EFC" w14:paraId="13997FCF" w14:textId="77777777" w:rsidTr="002179D4">
        <w:trPr>
          <w:trHeight w:val="19"/>
          <w:jc w:val="center"/>
        </w:trPr>
        <w:tc>
          <w:tcPr>
            <w:tcW w:w="646" w:type="dxa"/>
            <w:noWrap/>
            <w:vAlign w:val="center"/>
            <w:hideMark/>
          </w:tcPr>
          <w:p w14:paraId="4D3C62C5" w14:textId="77777777" w:rsidR="00592904" w:rsidRPr="00214EFC" w:rsidRDefault="00592904" w:rsidP="00AA63CD">
            <w:pPr>
              <w:spacing w:after="100" w:afterAutospacing="1" w:line="360" w:lineRule="auto"/>
              <w:rPr>
                <w:sz w:val="20"/>
                <w:szCs w:val="20"/>
              </w:rPr>
            </w:pPr>
            <w:r w:rsidRPr="00214EFC">
              <w:rPr>
                <w:sz w:val="20"/>
                <w:szCs w:val="20"/>
              </w:rPr>
              <w:t>23</w:t>
            </w:r>
          </w:p>
        </w:tc>
        <w:tc>
          <w:tcPr>
            <w:tcW w:w="670" w:type="dxa"/>
            <w:noWrap/>
            <w:vAlign w:val="center"/>
            <w:hideMark/>
          </w:tcPr>
          <w:p w14:paraId="20A601CD" w14:textId="77777777" w:rsidR="00592904" w:rsidRPr="00214EFC" w:rsidRDefault="00592904" w:rsidP="00AA63CD">
            <w:pPr>
              <w:spacing w:after="100" w:afterAutospacing="1" w:line="360" w:lineRule="auto"/>
              <w:rPr>
                <w:sz w:val="20"/>
                <w:szCs w:val="20"/>
              </w:rPr>
            </w:pPr>
            <w:proofErr w:type="spellStart"/>
            <w:r w:rsidRPr="00214EFC">
              <w:rPr>
                <w:sz w:val="20"/>
                <w:szCs w:val="20"/>
              </w:rPr>
              <w:t>pcr</w:t>
            </w:r>
            <w:proofErr w:type="spellEnd"/>
          </w:p>
        </w:tc>
        <w:tc>
          <w:tcPr>
            <w:tcW w:w="2816" w:type="dxa"/>
            <w:noWrap/>
            <w:vAlign w:val="center"/>
            <w:hideMark/>
          </w:tcPr>
          <w:p w14:paraId="1B9FCDF9" w14:textId="77777777" w:rsidR="00592904" w:rsidRPr="00214EFC" w:rsidRDefault="00592904" w:rsidP="00AA63CD">
            <w:pPr>
              <w:spacing w:after="100" w:afterAutospacing="1" w:line="360" w:lineRule="auto"/>
              <w:jc w:val="left"/>
              <w:rPr>
                <w:sz w:val="20"/>
                <w:szCs w:val="20"/>
              </w:rPr>
            </w:pPr>
            <w:r w:rsidRPr="00214EFC">
              <w:rPr>
                <w:sz w:val="20"/>
                <w:szCs w:val="20"/>
              </w:rPr>
              <w:t>Processed rice</w:t>
            </w:r>
          </w:p>
        </w:tc>
        <w:tc>
          <w:tcPr>
            <w:tcW w:w="1688" w:type="dxa"/>
            <w:noWrap/>
            <w:vAlign w:val="center"/>
            <w:hideMark/>
          </w:tcPr>
          <w:p w14:paraId="5CAD7B48" w14:textId="77777777" w:rsidR="00592904" w:rsidRPr="00214EFC" w:rsidRDefault="00592904" w:rsidP="00AA63CD">
            <w:pPr>
              <w:spacing w:after="100" w:afterAutospacing="1" w:line="360" w:lineRule="auto"/>
              <w:rPr>
                <w:sz w:val="20"/>
                <w:szCs w:val="20"/>
              </w:rPr>
            </w:pPr>
            <w:r w:rsidRPr="00214EFC">
              <w:rPr>
                <w:sz w:val="20"/>
                <w:szCs w:val="20"/>
              </w:rPr>
              <w:t>Rice products</w:t>
            </w:r>
          </w:p>
        </w:tc>
        <w:tc>
          <w:tcPr>
            <w:tcW w:w="1097" w:type="dxa"/>
            <w:noWrap/>
            <w:vAlign w:val="center"/>
            <w:hideMark/>
          </w:tcPr>
          <w:p w14:paraId="065F7158"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168BFDEF" w14:textId="77777777" w:rsidR="00592904" w:rsidRPr="00214EFC" w:rsidRDefault="00592904" w:rsidP="00AA63CD">
            <w:pPr>
              <w:spacing w:after="100" w:afterAutospacing="1" w:line="360" w:lineRule="auto"/>
              <w:jc w:val="left"/>
              <w:rPr>
                <w:sz w:val="20"/>
                <w:szCs w:val="20"/>
              </w:rPr>
            </w:pPr>
          </w:p>
        </w:tc>
      </w:tr>
      <w:tr w:rsidR="00592904" w:rsidRPr="00214EFC" w14:paraId="18AB57DF" w14:textId="77777777" w:rsidTr="002179D4">
        <w:trPr>
          <w:trHeight w:val="19"/>
          <w:jc w:val="center"/>
        </w:trPr>
        <w:tc>
          <w:tcPr>
            <w:tcW w:w="646" w:type="dxa"/>
            <w:noWrap/>
            <w:vAlign w:val="center"/>
            <w:hideMark/>
          </w:tcPr>
          <w:p w14:paraId="02C8F4B4" w14:textId="77777777" w:rsidR="00592904" w:rsidRPr="00214EFC" w:rsidRDefault="00592904" w:rsidP="00AA63CD">
            <w:pPr>
              <w:spacing w:after="100" w:afterAutospacing="1" w:line="360" w:lineRule="auto"/>
              <w:rPr>
                <w:sz w:val="20"/>
                <w:szCs w:val="20"/>
              </w:rPr>
            </w:pPr>
            <w:r w:rsidRPr="00214EFC">
              <w:rPr>
                <w:sz w:val="20"/>
                <w:szCs w:val="20"/>
              </w:rPr>
              <w:t>24</w:t>
            </w:r>
          </w:p>
        </w:tc>
        <w:tc>
          <w:tcPr>
            <w:tcW w:w="670" w:type="dxa"/>
            <w:noWrap/>
            <w:vAlign w:val="center"/>
            <w:hideMark/>
          </w:tcPr>
          <w:p w14:paraId="72606252" w14:textId="77777777" w:rsidR="00592904" w:rsidRPr="00214EFC" w:rsidRDefault="00592904" w:rsidP="00AA63CD">
            <w:pPr>
              <w:spacing w:after="100" w:afterAutospacing="1" w:line="360" w:lineRule="auto"/>
              <w:rPr>
                <w:sz w:val="20"/>
                <w:szCs w:val="20"/>
              </w:rPr>
            </w:pPr>
            <w:proofErr w:type="spellStart"/>
            <w:r w:rsidRPr="00214EFC">
              <w:rPr>
                <w:sz w:val="20"/>
                <w:szCs w:val="20"/>
              </w:rPr>
              <w:t>sgr</w:t>
            </w:r>
            <w:proofErr w:type="spellEnd"/>
          </w:p>
        </w:tc>
        <w:tc>
          <w:tcPr>
            <w:tcW w:w="2816" w:type="dxa"/>
            <w:noWrap/>
            <w:vAlign w:val="center"/>
            <w:hideMark/>
          </w:tcPr>
          <w:p w14:paraId="76A8E830" w14:textId="77777777" w:rsidR="00592904" w:rsidRPr="00214EFC" w:rsidRDefault="00592904" w:rsidP="00AA63CD">
            <w:pPr>
              <w:spacing w:after="100" w:afterAutospacing="1" w:line="360" w:lineRule="auto"/>
              <w:jc w:val="left"/>
              <w:rPr>
                <w:sz w:val="20"/>
                <w:szCs w:val="20"/>
              </w:rPr>
            </w:pPr>
            <w:r w:rsidRPr="00214EFC">
              <w:rPr>
                <w:sz w:val="20"/>
                <w:szCs w:val="20"/>
              </w:rPr>
              <w:t>Sugar</w:t>
            </w:r>
          </w:p>
        </w:tc>
        <w:tc>
          <w:tcPr>
            <w:tcW w:w="1688" w:type="dxa"/>
            <w:noWrap/>
            <w:vAlign w:val="center"/>
            <w:hideMark/>
          </w:tcPr>
          <w:p w14:paraId="48E068B5" w14:textId="77777777" w:rsidR="00592904" w:rsidRPr="00214EFC" w:rsidRDefault="00592904" w:rsidP="00AA63CD">
            <w:pPr>
              <w:spacing w:after="100" w:afterAutospacing="1" w:line="360" w:lineRule="auto"/>
              <w:rPr>
                <w:sz w:val="20"/>
                <w:szCs w:val="20"/>
              </w:rPr>
            </w:pPr>
            <w:r w:rsidRPr="00214EFC">
              <w:rPr>
                <w:sz w:val="20"/>
                <w:szCs w:val="20"/>
              </w:rPr>
              <w:t>Sugar</w:t>
            </w:r>
          </w:p>
        </w:tc>
        <w:tc>
          <w:tcPr>
            <w:tcW w:w="1097" w:type="dxa"/>
            <w:noWrap/>
            <w:vAlign w:val="center"/>
            <w:hideMark/>
          </w:tcPr>
          <w:p w14:paraId="641DB78D"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63178738" w14:textId="77777777" w:rsidR="00592904" w:rsidRPr="00214EFC" w:rsidRDefault="00592904" w:rsidP="00AA63CD">
            <w:pPr>
              <w:spacing w:after="100" w:afterAutospacing="1" w:line="360" w:lineRule="auto"/>
              <w:jc w:val="left"/>
              <w:rPr>
                <w:sz w:val="20"/>
                <w:szCs w:val="20"/>
              </w:rPr>
            </w:pPr>
          </w:p>
        </w:tc>
      </w:tr>
      <w:tr w:rsidR="00592904" w:rsidRPr="00214EFC" w14:paraId="4B4F3B1F" w14:textId="77777777" w:rsidTr="002179D4">
        <w:trPr>
          <w:trHeight w:val="19"/>
          <w:jc w:val="center"/>
        </w:trPr>
        <w:tc>
          <w:tcPr>
            <w:tcW w:w="646" w:type="dxa"/>
            <w:noWrap/>
            <w:vAlign w:val="center"/>
            <w:hideMark/>
          </w:tcPr>
          <w:p w14:paraId="0056C867" w14:textId="77777777" w:rsidR="00592904" w:rsidRPr="00214EFC" w:rsidRDefault="00592904" w:rsidP="00AA63CD">
            <w:pPr>
              <w:spacing w:after="100" w:afterAutospacing="1" w:line="360" w:lineRule="auto"/>
              <w:rPr>
                <w:sz w:val="20"/>
                <w:szCs w:val="20"/>
              </w:rPr>
            </w:pPr>
            <w:r w:rsidRPr="00214EFC">
              <w:rPr>
                <w:sz w:val="20"/>
                <w:szCs w:val="20"/>
              </w:rPr>
              <w:t>25</w:t>
            </w:r>
          </w:p>
        </w:tc>
        <w:tc>
          <w:tcPr>
            <w:tcW w:w="670" w:type="dxa"/>
            <w:noWrap/>
            <w:vAlign w:val="center"/>
            <w:hideMark/>
          </w:tcPr>
          <w:p w14:paraId="1C52C859" w14:textId="77777777" w:rsidR="00592904" w:rsidRPr="00214EFC" w:rsidRDefault="00592904" w:rsidP="00AA63CD">
            <w:pPr>
              <w:spacing w:after="100" w:afterAutospacing="1" w:line="360" w:lineRule="auto"/>
              <w:rPr>
                <w:sz w:val="20"/>
                <w:szCs w:val="20"/>
              </w:rPr>
            </w:pPr>
            <w:proofErr w:type="spellStart"/>
            <w:r w:rsidRPr="00214EFC">
              <w:rPr>
                <w:sz w:val="20"/>
                <w:szCs w:val="20"/>
              </w:rPr>
              <w:t>ofd</w:t>
            </w:r>
            <w:proofErr w:type="spellEnd"/>
          </w:p>
        </w:tc>
        <w:tc>
          <w:tcPr>
            <w:tcW w:w="2816" w:type="dxa"/>
            <w:noWrap/>
            <w:vAlign w:val="center"/>
            <w:hideMark/>
          </w:tcPr>
          <w:p w14:paraId="2EDCC943" w14:textId="77777777" w:rsidR="00592904" w:rsidRPr="00214EFC" w:rsidRDefault="00592904" w:rsidP="00AA63CD">
            <w:pPr>
              <w:spacing w:after="100" w:afterAutospacing="1" w:line="360" w:lineRule="auto"/>
              <w:jc w:val="left"/>
              <w:rPr>
                <w:sz w:val="20"/>
                <w:szCs w:val="20"/>
              </w:rPr>
            </w:pPr>
            <w:r w:rsidRPr="00214EFC">
              <w:rPr>
                <w:sz w:val="20"/>
                <w:szCs w:val="20"/>
              </w:rPr>
              <w:t xml:space="preserve">Food products </w:t>
            </w:r>
            <w:proofErr w:type="spellStart"/>
            <w:r w:rsidRPr="00214EFC">
              <w:rPr>
                <w:sz w:val="20"/>
                <w:szCs w:val="20"/>
              </w:rPr>
              <w:t>nec</w:t>
            </w:r>
            <w:proofErr w:type="spellEnd"/>
          </w:p>
        </w:tc>
        <w:tc>
          <w:tcPr>
            <w:tcW w:w="1688" w:type="dxa"/>
            <w:noWrap/>
            <w:vAlign w:val="center"/>
            <w:hideMark/>
          </w:tcPr>
          <w:p w14:paraId="6721E9C7" w14:textId="77777777" w:rsidR="00592904" w:rsidRPr="00214EFC" w:rsidRDefault="00592904" w:rsidP="00AA63CD">
            <w:pPr>
              <w:spacing w:after="100" w:afterAutospacing="1" w:line="360" w:lineRule="auto"/>
              <w:rPr>
                <w:sz w:val="20"/>
                <w:szCs w:val="20"/>
              </w:rPr>
            </w:pPr>
            <w:r w:rsidRPr="00214EFC">
              <w:rPr>
                <w:sz w:val="20"/>
                <w:szCs w:val="20"/>
              </w:rPr>
              <w:t>Food</w:t>
            </w:r>
          </w:p>
        </w:tc>
        <w:tc>
          <w:tcPr>
            <w:tcW w:w="1097" w:type="dxa"/>
            <w:noWrap/>
            <w:vAlign w:val="center"/>
            <w:hideMark/>
          </w:tcPr>
          <w:p w14:paraId="1B125A5A"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2A20E71E" w14:textId="77777777" w:rsidR="00592904" w:rsidRPr="00214EFC" w:rsidRDefault="00592904" w:rsidP="00AA63CD">
            <w:pPr>
              <w:spacing w:after="100" w:afterAutospacing="1" w:line="360" w:lineRule="auto"/>
              <w:jc w:val="left"/>
              <w:rPr>
                <w:sz w:val="20"/>
                <w:szCs w:val="20"/>
              </w:rPr>
            </w:pPr>
          </w:p>
        </w:tc>
      </w:tr>
      <w:tr w:rsidR="00592904" w:rsidRPr="00214EFC" w14:paraId="68CD60C0" w14:textId="77777777" w:rsidTr="002179D4">
        <w:trPr>
          <w:trHeight w:val="19"/>
          <w:jc w:val="center"/>
        </w:trPr>
        <w:tc>
          <w:tcPr>
            <w:tcW w:w="646" w:type="dxa"/>
            <w:noWrap/>
            <w:vAlign w:val="center"/>
            <w:hideMark/>
          </w:tcPr>
          <w:p w14:paraId="399BEA35" w14:textId="77777777" w:rsidR="00592904" w:rsidRPr="00214EFC" w:rsidRDefault="00592904" w:rsidP="00AA63CD">
            <w:pPr>
              <w:spacing w:after="100" w:afterAutospacing="1" w:line="360" w:lineRule="auto"/>
              <w:rPr>
                <w:sz w:val="20"/>
                <w:szCs w:val="20"/>
              </w:rPr>
            </w:pPr>
            <w:r w:rsidRPr="00214EFC">
              <w:rPr>
                <w:sz w:val="20"/>
                <w:szCs w:val="20"/>
              </w:rPr>
              <w:t>26</w:t>
            </w:r>
          </w:p>
        </w:tc>
        <w:tc>
          <w:tcPr>
            <w:tcW w:w="670" w:type="dxa"/>
            <w:noWrap/>
            <w:vAlign w:val="center"/>
            <w:hideMark/>
          </w:tcPr>
          <w:p w14:paraId="2D74B3D8" w14:textId="77777777" w:rsidR="00592904" w:rsidRPr="00214EFC" w:rsidRDefault="00592904" w:rsidP="00AA63CD">
            <w:pPr>
              <w:spacing w:after="100" w:afterAutospacing="1" w:line="360" w:lineRule="auto"/>
              <w:rPr>
                <w:sz w:val="20"/>
                <w:szCs w:val="20"/>
              </w:rPr>
            </w:pPr>
            <w:proofErr w:type="spellStart"/>
            <w:r w:rsidRPr="00214EFC">
              <w:rPr>
                <w:sz w:val="20"/>
                <w:szCs w:val="20"/>
              </w:rPr>
              <w:t>b_t</w:t>
            </w:r>
            <w:proofErr w:type="spellEnd"/>
          </w:p>
        </w:tc>
        <w:tc>
          <w:tcPr>
            <w:tcW w:w="2816" w:type="dxa"/>
            <w:noWrap/>
            <w:vAlign w:val="center"/>
            <w:hideMark/>
          </w:tcPr>
          <w:p w14:paraId="71242EF9" w14:textId="77777777" w:rsidR="00592904" w:rsidRPr="00214EFC" w:rsidRDefault="00592904" w:rsidP="00AA63CD">
            <w:pPr>
              <w:spacing w:after="100" w:afterAutospacing="1" w:line="360" w:lineRule="auto"/>
              <w:jc w:val="left"/>
              <w:rPr>
                <w:sz w:val="20"/>
                <w:szCs w:val="20"/>
              </w:rPr>
            </w:pPr>
            <w:r w:rsidRPr="00214EFC">
              <w:rPr>
                <w:sz w:val="20"/>
                <w:szCs w:val="20"/>
              </w:rPr>
              <w:t>Beverages and tobacco products</w:t>
            </w:r>
          </w:p>
        </w:tc>
        <w:tc>
          <w:tcPr>
            <w:tcW w:w="1688" w:type="dxa"/>
            <w:noWrap/>
            <w:vAlign w:val="center"/>
            <w:hideMark/>
          </w:tcPr>
          <w:p w14:paraId="142AE791" w14:textId="77777777" w:rsidR="00592904" w:rsidRPr="00214EFC" w:rsidRDefault="00592904" w:rsidP="00AA63CD">
            <w:pPr>
              <w:spacing w:after="100" w:afterAutospacing="1" w:line="360" w:lineRule="auto"/>
              <w:jc w:val="left"/>
              <w:rPr>
                <w:sz w:val="20"/>
                <w:szCs w:val="20"/>
              </w:rPr>
            </w:pPr>
            <w:r w:rsidRPr="00214EFC">
              <w:rPr>
                <w:sz w:val="20"/>
                <w:szCs w:val="20"/>
              </w:rPr>
              <w:t>Drinks &amp; tobacco</w:t>
            </w:r>
          </w:p>
        </w:tc>
        <w:tc>
          <w:tcPr>
            <w:tcW w:w="1097" w:type="dxa"/>
            <w:noWrap/>
            <w:vAlign w:val="center"/>
            <w:hideMark/>
          </w:tcPr>
          <w:p w14:paraId="4D0268BC"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7078E3F0" w14:textId="77777777" w:rsidR="00592904" w:rsidRPr="00214EFC" w:rsidRDefault="00592904" w:rsidP="00AA63CD">
            <w:pPr>
              <w:spacing w:after="100" w:afterAutospacing="1" w:line="360" w:lineRule="auto"/>
              <w:jc w:val="left"/>
              <w:rPr>
                <w:sz w:val="20"/>
                <w:szCs w:val="20"/>
              </w:rPr>
            </w:pPr>
          </w:p>
        </w:tc>
      </w:tr>
      <w:tr w:rsidR="00592904" w:rsidRPr="00214EFC" w14:paraId="2BCAFEC3" w14:textId="77777777" w:rsidTr="002179D4">
        <w:trPr>
          <w:trHeight w:val="19"/>
          <w:jc w:val="center"/>
        </w:trPr>
        <w:tc>
          <w:tcPr>
            <w:tcW w:w="646" w:type="dxa"/>
            <w:noWrap/>
            <w:vAlign w:val="center"/>
            <w:hideMark/>
          </w:tcPr>
          <w:p w14:paraId="2A059B9D" w14:textId="77777777" w:rsidR="00592904" w:rsidRPr="00214EFC" w:rsidRDefault="00592904" w:rsidP="00AA63CD">
            <w:pPr>
              <w:spacing w:after="100" w:afterAutospacing="1" w:line="360" w:lineRule="auto"/>
              <w:rPr>
                <w:sz w:val="20"/>
                <w:szCs w:val="20"/>
              </w:rPr>
            </w:pPr>
            <w:r w:rsidRPr="00214EFC">
              <w:rPr>
                <w:sz w:val="20"/>
                <w:szCs w:val="20"/>
              </w:rPr>
              <w:t>27</w:t>
            </w:r>
          </w:p>
        </w:tc>
        <w:tc>
          <w:tcPr>
            <w:tcW w:w="670" w:type="dxa"/>
            <w:noWrap/>
            <w:vAlign w:val="center"/>
            <w:hideMark/>
          </w:tcPr>
          <w:p w14:paraId="342FA529" w14:textId="77777777" w:rsidR="00592904" w:rsidRPr="00214EFC" w:rsidRDefault="00592904" w:rsidP="00AA63CD">
            <w:pPr>
              <w:spacing w:after="100" w:afterAutospacing="1" w:line="360" w:lineRule="auto"/>
              <w:rPr>
                <w:sz w:val="20"/>
                <w:szCs w:val="20"/>
              </w:rPr>
            </w:pPr>
            <w:proofErr w:type="spellStart"/>
            <w:r w:rsidRPr="00214EFC">
              <w:rPr>
                <w:sz w:val="20"/>
                <w:szCs w:val="20"/>
              </w:rPr>
              <w:t>tex</w:t>
            </w:r>
            <w:proofErr w:type="spellEnd"/>
          </w:p>
        </w:tc>
        <w:tc>
          <w:tcPr>
            <w:tcW w:w="2816" w:type="dxa"/>
            <w:noWrap/>
            <w:vAlign w:val="center"/>
            <w:hideMark/>
          </w:tcPr>
          <w:p w14:paraId="22DFE88B" w14:textId="77777777" w:rsidR="00592904" w:rsidRPr="00214EFC" w:rsidRDefault="00592904" w:rsidP="00AA63CD">
            <w:pPr>
              <w:spacing w:after="100" w:afterAutospacing="1" w:line="360" w:lineRule="auto"/>
              <w:jc w:val="left"/>
              <w:rPr>
                <w:sz w:val="20"/>
                <w:szCs w:val="20"/>
              </w:rPr>
            </w:pPr>
            <w:r w:rsidRPr="00214EFC">
              <w:rPr>
                <w:sz w:val="20"/>
                <w:szCs w:val="20"/>
              </w:rPr>
              <w:t>Textiles</w:t>
            </w:r>
          </w:p>
        </w:tc>
        <w:tc>
          <w:tcPr>
            <w:tcW w:w="1688" w:type="dxa"/>
            <w:noWrap/>
            <w:vAlign w:val="center"/>
            <w:hideMark/>
          </w:tcPr>
          <w:p w14:paraId="02E8DD63" w14:textId="77777777" w:rsidR="00592904" w:rsidRPr="00214EFC" w:rsidRDefault="00592904" w:rsidP="00AA63CD">
            <w:pPr>
              <w:spacing w:after="100" w:afterAutospacing="1" w:line="360" w:lineRule="auto"/>
              <w:rPr>
                <w:sz w:val="20"/>
                <w:szCs w:val="20"/>
              </w:rPr>
            </w:pPr>
            <w:r w:rsidRPr="00214EFC">
              <w:rPr>
                <w:sz w:val="20"/>
                <w:szCs w:val="20"/>
              </w:rPr>
              <w:t>Textiles</w:t>
            </w:r>
          </w:p>
        </w:tc>
        <w:tc>
          <w:tcPr>
            <w:tcW w:w="1097" w:type="dxa"/>
            <w:noWrap/>
            <w:vAlign w:val="center"/>
            <w:hideMark/>
          </w:tcPr>
          <w:p w14:paraId="3A81DDFB"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232DB6D0" w14:textId="77777777" w:rsidR="00592904" w:rsidRPr="00214EFC" w:rsidRDefault="00592904" w:rsidP="00AA63CD">
            <w:pPr>
              <w:spacing w:after="100" w:afterAutospacing="1" w:line="360" w:lineRule="auto"/>
              <w:jc w:val="left"/>
              <w:rPr>
                <w:sz w:val="20"/>
                <w:szCs w:val="20"/>
              </w:rPr>
            </w:pPr>
          </w:p>
        </w:tc>
      </w:tr>
      <w:tr w:rsidR="00592904" w:rsidRPr="00214EFC" w14:paraId="7661DEA9" w14:textId="77777777" w:rsidTr="002179D4">
        <w:trPr>
          <w:trHeight w:val="19"/>
          <w:jc w:val="center"/>
        </w:trPr>
        <w:tc>
          <w:tcPr>
            <w:tcW w:w="646" w:type="dxa"/>
            <w:noWrap/>
            <w:vAlign w:val="center"/>
            <w:hideMark/>
          </w:tcPr>
          <w:p w14:paraId="259C5755" w14:textId="77777777" w:rsidR="00592904" w:rsidRPr="00214EFC" w:rsidRDefault="00592904" w:rsidP="00AA63CD">
            <w:pPr>
              <w:spacing w:after="100" w:afterAutospacing="1" w:line="360" w:lineRule="auto"/>
              <w:rPr>
                <w:sz w:val="20"/>
                <w:szCs w:val="20"/>
              </w:rPr>
            </w:pPr>
            <w:r w:rsidRPr="00214EFC">
              <w:rPr>
                <w:sz w:val="20"/>
                <w:szCs w:val="20"/>
              </w:rPr>
              <w:t>28</w:t>
            </w:r>
          </w:p>
        </w:tc>
        <w:tc>
          <w:tcPr>
            <w:tcW w:w="670" w:type="dxa"/>
            <w:noWrap/>
            <w:vAlign w:val="center"/>
            <w:hideMark/>
          </w:tcPr>
          <w:p w14:paraId="79CF1F35" w14:textId="77777777" w:rsidR="00592904" w:rsidRPr="00214EFC" w:rsidRDefault="00592904" w:rsidP="00AA63CD">
            <w:pPr>
              <w:spacing w:after="100" w:afterAutospacing="1" w:line="360" w:lineRule="auto"/>
              <w:rPr>
                <w:sz w:val="20"/>
                <w:szCs w:val="20"/>
              </w:rPr>
            </w:pPr>
            <w:proofErr w:type="spellStart"/>
            <w:r w:rsidRPr="00214EFC">
              <w:rPr>
                <w:sz w:val="20"/>
                <w:szCs w:val="20"/>
              </w:rPr>
              <w:t>wap</w:t>
            </w:r>
            <w:proofErr w:type="spellEnd"/>
          </w:p>
        </w:tc>
        <w:tc>
          <w:tcPr>
            <w:tcW w:w="2816" w:type="dxa"/>
            <w:noWrap/>
            <w:vAlign w:val="center"/>
            <w:hideMark/>
          </w:tcPr>
          <w:p w14:paraId="19ED3176" w14:textId="77777777" w:rsidR="00592904" w:rsidRPr="00214EFC" w:rsidRDefault="00592904" w:rsidP="00AA63CD">
            <w:pPr>
              <w:spacing w:after="100" w:afterAutospacing="1" w:line="360" w:lineRule="auto"/>
              <w:jc w:val="left"/>
              <w:rPr>
                <w:sz w:val="20"/>
                <w:szCs w:val="20"/>
              </w:rPr>
            </w:pPr>
            <w:r w:rsidRPr="00214EFC">
              <w:rPr>
                <w:sz w:val="20"/>
                <w:szCs w:val="20"/>
              </w:rPr>
              <w:t>Wearing apparel</w:t>
            </w:r>
          </w:p>
        </w:tc>
        <w:tc>
          <w:tcPr>
            <w:tcW w:w="1688" w:type="dxa"/>
            <w:noWrap/>
            <w:vAlign w:val="center"/>
            <w:hideMark/>
          </w:tcPr>
          <w:p w14:paraId="3B8F436D" w14:textId="77777777" w:rsidR="00592904" w:rsidRPr="00214EFC" w:rsidRDefault="00592904" w:rsidP="00AA63CD">
            <w:pPr>
              <w:spacing w:after="100" w:afterAutospacing="1" w:line="360" w:lineRule="auto"/>
              <w:rPr>
                <w:sz w:val="20"/>
                <w:szCs w:val="20"/>
              </w:rPr>
            </w:pPr>
            <w:r w:rsidRPr="00214EFC">
              <w:rPr>
                <w:sz w:val="20"/>
                <w:szCs w:val="20"/>
              </w:rPr>
              <w:t>Garments</w:t>
            </w:r>
          </w:p>
        </w:tc>
        <w:tc>
          <w:tcPr>
            <w:tcW w:w="1097" w:type="dxa"/>
            <w:noWrap/>
            <w:vAlign w:val="center"/>
            <w:hideMark/>
          </w:tcPr>
          <w:p w14:paraId="021A71FC"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4B938BAA" w14:textId="77777777" w:rsidR="00592904" w:rsidRPr="00214EFC" w:rsidRDefault="00592904" w:rsidP="00AA63CD">
            <w:pPr>
              <w:spacing w:after="100" w:afterAutospacing="1" w:line="360" w:lineRule="auto"/>
              <w:jc w:val="left"/>
              <w:rPr>
                <w:sz w:val="20"/>
                <w:szCs w:val="20"/>
              </w:rPr>
            </w:pPr>
          </w:p>
        </w:tc>
      </w:tr>
      <w:tr w:rsidR="00592904" w:rsidRPr="00214EFC" w14:paraId="73970136" w14:textId="77777777" w:rsidTr="002179D4">
        <w:trPr>
          <w:trHeight w:val="19"/>
          <w:jc w:val="center"/>
        </w:trPr>
        <w:tc>
          <w:tcPr>
            <w:tcW w:w="646" w:type="dxa"/>
            <w:noWrap/>
            <w:vAlign w:val="center"/>
            <w:hideMark/>
          </w:tcPr>
          <w:p w14:paraId="23A7EB70" w14:textId="77777777" w:rsidR="00592904" w:rsidRPr="00214EFC" w:rsidRDefault="00592904" w:rsidP="00AA63CD">
            <w:pPr>
              <w:spacing w:after="100" w:afterAutospacing="1" w:line="360" w:lineRule="auto"/>
              <w:rPr>
                <w:sz w:val="20"/>
                <w:szCs w:val="20"/>
              </w:rPr>
            </w:pPr>
            <w:r w:rsidRPr="00214EFC">
              <w:rPr>
                <w:sz w:val="20"/>
                <w:szCs w:val="20"/>
              </w:rPr>
              <w:t>29</w:t>
            </w:r>
          </w:p>
        </w:tc>
        <w:tc>
          <w:tcPr>
            <w:tcW w:w="670" w:type="dxa"/>
            <w:noWrap/>
            <w:vAlign w:val="center"/>
            <w:hideMark/>
          </w:tcPr>
          <w:p w14:paraId="7BFFECD8" w14:textId="77777777" w:rsidR="00592904" w:rsidRPr="00214EFC" w:rsidRDefault="00592904" w:rsidP="00AA63CD">
            <w:pPr>
              <w:spacing w:after="100" w:afterAutospacing="1" w:line="360" w:lineRule="auto"/>
              <w:rPr>
                <w:sz w:val="20"/>
                <w:szCs w:val="20"/>
              </w:rPr>
            </w:pPr>
            <w:r w:rsidRPr="00214EFC">
              <w:rPr>
                <w:sz w:val="20"/>
                <w:szCs w:val="20"/>
              </w:rPr>
              <w:t>lea</w:t>
            </w:r>
          </w:p>
        </w:tc>
        <w:tc>
          <w:tcPr>
            <w:tcW w:w="2816" w:type="dxa"/>
            <w:noWrap/>
            <w:vAlign w:val="center"/>
            <w:hideMark/>
          </w:tcPr>
          <w:p w14:paraId="242E0D69" w14:textId="77777777" w:rsidR="00592904" w:rsidRPr="00214EFC" w:rsidRDefault="00592904" w:rsidP="00AA63CD">
            <w:pPr>
              <w:spacing w:after="100" w:afterAutospacing="1" w:line="360" w:lineRule="auto"/>
              <w:jc w:val="left"/>
              <w:rPr>
                <w:sz w:val="20"/>
                <w:szCs w:val="20"/>
              </w:rPr>
            </w:pPr>
            <w:r w:rsidRPr="00214EFC">
              <w:rPr>
                <w:sz w:val="20"/>
                <w:szCs w:val="20"/>
              </w:rPr>
              <w:t>Leather products</w:t>
            </w:r>
          </w:p>
        </w:tc>
        <w:tc>
          <w:tcPr>
            <w:tcW w:w="1688" w:type="dxa"/>
            <w:noWrap/>
            <w:vAlign w:val="center"/>
            <w:hideMark/>
          </w:tcPr>
          <w:p w14:paraId="15C54133" w14:textId="77777777" w:rsidR="00592904" w:rsidRPr="00214EFC" w:rsidRDefault="00592904" w:rsidP="00AA63CD">
            <w:pPr>
              <w:spacing w:after="100" w:afterAutospacing="1" w:line="360" w:lineRule="auto"/>
              <w:rPr>
                <w:sz w:val="20"/>
                <w:szCs w:val="20"/>
              </w:rPr>
            </w:pPr>
            <w:r w:rsidRPr="00214EFC">
              <w:rPr>
                <w:sz w:val="20"/>
                <w:szCs w:val="20"/>
              </w:rPr>
              <w:t>Leather</w:t>
            </w:r>
          </w:p>
        </w:tc>
        <w:tc>
          <w:tcPr>
            <w:tcW w:w="1097" w:type="dxa"/>
            <w:noWrap/>
            <w:vAlign w:val="center"/>
            <w:hideMark/>
          </w:tcPr>
          <w:p w14:paraId="4B630304"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307780DA" w14:textId="77777777" w:rsidR="00592904" w:rsidRPr="00214EFC" w:rsidRDefault="00592904" w:rsidP="00AA63CD">
            <w:pPr>
              <w:spacing w:after="100" w:afterAutospacing="1" w:line="360" w:lineRule="auto"/>
              <w:jc w:val="left"/>
              <w:rPr>
                <w:sz w:val="20"/>
                <w:szCs w:val="20"/>
              </w:rPr>
            </w:pPr>
          </w:p>
        </w:tc>
      </w:tr>
      <w:tr w:rsidR="00592904" w:rsidRPr="00214EFC" w14:paraId="10F53E46" w14:textId="77777777" w:rsidTr="002179D4">
        <w:trPr>
          <w:trHeight w:val="19"/>
          <w:jc w:val="center"/>
        </w:trPr>
        <w:tc>
          <w:tcPr>
            <w:tcW w:w="646" w:type="dxa"/>
            <w:noWrap/>
            <w:vAlign w:val="center"/>
            <w:hideMark/>
          </w:tcPr>
          <w:p w14:paraId="0316628B" w14:textId="77777777" w:rsidR="00592904" w:rsidRPr="00214EFC" w:rsidRDefault="00592904" w:rsidP="00AA63CD">
            <w:pPr>
              <w:spacing w:after="100" w:afterAutospacing="1" w:line="360" w:lineRule="auto"/>
              <w:rPr>
                <w:sz w:val="20"/>
                <w:szCs w:val="20"/>
              </w:rPr>
            </w:pPr>
            <w:r w:rsidRPr="00214EFC">
              <w:rPr>
                <w:sz w:val="20"/>
                <w:szCs w:val="20"/>
              </w:rPr>
              <w:t>30</w:t>
            </w:r>
          </w:p>
        </w:tc>
        <w:tc>
          <w:tcPr>
            <w:tcW w:w="670" w:type="dxa"/>
            <w:noWrap/>
            <w:vAlign w:val="center"/>
            <w:hideMark/>
          </w:tcPr>
          <w:p w14:paraId="0CCF0D98" w14:textId="77777777" w:rsidR="00592904" w:rsidRPr="00214EFC" w:rsidRDefault="00592904" w:rsidP="00AA63CD">
            <w:pPr>
              <w:spacing w:after="100" w:afterAutospacing="1" w:line="360" w:lineRule="auto"/>
              <w:rPr>
                <w:sz w:val="20"/>
                <w:szCs w:val="20"/>
              </w:rPr>
            </w:pPr>
            <w:proofErr w:type="spellStart"/>
            <w:r w:rsidRPr="00214EFC">
              <w:rPr>
                <w:sz w:val="20"/>
                <w:szCs w:val="20"/>
              </w:rPr>
              <w:t>lum</w:t>
            </w:r>
            <w:proofErr w:type="spellEnd"/>
          </w:p>
        </w:tc>
        <w:tc>
          <w:tcPr>
            <w:tcW w:w="2816" w:type="dxa"/>
            <w:noWrap/>
            <w:vAlign w:val="center"/>
            <w:hideMark/>
          </w:tcPr>
          <w:p w14:paraId="7E49424E" w14:textId="77777777" w:rsidR="00592904" w:rsidRPr="00214EFC" w:rsidRDefault="00592904" w:rsidP="00AA63CD">
            <w:pPr>
              <w:spacing w:after="100" w:afterAutospacing="1" w:line="360" w:lineRule="auto"/>
              <w:jc w:val="left"/>
              <w:rPr>
                <w:sz w:val="20"/>
                <w:szCs w:val="20"/>
              </w:rPr>
            </w:pPr>
            <w:r w:rsidRPr="00214EFC">
              <w:rPr>
                <w:sz w:val="20"/>
                <w:szCs w:val="20"/>
              </w:rPr>
              <w:t>Wood products</w:t>
            </w:r>
          </w:p>
        </w:tc>
        <w:tc>
          <w:tcPr>
            <w:tcW w:w="1688" w:type="dxa"/>
            <w:noWrap/>
            <w:vAlign w:val="center"/>
            <w:hideMark/>
          </w:tcPr>
          <w:p w14:paraId="5B81A31C" w14:textId="77777777" w:rsidR="00592904" w:rsidRPr="00214EFC" w:rsidRDefault="00592904" w:rsidP="00AA63CD">
            <w:pPr>
              <w:spacing w:after="100" w:afterAutospacing="1" w:line="360" w:lineRule="auto"/>
              <w:rPr>
                <w:sz w:val="20"/>
                <w:szCs w:val="20"/>
              </w:rPr>
            </w:pPr>
            <w:r w:rsidRPr="00214EFC">
              <w:rPr>
                <w:sz w:val="20"/>
                <w:szCs w:val="20"/>
              </w:rPr>
              <w:t>Timber</w:t>
            </w:r>
          </w:p>
        </w:tc>
        <w:tc>
          <w:tcPr>
            <w:tcW w:w="1097" w:type="dxa"/>
            <w:noWrap/>
            <w:vAlign w:val="center"/>
            <w:hideMark/>
          </w:tcPr>
          <w:p w14:paraId="175B52C0"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2582409B" w14:textId="77777777" w:rsidR="00592904" w:rsidRPr="00214EFC" w:rsidRDefault="00592904" w:rsidP="00AA63CD">
            <w:pPr>
              <w:spacing w:after="100" w:afterAutospacing="1" w:line="360" w:lineRule="auto"/>
              <w:jc w:val="left"/>
              <w:rPr>
                <w:sz w:val="20"/>
                <w:szCs w:val="20"/>
              </w:rPr>
            </w:pPr>
          </w:p>
        </w:tc>
      </w:tr>
      <w:tr w:rsidR="00592904" w:rsidRPr="00214EFC" w14:paraId="7E26910C" w14:textId="77777777" w:rsidTr="002179D4">
        <w:trPr>
          <w:trHeight w:val="19"/>
          <w:jc w:val="center"/>
        </w:trPr>
        <w:tc>
          <w:tcPr>
            <w:tcW w:w="646" w:type="dxa"/>
            <w:noWrap/>
            <w:vAlign w:val="center"/>
            <w:hideMark/>
          </w:tcPr>
          <w:p w14:paraId="2B62AD3E" w14:textId="77777777" w:rsidR="00592904" w:rsidRPr="00214EFC" w:rsidRDefault="00592904" w:rsidP="00AA63CD">
            <w:pPr>
              <w:spacing w:after="100" w:afterAutospacing="1" w:line="360" w:lineRule="auto"/>
              <w:rPr>
                <w:sz w:val="20"/>
                <w:szCs w:val="20"/>
              </w:rPr>
            </w:pPr>
            <w:r w:rsidRPr="00214EFC">
              <w:rPr>
                <w:sz w:val="20"/>
                <w:szCs w:val="20"/>
              </w:rPr>
              <w:t>31</w:t>
            </w:r>
          </w:p>
        </w:tc>
        <w:tc>
          <w:tcPr>
            <w:tcW w:w="670" w:type="dxa"/>
            <w:noWrap/>
            <w:vAlign w:val="center"/>
            <w:hideMark/>
          </w:tcPr>
          <w:p w14:paraId="039CE4A4" w14:textId="77777777" w:rsidR="00592904" w:rsidRPr="00214EFC" w:rsidRDefault="00592904" w:rsidP="00AA63CD">
            <w:pPr>
              <w:spacing w:after="100" w:afterAutospacing="1" w:line="360" w:lineRule="auto"/>
              <w:rPr>
                <w:sz w:val="20"/>
                <w:szCs w:val="20"/>
              </w:rPr>
            </w:pPr>
            <w:proofErr w:type="spellStart"/>
            <w:r w:rsidRPr="00214EFC">
              <w:rPr>
                <w:sz w:val="20"/>
                <w:szCs w:val="20"/>
              </w:rPr>
              <w:t>ppp</w:t>
            </w:r>
            <w:proofErr w:type="spellEnd"/>
          </w:p>
        </w:tc>
        <w:tc>
          <w:tcPr>
            <w:tcW w:w="2816" w:type="dxa"/>
            <w:noWrap/>
            <w:vAlign w:val="center"/>
            <w:hideMark/>
          </w:tcPr>
          <w:p w14:paraId="34FC1523" w14:textId="77777777" w:rsidR="00592904" w:rsidRPr="00214EFC" w:rsidRDefault="00592904" w:rsidP="00AA63CD">
            <w:pPr>
              <w:spacing w:after="100" w:afterAutospacing="1" w:line="360" w:lineRule="auto"/>
              <w:jc w:val="left"/>
              <w:rPr>
                <w:sz w:val="20"/>
                <w:szCs w:val="20"/>
              </w:rPr>
            </w:pPr>
            <w:r w:rsidRPr="00214EFC">
              <w:rPr>
                <w:sz w:val="20"/>
                <w:szCs w:val="20"/>
              </w:rPr>
              <w:t>Paper products, publishing</w:t>
            </w:r>
          </w:p>
        </w:tc>
        <w:tc>
          <w:tcPr>
            <w:tcW w:w="1688" w:type="dxa"/>
            <w:noWrap/>
            <w:vAlign w:val="center"/>
            <w:hideMark/>
          </w:tcPr>
          <w:p w14:paraId="45C3A3F9" w14:textId="77777777" w:rsidR="00592904" w:rsidRPr="00214EFC" w:rsidRDefault="00592904" w:rsidP="00AA63CD">
            <w:pPr>
              <w:spacing w:after="100" w:afterAutospacing="1" w:line="360" w:lineRule="auto"/>
              <w:rPr>
                <w:sz w:val="20"/>
                <w:szCs w:val="20"/>
              </w:rPr>
            </w:pPr>
            <w:r w:rsidRPr="00214EFC">
              <w:rPr>
                <w:sz w:val="20"/>
                <w:szCs w:val="20"/>
              </w:rPr>
              <w:t>Paper</w:t>
            </w:r>
          </w:p>
        </w:tc>
        <w:tc>
          <w:tcPr>
            <w:tcW w:w="1097" w:type="dxa"/>
            <w:noWrap/>
            <w:vAlign w:val="center"/>
            <w:hideMark/>
          </w:tcPr>
          <w:p w14:paraId="7D767380"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4439F2DB" w14:textId="77777777" w:rsidR="00592904" w:rsidRPr="00214EFC" w:rsidRDefault="00592904" w:rsidP="00AA63CD">
            <w:pPr>
              <w:spacing w:after="100" w:afterAutospacing="1" w:line="360" w:lineRule="auto"/>
              <w:jc w:val="left"/>
              <w:rPr>
                <w:sz w:val="20"/>
                <w:szCs w:val="20"/>
              </w:rPr>
            </w:pPr>
          </w:p>
        </w:tc>
      </w:tr>
      <w:tr w:rsidR="00592904" w:rsidRPr="00214EFC" w14:paraId="22A7BB3C" w14:textId="77777777" w:rsidTr="002179D4">
        <w:trPr>
          <w:trHeight w:val="19"/>
          <w:jc w:val="center"/>
        </w:trPr>
        <w:tc>
          <w:tcPr>
            <w:tcW w:w="646" w:type="dxa"/>
            <w:noWrap/>
            <w:vAlign w:val="center"/>
            <w:hideMark/>
          </w:tcPr>
          <w:p w14:paraId="2897833B" w14:textId="77777777" w:rsidR="00592904" w:rsidRPr="00214EFC" w:rsidRDefault="00592904" w:rsidP="00AA63CD">
            <w:pPr>
              <w:spacing w:after="100" w:afterAutospacing="1" w:line="360" w:lineRule="auto"/>
              <w:rPr>
                <w:sz w:val="20"/>
                <w:szCs w:val="20"/>
              </w:rPr>
            </w:pPr>
            <w:r w:rsidRPr="00214EFC">
              <w:rPr>
                <w:sz w:val="20"/>
                <w:szCs w:val="20"/>
              </w:rPr>
              <w:t>32</w:t>
            </w:r>
          </w:p>
        </w:tc>
        <w:tc>
          <w:tcPr>
            <w:tcW w:w="670" w:type="dxa"/>
            <w:noWrap/>
            <w:vAlign w:val="center"/>
            <w:hideMark/>
          </w:tcPr>
          <w:p w14:paraId="57922A4D" w14:textId="77777777" w:rsidR="00592904" w:rsidRPr="00214EFC" w:rsidRDefault="00592904" w:rsidP="00AA63CD">
            <w:pPr>
              <w:spacing w:after="100" w:afterAutospacing="1" w:line="360" w:lineRule="auto"/>
              <w:rPr>
                <w:sz w:val="20"/>
                <w:szCs w:val="20"/>
              </w:rPr>
            </w:pPr>
            <w:proofErr w:type="spellStart"/>
            <w:r w:rsidRPr="00214EFC">
              <w:rPr>
                <w:sz w:val="20"/>
                <w:szCs w:val="20"/>
              </w:rPr>
              <w:t>p_c</w:t>
            </w:r>
            <w:proofErr w:type="spellEnd"/>
          </w:p>
        </w:tc>
        <w:tc>
          <w:tcPr>
            <w:tcW w:w="2816" w:type="dxa"/>
            <w:noWrap/>
            <w:vAlign w:val="center"/>
            <w:hideMark/>
          </w:tcPr>
          <w:p w14:paraId="1D6DAAD6" w14:textId="77777777" w:rsidR="00592904" w:rsidRPr="00214EFC" w:rsidRDefault="00592904" w:rsidP="00AA63CD">
            <w:pPr>
              <w:spacing w:after="100" w:afterAutospacing="1" w:line="360" w:lineRule="auto"/>
              <w:jc w:val="left"/>
              <w:rPr>
                <w:sz w:val="20"/>
                <w:szCs w:val="20"/>
              </w:rPr>
            </w:pPr>
            <w:r w:rsidRPr="00214EFC">
              <w:rPr>
                <w:sz w:val="20"/>
                <w:szCs w:val="20"/>
              </w:rPr>
              <w:t>Petroleum, coal products</w:t>
            </w:r>
          </w:p>
        </w:tc>
        <w:tc>
          <w:tcPr>
            <w:tcW w:w="1688" w:type="dxa"/>
            <w:noWrap/>
            <w:vAlign w:val="center"/>
            <w:hideMark/>
          </w:tcPr>
          <w:p w14:paraId="133F8593" w14:textId="77777777" w:rsidR="00592904" w:rsidRPr="00214EFC" w:rsidRDefault="00592904" w:rsidP="00AA63CD">
            <w:pPr>
              <w:spacing w:after="100" w:afterAutospacing="1" w:line="360" w:lineRule="auto"/>
              <w:rPr>
                <w:sz w:val="20"/>
                <w:szCs w:val="20"/>
              </w:rPr>
            </w:pPr>
            <w:r w:rsidRPr="00214EFC">
              <w:rPr>
                <w:sz w:val="20"/>
                <w:szCs w:val="20"/>
              </w:rPr>
              <w:t>Petroleum</w:t>
            </w:r>
          </w:p>
        </w:tc>
        <w:tc>
          <w:tcPr>
            <w:tcW w:w="1097" w:type="dxa"/>
            <w:noWrap/>
            <w:vAlign w:val="center"/>
            <w:hideMark/>
          </w:tcPr>
          <w:p w14:paraId="06F403DD"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5A44F63F" w14:textId="77777777" w:rsidR="00592904" w:rsidRPr="00214EFC" w:rsidRDefault="00592904" w:rsidP="00AA63CD">
            <w:pPr>
              <w:spacing w:after="100" w:afterAutospacing="1" w:line="360" w:lineRule="auto"/>
              <w:jc w:val="left"/>
              <w:rPr>
                <w:sz w:val="20"/>
                <w:szCs w:val="20"/>
              </w:rPr>
            </w:pPr>
          </w:p>
        </w:tc>
      </w:tr>
      <w:tr w:rsidR="00592904" w:rsidRPr="00214EFC" w14:paraId="5E6F1673" w14:textId="77777777" w:rsidTr="002179D4">
        <w:trPr>
          <w:trHeight w:val="19"/>
          <w:jc w:val="center"/>
        </w:trPr>
        <w:tc>
          <w:tcPr>
            <w:tcW w:w="646" w:type="dxa"/>
            <w:noWrap/>
            <w:vAlign w:val="center"/>
            <w:hideMark/>
          </w:tcPr>
          <w:p w14:paraId="17C6B94D" w14:textId="77777777" w:rsidR="00592904" w:rsidRPr="00214EFC" w:rsidRDefault="00592904" w:rsidP="00AA63CD">
            <w:pPr>
              <w:spacing w:after="100" w:afterAutospacing="1" w:line="360" w:lineRule="auto"/>
              <w:rPr>
                <w:sz w:val="20"/>
                <w:szCs w:val="20"/>
              </w:rPr>
            </w:pPr>
            <w:r w:rsidRPr="00214EFC">
              <w:rPr>
                <w:sz w:val="20"/>
                <w:szCs w:val="20"/>
              </w:rPr>
              <w:t>33</w:t>
            </w:r>
          </w:p>
        </w:tc>
        <w:tc>
          <w:tcPr>
            <w:tcW w:w="670" w:type="dxa"/>
            <w:noWrap/>
            <w:vAlign w:val="center"/>
            <w:hideMark/>
          </w:tcPr>
          <w:p w14:paraId="3DBF83E8" w14:textId="77777777" w:rsidR="00592904" w:rsidRPr="00214EFC" w:rsidRDefault="00592904" w:rsidP="00AA63CD">
            <w:pPr>
              <w:spacing w:after="100" w:afterAutospacing="1" w:line="360" w:lineRule="auto"/>
              <w:rPr>
                <w:sz w:val="20"/>
                <w:szCs w:val="20"/>
              </w:rPr>
            </w:pPr>
            <w:r w:rsidRPr="00214EFC">
              <w:rPr>
                <w:sz w:val="20"/>
                <w:szCs w:val="20"/>
              </w:rPr>
              <w:t>chm</w:t>
            </w:r>
          </w:p>
        </w:tc>
        <w:tc>
          <w:tcPr>
            <w:tcW w:w="2816" w:type="dxa"/>
            <w:noWrap/>
            <w:vAlign w:val="center"/>
            <w:hideMark/>
          </w:tcPr>
          <w:p w14:paraId="77343950" w14:textId="77777777" w:rsidR="00592904" w:rsidRPr="00214EFC" w:rsidRDefault="00592904" w:rsidP="00AA63CD">
            <w:pPr>
              <w:spacing w:after="100" w:afterAutospacing="1" w:line="360" w:lineRule="auto"/>
              <w:jc w:val="left"/>
              <w:rPr>
                <w:sz w:val="20"/>
                <w:szCs w:val="20"/>
              </w:rPr>
            </w:pPr>
            <w:r w:rsidRPr="00214EFC">
              <w:rPr>
                <w:sz w:val="20"/>
                <w:szCs w:val="20"/>
              </w:rPr>
              <w:t>Chemical products</w:t>
            </w:r>
          </w:p>
        </w:tc>
        <w:tc>
          <w:tcPr>
            <w:tcW w:w="1688" w:type="dxa"/>
            <w:noWrap/>
            <w:vAlign w:val="center"/>
            <w:hideMark/>
          </w:tcPr>
          <w:p w14:paraId="2987B0B1" w14:textId="77777777" w:rsidR="00592904" w:rsidRPr="00214EFC" w:rsidRDefault="00592904" w:rsidP="00AA63CD">
            <w:pPr>
              <w:spacing w:after="100" w:afterAutospacing="1" w:line="360" w:lineRule="auto"/>
              <w:rPr>
                <w:sz w:val="20"/>
                <w:szCs w:val="20"/>
              </w:rPr>
            </w:pPr>
            <w:r w:rsidRPr="00214EFC">
              <w:rPr>
                <w:sz w:val="20"/>
                <w:szCs w:val="20"/>
              </w:rPr>
              <w:t>Chemicals</w:t>
            </w:r>
          </w:p>
        </w:tc>
        <w:tc>
          <w:tcPr>
            <w:tcW w:w="1097" w:type="dxa"/>
            <w:noWrap/>
            <w:vAlign w:val="center"/>
            <w:hideMark/>
          </w:tcPr>
          <w:p w14:paraId="55924F3D"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68F6C84D" w14:textId="77777777" w:rsidR="00592904" w:rsidRPr="00214EFC" w:rsidRDefault="00592904" w:rsidP="00AA63CD">
            <w:pPr>
              <w:spacing w:after="100" w:afterAutospacing="1" w:line="360" w:lineRule="auto"/>
              <w:jc w:val="left"/>
              <w:rPr>
                <w:sz w:val="20"/>
                <w:szCs w:val="20"/>
              </w:rPr>
            </w:pPr>
          </w:p>
        </w:tc>
      </w:tr>
      <w:tr w:rsidR="00592904" w:rsidRPr="00214EFC" w14:paraId="76D71CDA" w14:textId="77777777" w:rsidTr="002179D4">
        <w:trPr>
          <w:trHeight w:val="19"/>
          <w:jc w:val="center"/>
        </w:trPr>
        <w:tc>
          <w:tcPr>
            <w:tcW w:w="646" w:type="dxa"/>
            <w:noWrap/>
            <w:vAlign w:val="center"/>
            <w:hideMark/>
          </w:tcPr>
          <w:p w14:paraId="66BD29DE" w14:textId="77777777" w:rsidR="00592904" w:rsidRPr="00214EFC" w:rsidRDefault="00592904" w:rsidP="00AA63CD">
            <w:pPr>
              <w:spacing w:after="100" w:afterAutospacing="1" w:line="360" w:lineRule="auto"/>
              <w:rPr>
                <w:sz w:val="20"/>
                <w:szCs w:val="20"/>
              </w:rPr>
            </w:pPr>
            <w:r w:rsidRPr="00214EFC">
              <w:rPr>
                <w:sz w:val="20"/>
                <w:szCs w:val="20"/>
              </w:rPr>
              <w:t>34</w:t>
            </w:r>
          </w:p>
        </w:tc>
        <w:tc>
          <w:tcPr>
            <w:tcW w:w="670" w:type="dxa"/>
            <w:noWrap/>
            <w:vAlign w:val="center"/>
            <w:hideMark/>
          </w:tcPr>
          <w:p w14:paraId="01FC1FAA" w14:textId="77777777" w:rsidR="00592904" w:rsidRPr="00214EFC" w:rsidRDefault="00592904" w:rsidP="00AA63CD">
            <w:pPr>
              <w:spacing w:after="100" w:afterAutospacing="1" w:line="360" w:lineRule="auto"/>
              <w:rPr>
                <w:sz w:val="20"/>
                <w:szCs w:val="20"/>
              </w:rPr>
            </w:pPr>
            <w:proofErr w:type="spellStart"/>
            <w:r w:rsidRPr="00214EFC">
              <w:rPr>
                <w:sz w:val="20"/>
                <w:szCs w:val="20"/>
              </w:rPr>
              <w:t>bph</w:t>
            </w:r>
            <w:proofErr w:type="spellEnd"/>
          </w:p>
        </w:tc>
        <w:tc>
          <w:tcPr>
            <w:tcW w:w="2816" w:type="dxa"/>
            <w:noWrap/>
            <w:vAlign w:val="center"/>
            <w:hideMark/>
          </w:tcPr>
          <w:p w14:paraId="40577375" w14:textId="77777777" w:rsidR="00592904" w:rsidRPr="00214EFC" w:rsidRDefault="00592904" w:rsidP="00AA63CD">
            <w:pPr>
              <w:spacing w:after="100" w:afterAutospacing="1" w:line="360" w:lineRule="auto"/>
              <w:jc w:val="left"/>
              <w:rPr>
                <w:sz w:val="20"/>
                <w:szCs w:val="20"/>
              </w:rPr>
            </w:pPr>
            <w:r w:rsidRPr="00214EFC">
              <w:rPr>
                <w:sz w:val="20"/>
                <w:szCs w:val="20"/>
              </w:rPr>
              <w:t>Basic pharmaceutical products</w:t>
            </w:r>
          </w:p>
        </w:tc>
        <w:tc>
          <w:tcPr>
            <w:tcW w:w="1688" w:type="dxa"/>
            <w:noWrap/>
            <w:vAlign w:val="center"/>
            <w:hideMark/>
          </w:tcPr>
          <w:p w14:paraId="75F519E8" w14:textId="77777777" w:rsidR="00592904" w:rsidRPr="00214EFC" w:rsidRDefault="00592904" w:rsidP="00AA63CD">
            <w:pPr>
              <w:spacing w:after="100" w:afterAutospacing="1" w:line="360" w:lineRule="auto"/>
              <w:rPr>
                <w:sz w:val="20"/>
                <w:szCs w:val="20"/>
              </w:rPr>
            </w:pPr>
            <w:r w:rsidRPr="00214EFC">
              <w:rPr>
                <w:sz w:val="20"/>
                <w:szCs w:val="20"/>
              </w:rPr>
              <w:t>Medicament</w:t>
            </w:r>
          </w:p>
        </w:tc>
        <w:tc>
          <w:tcPr>
            <w:tcW w:w="1097" w:type="dxa"/>
            <w:noWrap/>
            <w:vAlign w:val="center"/>
            <w:hideMark/>
          </w:tcPr>
          <w:p w14:paraId="56EFD849"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4A493DDD" w14:textId="77777777" w:rsidR="00592904" w:rsidRPr="00214EFC" w:rsidRDefault="00592904" w:rsidP="00AA63CD">
            <w:pPr>
              <w:spacing w:after="100" w:afterAutospacing="1" w:line="360" w:lineRule="auto"/>
              <w:jc w:val="left"/>
              <w:rPr>
                <w:sz w:val="20"/>
                <w:szCs w:val="20"/>
              </w:rPr>
            </w:pPr>
          </w:p>
        </w:tc>
      </w:tr>
      <w:tr w:rsidR="00592904" w:rsidRPr="00214EFC" w14:paraId="3EB78752" w14:textId="77777777" w:rsidTr="002179D4">
        <w:trPr>
          <w:trHeight w:val="19"/>
          <w:jc w:val="center"/>
        </w:trPr>
        <w:tc>
          <w:tcPr>
            <w:tcW w:w="646" w:type="dxa"/>
            <w:noWrap/>
            <w:vAlign w:val="center"/>
            <w:hideMark/>
          </w:tcPr>
          <w:p w14:paraId="357AC1AB" w14:textId="77777777" w:rsidR="00592904" w:rsidRPr="00214EFC" w:rsidRDefault="00592904" w:rsidP="00AA63CD">
            <w:pPr>
              <w:spacing w:after="100" w:afterAutospacing="1" w:line="360" w:lineRule="auto"/>
              <w:rPr>
                <w:sz w:val="20"/>
                <w:szCs w:val="20"/>
              </w:rPr>
            </w:pPr>
            <w:r w:rsidRPr="00214EFC">
              <w:rPr>
                <w:sz w:val="20"/>
                <w:szCs w:val="20"/>
              </w:rPr>
              <w:t>35</w:t>
            </w:r>
          </w:p>
        </w:tc>
        <w:tc>
          <w:tcPr>
            <w:tcW w:w="670" w:type="dxa"/>
            <w:noWrap/>
            <w:vAlign w:val="center"/>
            <w:hideMark/>
          </w:tcPr>
          <w:p w14:paraId="41649B4E" w14:textId="77777777" w:rsidR="00592904" w:rsidRPr="00214EFC" w:rsidRDefault="00592904" w:rsidP="00AA63CD">
            <w:pPr>
              <w:spacing w:after="100" w:afterAutospacing="1" w:line="360" w:lineRule="auto"/>
              <w:rPr>
                <w:sz w:val="20"/>
                <w:szCs w:val="20"/>
              </w:rPr>
            </w:pPr>
            <w:proofErr w:type="spellStart"/>
            <w:r w:rsidRPr="00214EFC">
              <w:rPr>
                <w:sz w:val="20"/>
                <w:szCs w:val="20"/>
              </w:rPr>
              <w:t>rpp</w:t>
            </w:r>
            <w:proofErr w:type="spellEnd"/>
          </w:p>
        </w:tc>
        <w:tc>
          <w:tcPr>
            <w:tcW w:w="2816" w:type="dxa"/>
            <w:noWrap/>
            <w:vAlign w:val="center"/>
            <w:hideMark/>
          </w:tcPr>
          <w:p w14:paraId="4BA6E58A" w14:textId="77777777" w:rsidR="00592904" w:rsidRPr="00214EFC" w:rsidRDefault="00592904" w:rsidP="00AA63CD">
            <w:pPr>
              <w:spacing w:after="100" w:afterAutospacing="1" w:line="360" w:lineRule="auto"/>
              <w:jc w:val="left"/>
              <w:rPr>
                <w:sz w:val="20"/>
                <w:szCs w:val="20"/>
              </w:rPr>
            </w:pPr>
            <w:r w:rsidRPr="00214EFC">
              <w:rPr>
                <w:sz w:val="20"/>
                <w:szCs w:val="20"/>
              </w:rPr>
              <w:t>Rubber and plastic products</w:t>
            </w:r>
          </w:p>
        </w:tc>
        <w:tc>
          <w:tcPr>
            <w:tcW w:w="1688" w:type="dxa"/>
            <w:noWrap/>
            <w:vAlign w:val="center"/>
            <w:hideMark/>
          </w:tcPr>
          <w:p w14:paraId="5CC0AFAE" w14:textId="77777777" w:rsidR="00592904" w:rsidRPr="00214EFC" w:rsidRDefault="00592904" w:rsidP="00AA63CD">
            <w:pPr>
              <w:spacing w:after="100" w:afterAutospacing="1" w:line="360" w:lineRule="auto"/>
              <w:jc w:val="left"/>
              <w:rPr>
                <w:sz w:val="20"/>
                <w:szCs w:val="20"/>
              </w:rPr>
            </w:pPr>
            <w:r w:rsidRPr="00214EFC">
              <w:rPr>
                <w:sz w:val="20"/>
                <w:szCs w:val="20"/>
              </w:rPr>
              <w:t>Rubber &amp; Plastic</w:t>
            </w:r>
          </w:p>
        </w:tc>
        <w:tc>
          <w:tcPr>
            <w:tcW w:w="1097" w:type="dxa"/>
            <w:noWrap/>
            <w:vAlign w:val="center"/>
            <w:hideMark/>
          </w:tcPr>
          <w:p w14:paraId="67208A2A"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666152EF" w14:textId="77777777" w:rsidR="00592904" w:rsidRPr="00214EFC" w:rsidRDefault="00592904" w:rsidP="00AA63CD">
            <w:pPr>
              <w:spacing w:after="100" w:afterAutospacing="1" w:line="360" w:lineRule="auto"/>
              <w:jc w:val="left"/>
              <w:rPr>
                <w:sz w:val="20"/>
                <w:szCs w:val="20"/>
              </w:rPr>
            </w:pPr>
          </w:p>
        </w:tc>
      </w:tr>
      <w:tr w:rsidR="00592904" w:rsidRPr="00214EFC" w14:paraId="2D3F4713" w14:textId="77777777" w:rsidTr="002179D4">
        <w:trPr>
          <w:trHeight w:val="19"/>
          <w:jc w:val="center"/>
        </w:trPr>
        <w:tc>
          <w:tcPr>
            <w:tcW w:w="646" w:type="dxa"/>
            <w:noWrap/>
            <w:vAlign w:val="center"/>
            <w:hideMark/>
          </w:tcPr>
          <w:p w14:paraId="21CF2F3B" w14:textId="77777777" w:rsidR="00592904" w:rsidRPr="00214EFC" w:rsidRDefault="00592904" w:rsidP="00AA63CD">
            <w:pPr>
              <w:spacing w:after="100" w:afterAutospacing="1" w:line="360" w:lineRule="auto"/>
              <w:rPr>
                <w:sz w:val="20"/>
                <w:szCs w:val="20"/>
              </w:rPr>
            </w:pPr>
            <w:r w:rsidRPr="00214EFC">
              <w:rPr>
                <w:sz w:val="20"/>
                <w:szCs w:val="20"/>
              </w:rPr>
              <w:t>36</w:t>
            </w:r>
          </w:p>
        </w:tc>
        <w:tc>
          <w:tcPr>
            <w:tcW w:w="670" w:type="dxa"/>
            <w:noWrap/>
            <w:vAlign w:val="center"/>
            <w:hideMark/>
          </w:tcPr>
          <w:p w14:paraId="2453A721" w14:textId="77777777" w:rsidR="00592904" w:rsidRPr="00214EFC" w:rsidRDefault="00592904" w:rsidP="00AA63CD">
            <w:pPr>
              <w:spacing w:after="100" w:afterAutospacing="1" w:line="360" w:lineRule="auto"/>
              <w:rPr>
                <w:sz w:val="20"/>
                <w:szCs w:val="20"/>
              </w:rPr>
            </w:pPr>
            <w:proofErr w:type="spellStart"/>
            <w:r w:rsidRPr="00214EFC">
              <w:rPr>
                <w:sz w:val="20"/>
                <w:szCs w:val="20"/>
              </w:rPr>
              <w:t>nmm</w:t>
            </w:r>
            <w:proofErr w:type="spellEnd"/>
          </w:p>
        </w:tc>
        <w:tc>
          <w:tcPr>
            <w:tcW w:w="2816" w:type="dxa"/>
            <w:noWrap/>
            <w:vAlign w:val="center"/>
            <w:hideMark/>
          </w:tcPr>
          <w:p w14:paraId="383F5569" w14:textId="77777777" w:rsidR="00592904" w:rsidRPr="00214EFC" w:rsidRDefault="00592904" w:rsidP="00AA63CD">
            <w:pPr>
              <w:spacing w:after="100" w:afterAutospacing="1" w:line="360" w:lineRule="auto"/>
              <w:jc w:val="left"/>
              <w:rPr>
                <w:sz w:val="20"/>
                <w:szCs w:val="20"/>
              </w:rPr>
            </w:pPr>
            <w:r w:rsidRPr="00214EFC">
              <w:rPr>
                <w:sz w:val="20"/>
                <w:szCs w:val="20"/>
              </w:rPr>
              <w:t xml:space="preserve">Mineral products </w:t>
            </w:r>
            <w:proofErr w:type="spellStart"/>
            <w:r w:rsidRPr="00214EFC">
              <w:rPr>
                <w:sz w:val="20"/>
                <w:szCs w:val="20"/>
              </w:rPr>
              <w:t>nec</w:t>
            </w:r>
            <w:proofErr w:type="spellEnd"/>
          </w:p>
        </w:tc>
        <w:tc>
          <w:tcPr>
            <w:tcW w:w="1688" w:type="dxa"/>
            <w:noWrap/>
            <w:vAlign w:val="center"/>
            <w:hideMark/>
          </w:tcPr>
          <w:p w14:paraId="70BC6E5D" w14:textId="77777777" w:rsidR="00592904" w:rsidRPr="00214EFC" w:rsidRDefault="00592904" w:rsidP="00AA63CD">
            <w:pPr>
              <w:spacing w:after="100" w:afterAutospacing="1" w:line="360" w:lineRule="auto"/>
              <w:rPr>
                <w:sz w:val="20"/>
                <w:szCs w:val="20"/>
              </w:rPr>
            </w:pPr>
            <w:r w:rsidRPr="00214EFC">
              <w:rPr>
                <w:sz w:val="20"/>
                <w:szCs w:val="20"/>
              </w:rPr>
              <w:t>Minerals</w:t>
            </w:r>
          </w:p>
        </w:tc>
        <w:tc>
          <w:tcPr>
            <w:tcW w:w="1097" w:type="dxa"/>
            <w:noWrap/>
            <w:vAlign w:val="center"/>
            <w:hideMark/>
          </w:tcPr>
          <w:p w14:paraId="07E2E218"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26087362" w14:textId="77777777" w:rsidR="00592904" w:rsidRPr="00214EFC" w:rsidRDefault="00592904" w:rsidP="00AA63CD">
            <w:pPr>
              <w:spacing w:after="100" w:afterAutospacing="1" w:line="360" w:lineRule="auto"/>
              <w:jc w:val="left"/>
              <w:rPr>
                <w:sz w:val="20"/>
                <w:szCs w:val="20"/>
              </w:rPr>
            </w:pPr>
          </w:p>
        </w:tc>
      </w:tr>
      <w:tr w:rsidR="00592904" w:rsidRPr="00214EFC" w14:paraId="4819867D" w14:textId="77777777" w:rsidTr="002179D4">
        <w:trPr>
          <w:trHeight w:val="19"/>
          <w:jc w:val="center"/>
        </w:trPr>
        <w:tc>
          <w:tcPr>
            <w:tcW w:w="646" w:type="dxa"/>
            <w:noWrap/>
            <w:vAlign w:val="center"/>
            <w:hideMark/>
          </w:tcPr>
          <w:p w14:paraId="6F9680E3" w14:textId="77777777" w:rsidR="00592904" w:rsidRPr="00214EFC" w:rsidRDefault="00592904" w:rsidP="00AA63CD">
            <w:pPr>
              <w:spacing w:after="100" w:afterAutospacing="1" w:line="360" w:lineRule="auto"/>
              <w:rPr>
                <w:sz w:val="20"/>
                <w:szCs w:val="20"/>
              </w:rPr>
            </w:pPr>
            <w:r w:rsidRPr="00214EFC">
              <w:rPr>
                <w:sz w:val="20"/>
                <w:szCs w:val="20"/>
              </w:rPr>
              <w:t>37</w:t>
            </w:r>
          </w:p>
        </w:tc>
        <w:tc>
          <w:tcPr>
            <w:tcW w:w="670" w:type="dxa"/>
            <w:noWrap/>
            <w:vAlign w:val="center"/>
            <w:hideMark/>
          </w:tcPr>
          <w:p w14:paraId="7BDB6E43" w14:textId="77777777" w:rsidR="00592904" w:rsidRPr="00214EFC" w:rsidRDefault="00592904" w:rsidP="00AA63CD">
            <w:pPr>
              <w:spacing w:after="100" w:afterAutospacing="1" w:line="360" w:lineRule="auto"/>
              <w:rPr>
                <w:sz w:val="20"/>
                <w:szCs w:val="20"/>
              </w:rPr>
            </w:pPr>
            <w:proofErr w:type="spellStart"/>
            <w:r w:rsidRPr="00214EFC">
              <w:rPr>
                <w:sz w:val="20"/>
                <w:szCs w:val="20"/>
              </w:rPr>
              <w:t>i_s</w:t>
            </w:r>
            <w:proofErr w:type="spellEnd"/>
          </w:p>
        </w:tc>
        <w:tc>
          <w:tcPr>
            <w:tcW w:w="2816" w:type="dxa"/>
            <w:noWrap/>
            <w:vAlign w:val="center"/>
            <w:hideMark/>
          </w:tcPr>
          <w:p w14:paraId="2C21EC77" w14:textId="77777777" w:rsidR="00592904" w:rsidRPr="00214EFC" w:rsidRDefault="00592904" w:rsidP="00AA63CD">
            <w:pPr>
              <w:spacing w:after="100" w:afterAutospacing="1" w:line="360" w:lineRule="auto"/>
              <w:jc w:val="left"/>
              <w:rPr>
                <w:sz w:val="20"/>
                <w:szCs w:val="20"/>
              </w:rPr>
            </w:pPr>
            <w:r w:rsidRPr="00214EFC">
              <w:rPr>
                <w:sz w:val="20"/>
                <w:szCs w:val="20"/>
              </w:rPr>
              <w:t>Ferrous metals</w:t>
            </w:r>
          </w:p>
        </w:tc>
        <w:tc>
          <w:tcPr>
            <w:tcW w:w="1688" w:type="dxa"/>
            <w:noWrap/>
            <w:vAlign w:val="center"/>
            <w:hideMark/>
          </w:tcPr>
          <w:p w14:paraId="2C7948E7" w14:textId="77777777" w:rsidR="00592904" w:rsidRPr="00214EFC" w:rsidRDefault="00592904" w:rsidP="00AA63CD">
            <w:pPr>
              <w:spacing w:after="100" w:afterAutospacing="1" w:line="360" w:lineRule="auto"/>
              <w:rPr>
                <w:sz w:val="20"/>
                <w:szCs w:val="20"/>
              </w:rPr>
            </w:pPr>
            <w:r w:rsidRPr="00214EFC">
              <w:rPr>
                <w:sz w:val="20"/>
                <w:szCs w:val="20"/>
              </w:rPr>
              <w:t>Ferrous</w:t>
            </w:r>
          </w:p>
        </w:tc>
        <w:tc>
          <w:tcPr>
            <w:tcW w:w="1097" w:type="dxa"/>
            <w:noWrap/>
            <w:vAlign w:val="center"/>
            <w:hideMark/>
          </w:tcPr>
          <w:p w14:paraId="43EE9E2F"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343749DE" w14:textId="77777777" w:rsidR="00592904" w:rsidRPr="00214EFC" w:rsidRDefault="00592904" w:rsidP="00AA63CD">
            <w:pPr>
              <w:spacing w:after="100" w:afterAutospacing="1" w:line="360" w:lineRule="auto"/>
              <w:jc w:val="left"/>
              <w:rPr>
                <w:sz w:val="20"/>
                <w:szCs w:val="20"/>
              </w:rPr>
            </w:pPr>
          </w:p>
        </w:tc>
      </w:tr>
      <w:tr w:rsidR="00592904" w:rsidRPr="00214EFC" w14:paraId="784BC06A" w14:textId="77777777" w:rsidTr="002179D4">
        <w:trPr>
          <w:trHeight w:val="19"/>
          <w:jc w:val="center"/>
        </w:trPr>
        <w:tc>
          <w:tcPr>
            <w:tcW w:w="646" w:type="dxa"/>
            <w:noWrap/>
            <w:vAlign w:val="center"/>
            <w:hideMark/>
          </w:tcPr>
          <w:p w14:paraId="16495622" w14:textId="77777777" w:rsidR="00592904" w:rsidRPr="00214EFC" w:rsidRDefault="00592904" w:rsidP="00AA63CD">
            <w:pPr>
              <w:spacing w:after="100" w:afterAutospacing="1" w:line="360" w:lineRule="auto"/>
              <w:rPr>
                <w:sz w:val="20"/>
                <w:szCs w:val="20"/>
              </w:rPr>
            </w:pPr>
            <w:r w:rsidRPr="00214EFC">
              <w:rPr>
                <w:sz w:val="20"/>
                <w:szCs w:val="20"/>
              </w:rPr>
              <w:t>38</w:t>
            </w:r>
          </w:p>
        </w:tc>
        <w:tc>
          <w:tcPr>
            <w:tcW w:w="670" w:type="dxa"/>
            <w:noWrap/>
            <w:vAlign w:val="center"/>
            <w:hideMark/>
          </w:tcPr>
          <w:p w14:paraId="167A1F56" w14:textId="77777777" w:rsidR="00592904" w:rsidRPr="00214EFC" w:rsidRDefault="00592904" w:rsidP="00AA63CD">
            <w:pPr>
              <w:spacing w:after="100" w:afterAutospacing="1" w:line="360" w:lineRule="auto"/>
              <w:rPr>
                <w:sz w:val="20"/>
                <w:szCs w:val="20"/>
              </w:rPr>
            </w:pPr>
            <w:proofErr w:type="spellStart"/>
            <w:r w:rsidRPr="00214EFC">
              <w:rPr>
                <w:sz w:val="20"/>
                <w:szCs w:val="20"/>
              </w:rPr>
              <w:t>nfm</w:t>
            </w:r>
            <w:proofErr w:type="spellEnd"/>
          </w:p>
        </w:tc>
        <w:tc>
          <w:tcPr>
            <w:tcW w:w="2816" w:type="dxa"/>
            <w:noWrap/>
            <w:vAlign w:val="center"/>
            <w:hideMark/>
          </w:tcPr>
          <w:p w14:paraId="6610D692" w14:textId="77777777" w:rsidR="00592904" w:rsidRPr="00214EFC" w:rsidRDefault="00592904" w:rsidP="00AA63CD">
            <w:pPr>
              <w:spacing w:after="100" w:afterAutospacing="1" w:line="360" w:lineRule="auto"/>
              <w:jc w:val="left"/>
              <w:rPr>
                <w:sz w:val="20"/>
                <w:szCs w:val="20"/>
              </w:rPr>
            </w:pPr>
            <w:r w:rsidRPr="00214EFC">
              <w:rPr>
                <w:sz w:val="20"/>
                <w:szCs w:val="20"/>
              </w:rPr>
              <w:t xml:space="preserve">Metals </w:t>
            </w:r>
            <w:proofErr w:type="spellStart"/>
            <w:r w:rsidRPr="00214EFC">
              <w:rPr>
                <w:sz w:val="20"/>
                <w:szCs w:val="20"/>
              </w:rPr>
              <w:t>nec</w:t>
            </w:r>
            <w:proofErr w:type="spellEnd"/>
          </w:p>
        </w:tc>
        <w:tc>
          <w:tcPr>
            <w:tcW w:w="1688" w:type="dxa"/>
            <w:noWrap/>
            <w:vAlign w:val="center"/>
            <w:hideMark/>
          </w:tcPr>
          <w:p w14:paraId="2F047EF3" w14:textId="77777777" w:rsidR="00592904" w:rsidRPr="00214EFC" w:rsidRDefault="00592904" w:rsidP="00AA63CD">
            <w:pPr>
              <w:spacing w:after="100" w:afterAutospacing="1" w:line="360" w:lineRule="auto"/>
              <w:rPr>
                <w:sz w:val="20"/>
                <w:szCs w:val="20"/>
              </w:rPr>
            </w:pPr>
            <w:r w:rsidRPr="00214EFC">
              <w:rPr>
                <w:sz w:val="20"/>
                <w:szCs w:val="20"/>
              </w:rPr>
              <w:t>Metals</w:t>
            </w:r>
          </w:p>
        </w:tc>
        <w:tc>
          <w:tcPr>
            <w:tcW w:w="1097" w:type="dxa"/>
            <w:noWrap/>
            <w:vAlign w:val="center"/>
            <w:hideMark/>
          </w:tcPr>
          <w:p w14:paraId="5A86F6EF"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06BC13AE" w14:textId="77777777" w:rsidR="00592904" w:rsidRPr="00214EFC" w:rsidRDefault="00592904" w:rsidP="00AA63CD">
            <w:pPr>
              <w:spacing w:after="100" w:afterAutospacing="1" w:line="360" w:lineRule="auto"/>
              <w:jc w:val="left"/>
              <w:rPr>
                <w:sz w:val="20"/>
                <w:szCs w:val="20"/>
              </w:rPr>
            </w:pPr>
          </w:p>
        </w:tc>
      </w:tr>
      <w:tr w:rsidR="00592904" w:rsidRPr="00214EFC" w14:paraId="56540582" w14:textId="77777777" w:rsidTr="002179D4">
        <w:trPr>
          <w:trHeight w:val="19"/>
          <w:jc w:val="center"/>
        </w:trPr>
        <w:tc>
          <w:tcPr>
            <w:tcW w:w="646" w:type="dxa"/>
            <w:noWrap/>
            <w:vAlign w:val="center"/>
            <w:hideMark/>
          </w:tcPr>
          <w:p w14:paraId="0D21AA48" w14:textId="77777777" w:rsidR="00592904" w:rsidRPr="00214EFC" w:rsidRDefault="00592904" w:rsidP="00AA63CD">
            <w:pPr>
              <w:spacing w:after="100" w:afterAutospacing="1" w:line="360" w:lineRule="auto"/>
              <w:rPr>
                <w:sz w:val="20"/>
                <w:szCs w:val="20"/>
              </w:rPr>
            </w:pPr>
            <w:r w:rsidRPr="00214EFC">
              <w:rPr>
                <w:sz w:val="20"/>
                <w:szCs w:val="20"/>
              </w:rPr>
              <w:t>39</w:t>
            </w:r>
          </w:p>
        </w:tc>
        <w:tc>
          <w:tcPr>
            <w:tcW w:w="670" w:type="dxa"/>
            <w:noWrap/>
            <w:vAlign w:val="center"/>
            <w:hideMark/>
          </w:tcPr>
          <w:p w14:paraId="5F8E44BA" w14:textId="77777777" w:rsidR="00592904" w:rsidRPr="00214EFC" w:rsidRDefault="00592904" w:rsidP="00AA63CD">
            <w:pPr>
              <w:spacing w:after="100" w:afterAutospacing="1" w:line="360" w:lineRule="auto"/>
              <w:rPr>
                <w:sz w:val="20"/>
                <w:szCs w:val="20"/>
              </w:rPr>
            </w:pPr>
            <w:proofErr w:type="spellStart"/>
            <w:r w:rsidRPr="00214EFC">
              <w:rPr>
                <w:sz w:val="20"/>
                <w:szCs w:val="20"/>
              </w:rPr>
              <w:t>fmp</w:t>
            </w:r>
            <w:proofErr w:type="spellEnd"/>
          </w:p>
        </w:tc>
        <w:tc>
          <w:tcPr>
            <w:tcW w:w="2816" w:type="dxa"/>
            <w:noWrap/>
            <w:vAlign w:val="center"/>
            <w:hideMark/>
          </w:tcPr>
          <w:p w14:paraId="6FEF72BA" w14:textId="77777777" w:rsidR="00592904" w:rsidRPr="00214EFC" w:rsidRDefault="00592904" w:rsidP="00AA63CD">
            <w:pPr>
              <w:spacing w:after="100" w:afterAutospacing="1" w:line="360" w:lineRule="auto"/>
              <w:jc w:val="left"/>
              <w:rPr>
                <w:sz w:val="20"/>
                <w:szCs w:val="20"/>
              </w:rPr>
            </w:pPr>
            <w:r w:rsidRPr="00214EFC">
              <w:rPr>
                <w:sz w:val="20"/>
                <w:szCs w:val="20"/>
              </w:rPr>
              <w:t>Metal products</w:t>
            </w:r>
          </w:p>
        </w:tc>
        <w:tc>
          <w:tcPr>
            <w:tcW w:w="1688" w:type="dxa"/>
            <w:noWrap/>
            <w:vAlign w:val="center"/>
            <w:hideMark/>
          </w:tcPr>
          <w:p w14:paraId="50113DA2" w14:textId="77777777" w:rsidR="00592904" w:rsidRPr="00214EFC" w:rsidRDefault="00592904" w:rsidP="00AA63CD">
            <w:pPr>
              <w:spacing w:after="100" w:afterAutospacing="1" w:line="360" w:lineRule="auto"/>
              <w:rPr>
                <w:sz w:val="20"/>
                <w:szCs w:val="20"/>
              </w:rPr>
            </w:pPr>
            <w:r w:rsidRPr="00214EFC">
              <w:rPr>
                <w:sz w:val="20"/>
                <w:szCs w:val="20"/>
              </w:rPr>
              <w:t>Metal products</w:t>
            </w:r>
          </w:p>
        </w:tc>
        <w:tc>
          <w:tcPr>
            <w:tcW w:w="1097" w:type="dxa"/>
            <w:noWrap/>
            <w:vAlign w:val="center"/>
            <w:hideMark/>
          </w:tcPr>
          <w:p w14:paraId="407657A1"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170C84EC" w14:textId="77777777" w:rsidR="00592904" w:rsidRPr="00214EFC" w:rsidRDefault="00592904" w:rsidP="00AA63CD">
            <w:pPr>
              <w:spacing w:after="100" w:afterAutospacing="1" w:line="360" w:lineRule="auto"/>
              <w:jc w:val="left"/>
              <w:rPr>
                <w:sz w:val="20"/>
                <w:szCs w:val="20"/>
              </w:rPr>
            </w:pPr>
          </w:p>
        </w:tc>
      </w:tr>
      <w:tr w:rsidR="00592904" w:rsidRPr="00214EFC" w14:paraId="504FCFE5" w14:textId="77777777" w:rsidTr="002179D4">
        <w:trPr>
          <w:trHeight w:val="19"/>
          <w:jc w:val="center"/>
        </w:trPr>
        <w:tc>
          <w:tcPr>
            <w:tcW w:w="646" w:type="dxa"/>
            <w:noWrap/>
            <w:vAlign w:val="center"/>
            <w:hideMark/>
          </w:tcPr>
          <w:p w14:paraId="706439C5" w14:textId="77777777" w:rsidR="00592904" w:rsidRPr="00214EFC" w:rsidRDefault="00592904" w:rsidP="00AA63CD">
            <w:pPr>
              <w:spacing w:after="100" w:afterAutospacing="1" w:line="360" w:lineRule="auto"/>
              <w:rPr>
                <w:sz w:val="20"/>
                <w:szCs w:val="20"/>
              </w:rPr>
            </w:pPr>
            <w:r w:rsidRPr="00214EFC">
              <w:rPr>
                <w:sz w:val="20"/>
                <w:szCs w:val="20"/>
              </w:rPr>
              <w:lastRenderedPageBreak/>
              <w:t>40</w:t>
            </w:r>
          </w:p>
        </w:tc>
        <w:tc>
          <w:tcPr>
            <w:tcW w:w="670" w:type="dxa"/>
            <w:noWrap/>
            <w:vAlign w:val="center"/>
            <w:hideMark/>
          </w:tcPr>
          <w:p w14:paraId="500929D6" w14:textId="77777777" w:rsidR="00592904" w:rsidRPr="00214EFC" w:rsidRDefault="00592904" w:rsidP="00AA63CD">
            <w:pPr>
              <w:spacing w:after="100" w:afterAutospacing="1" w:line="360" w:lineRule="auto"/>
              <w:rPr>
                <w:sz w:val="20"/>
                <w:szCs w:val="20"/>
              </w:rPr>
            </w:pPr>
            <w:proofErr w:type="spellStart"/>
            <w:r w:rsidRPr="00214EFC">
              <w:rPr>
                <w:sz w:val="20"/>
                <w:szCs w:val="20"/>
              </w:rPr>
              <w:t>ele</w:t>
            </w:r>
            <w:proofErr w:type="spellEnd"/>
          </w:p>
        </w:tc>
        <w:tc>
          <w:tcPr>
            <w:tcW w:w="2816" w:type="dxa"/>
            <w:noWrap/>
            <w:vAlign w:val="center"/>
            <w:hideMark/>
          </w:tcPr>
          <w:p w14:paraId="0A96C68B" w14:textId="77777777" w:rsidR="00592904" w:rsidRPr="00214EFC" w:rsidRDefault="00592904" w:rsidP="00AA63CD">
            <w:pPr>
              <w:spacing w:after="100" w:afterAutospacing="1" w:line="360" w:lineRule="auto"/>
              <w:jc w:val="left"/>
              <w:rPr>
                <w:sz w:val="20"/>
                <w:szCs w:val="20"/>
              </w:rPr>
            </w:pPr>
            <w:r w:rsidRPr="00214EFC">
              <w:rPr>
                <w:sz w:val="20"/>
                <w:szCs w:val="20"/>
              </w:rPr>
              <w:t>Computer, electronic and optical products</w:t>
            </w:r>
          </w:p>
        </w:tc>
        <w:tc>
          <w:tcPr>
            <w:tcW w:w="1688" w:type="dxa"/>
            <w:noWrap/>
            <w:vAlign w:val="center"/>
            <w:hideMark/>
          </w:tcPr>
          <w:p w14:paraId="554B8721" w14:textId="77777777" w:rsidR="00592904" w:rsidRPr="00214EFC" w:rsidRDefault="00592904" w:rsidP="00AA63CD">
            <w:pPr>
              <w:spacing w:after="100" w:afterAutospacing="1" w:line="360" w:lineRule="auto"/>
              <w:rPr>
                <w:sz w:val="20"/>
                <w:szCs w:val="20"/>
              </w:rPr>
            </w:pPr>
            <w:r w:rsidRPr="00214EFC">
              <w:rPr>
                <w:sz w:val="20"/>
                <w:szCs w:val="20"/>
              </w:rPr>
              <w:t>Electronics</w:t>
            </w:r>
          </w:p>
        </w:tc>
        <w:tc>
          <w:tcPr>
            <w:tcW w:w="1097" w:type="dxa"/>
            <w:noWrap/>
            <w:vAlign w:val="center"/>
            <w:hideMark/>
          </w:tcPr>
          <w:p w14:paraId="4D8BE583"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0AF0BB58" w14:textId="77777777" w:rsidR="00592904" w:rsidRPr="00214EFC" w:rsidRDefault="00592904" w:rsidP="00AA63CD">
            <w:pPr>
              <w:spacing w:after="100" w:afterAutospacing="1" w:line="360" w:lineRule="auto"/>
              <w:jc w:val="left"/>
              <w:rPr>
                <w:sz w:val="20"/>
                <w:szCs w:val="20"/>
              </w:rPr>
            </w:pPr>
          </w:p>
        </w:tc>
      </w:tr>
      <w:tr w:rsidR="00592904" w:rsidRPr="00214EFC" w14:paraId="1558A760" w14:textId="77777777" w:rsidTr="002179D4">
        <w:trPr>
          <w:trHeight w:val="19"/>
          <w:jc w:val="center"/>
        </w:trPr>
        <w:tc>
          <w:tcPr>
            <w:tcW w:w="646" w:type="dxa"/>
            <w:noWrap/>
            <w:vAlign w:val="center"/>
            <w:hideMark/>
          </w:tcPr>
          <w:p w14:paraId="20E7757C" w14:textId="77777777" w:rsidR="00592904" w:rsidRPr="00214EFC" w:rsidRDefault="00592904" w:rsidP="00AA63CD">
            <w:pPr>
              <w:spacing w:after="100" w:afterAutospacing="1" w:line="360" w:lineRule="auto"/>
              <w:rPr>
                <w:sz w:val="20"/>
                <w:szCs w:val="20"/>
              </w:rPr>
            </w:pPr>
            <w:r w:rsidRPr="00214EFC">
              <w:rPr>
                <w:sz w:val="20"/>
                <w:szCs w:val="20"/>
              </w:rPr>
              <w:t>41</w:t>
            </w:r>
          </w:p>
        </w:tc>
        <w:tc>
          <w:tcPr>
            <w:tcW w:w="670" w:type="dxa"/>
            <w:noWrap/>
            <w:vAlign w:val="center"/>
            <w:hideMark/>
          </w:tcPr>
          <w:p w14:paraId="6A92E219" w14:textId="77777777" w:rsidR="00592904" w:rsidRPr="00214EFC" w:rsidRDefault="00592904" w:rsidP="00AA63CD">
            <w:pPr>
              <w:spacing w:after="100" w:afterAutospacing="1" w:line="360" w:lineRule="auto"/>
              <w:rPr>
                <w:sz w:val="20"/>
                <w:szCs w:val="20"/>
              </w:rPr>
            </w:pPr>
            <w:proofErr w:type="spellStart"/>
            <w:r w:rsidRPr="00214EFC">
              <w:rPr>
                <w:sz w:val="20"/>
                <w:szCs w:val="20"/>
              </w:rPr>
              <w:t>eeq</w:t>
            </w:r>
            <w:proofErr w:type="spellEnd"/>
          </w:p>
        </w:tc>
        <w:tc>
          <w:tcPr>
            <w:tcW w:w="2816" w:type="dxa"/>
            <w:noWrap/>
            <w:vAlign w:val="center"/>
            <w:hideMark/>
          </w:tcPr>
          <w:p w14:paraId="1FF8C0EF" w14:textId="77777777" w:rsidR="00592904" w:rsidRPr="00214EFC" w:rsidRDefault="00592904" w:rsidP="00AA63CD">
            <w:pPr>
              <w:spacing w:after="100" w:afterAutospacing="1" w:line="360" w:lineRule="auto"/>
              <w:jc w:val="left"/>
              <w:rPr>
                <w:sz w:val="20"/>
                <w:szCs w:val="20"/>
              </w:rPr>
            </w:pPr>
            <w:r w:rsidRPr="00214EFC">
              <w:rPr>
                <w:sz w:val="20"/>
                <w:szCs w:val="20"/>
              </w:rPr>
              <w:t>Electrical equipment</w:t>
            </w:r>
          </w:p>
        </w:tc>
        <w:tc>
          <w:tcPr>
            <w:tcW w:w="1688" w:type="dxa"/>
            <w:noWrap/>
            <w:vAlign w:val="center"/>
            <w:hideMark/>
          </w:tcPr>
          <w:p w14:paraId="250E6139" w14:textId="77777777" w:rsidR="00592904" w:rsidRPr="00214EFC" w:rsidRDefault="00592904" w:rsidP="00AA63CD">
            <w:pPr>
              <w:spacing w:after="100" w:afterAutospacing="1" w:line="360" w:lineRule="auto"/>
              <w:rPr>
                <w:sz w:val="20"/>
                <w:szCs w:val="20"/>
              </w:rPr>
            </w:pPr>
            <w:r w:rsidRPr="00214EFC">
              <w:rPr>
                <w:sz w:val="20"/>
                <w:szCs w:val="20"/>
              </w:rPr>
              <w:t>Electrical</w:t>
            </w:r>
          </w:p>
        </w:tc>
        <w:tc>
          <w:tcPr>
            <w:tcW w:w="1097" w:type="dxa"/>
            <w:noWrap/>
            <w:vAlign w:val="center"/>
            <w:hideMark/>
          </w:tcPr>
          <w:p w14:paraId="33B49DBA"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3313B021" w14:textId="77777777" w:rsidR="00592904" w:rsidRPr="00214EFC" w:rsidRDefault="00592904" w:rsidP="00AA63CD">
            <w:pPr>
              <w:spacing w:after="100" w:afterAutospacing="1" w:line="360" w:lineRule="auto"/>
              <w:jc w:val="left"/>
              <w:rPr>
                <w:sz w:val="20"/>
                <w:szCs w:val="20"/>
              </w:rPr>
            </w:pPr>
          </w:p>
        </w:tc>
      </w:tr>
      <w:tr w:rsidR="00592904" w:rsidRPr="00214EFC" w14:paraId="4E7979A9" w14:textId="77777777" w:rsidTr="002179D4">
        <w:trPr>
          <w:trHeight w:val="19"/>
          <w:jc w:val="center"/>
        </w:trPr>
        <w:tc>
          <w:tcPr>
            <w:tcW w:w="646" w:type="dxa"/>
            <w:noWrap/>
            <w:vAlign w:val="center"/>
            <w:hideMark/>
          </w:tcPr>
          <w:p w14:paraId="0519C8FF" w14:textId="77777777" w:rsidR="00592904" w:rsidRPr="00214EFC" w:rsidRDefault="00592904" w:rsidP="00AA63CD">
            <w:pPr>
              <w:spacing w:after="100" w:afterAutospacing="1" w:line="360" w:lineRule="auto"/>
              <w:rPr>
                <w:sz w:val="20"/>
                <w:szCs w:val="20"/>
              </w:rPr>
            </w:pPr>
            <w:r w:rsidRPr="00214EFC">
              <w:rPr>
                <w:sz w:val="20"/>
                <w:szCs w:val="20"/>
              </w:rPr>
              <w:t>42</w:t>
            </w:r>
          </w:p>
        </w:tc>
        <w:tc>
          <w:tcPr>
            <w:tcW w:w="670" w:type="dxa"/>
            <w:noWrap/>
            <w:vAlign w:val="center"/>
            <w:hideMark/>
          </w:tcPr>
          <w:p w14:paraId="49409E2D" w14:textId="77777777" w:rsidR="00592904" w:rsidRPr="00214EFC" w:rsidRDefault="00592904" w:rsidP="00AA63CD">
            <w:pPr>
              <w:spacing w:after="100" w:afterAutospacing="1" w:line="360" w:lineRule="auto"/>
              <w:rPr>
                <w:sz w:val="20"/>
                <w:szCs w:val="20"/>
              </w:rPr>
            </w:pPr>
            <w:proofErr w:type="spellStart"/>
            <w:r w:rsidRPr="00214EFC">
              <w:rPr>
                <w:sz w:val="20"/>
                <w:szCs w:val="20"/>
              </w:rPr>
              <w:t>ome</w:t>
            </w:r>
            <w:proofErr w:type="spellEnd"/>
          </w:p>
        </w:tc>
        <w:tc>
          <w:tcPr>
            <w:tcW w:w="2816" w:type="dxa"/>
            <w:noWrap/>
            <w:vAlign w:val="center"/>
            <w:hideMark/>
          </w:tcPr>
          <w:p w14:paraId="4F00FF63" w14:textId="77777777" w:rsidR="00592904" w:rsidRPr="00214EFC" w:rsidRDefault="00592904" w:rsidP="00AA63CD">
            <w:pPr>
              <w:spacing w:after="100" w:afterAutospacing="1" w:line="360" w:lineRule="auto"/>
              <w:jc w:val="left"/>
              <w:rPr>
                <w:sz w:val="20"/>
                <w:szCs w:val="20"/>
              </w:rPr>
            </w:pPr>
            <w:r w:rsidRPr="00214EFC">
              <w:rPr>
                <w:sz w:val="20"/>
                <w:szCs w:val="20"/>
              </w:rPr>
              <w:t xml:space="preserve">Machinery and equipment </w:t>
            </w:r>
            <w:proofErr w:type="spellStart"/>
            <w:r w:rsidRPr="00214EFC">
              <w:rPr>
                <w:sz w:val="20"/>
                <w:szCs w:val="20"/>
              </w:rPr>
              <w:t>nec</w:t>
            </w:r>
            <w:proofErr w:type="spellEnd"/>
          </w:p>
        </w:tc>
        <w:tc>
          <w:tcPr>
            <w:tcW w:w="1688" w:type="dxa"/>
            <w:noWrap/>
            <w:vAlign w:val="center"/>
            <w:hideMark/>
          </w:tcPr>
          <w:p w14:paraId="7452470A" w14:textId="77777777" w:rsidR="00592904" w:rsidRPr="00214EFC" w:rsidRDefault="00592904" w:rsidP="00AA63CD">
            <w:pPr>
              <w:spacing w:after="100" w:afterAutospacing="1" w:line="360" w:lineRule="auto"/>
              <w:rPr>
                <w:sz w:val="20"/>
                <w:szCs w:val="20"/>
              </w:rPr>
            </w:pPr>
            <w:proofErr w:type="spellStart"/>
            <w:r w:rsidRPr="00214EFC">
              <w:rPr>
                <w:sz w:val="20"/>
                <w:szCs w:val="20"/>
              </w:rPr>
              <w:t>Machinnery</w:t>
            </w:r>
            <w:proofErr w:type="spellEnd"/>
          </w:p>
        </w:tc>
        <w:tc>
          <w:tcPr>
            <w:tcW w:w="1097" w:type="dxa"/>
            <w:noWrap/>
            <w:vAlign w:val="center"/>
            <w:hideMark/>
          </w:tcPr>
          <w:p w14:paraId="137C2ED1"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1E1CB5DC" w14:textId="77777777" w:rsidR="00592904" w:rsidRPr="00214EFC" w:rsidRDefault="00592904" w:rsidP="00AA63CD">
            <w:pPr>
              <w:spacing w:after="100" w:afterAutospacing="1" w:line="360" w:lineRule="auto"/>
              <w:jc w:val="left"/>
              <w:rPr>
                <w:sz w:val="20"/>
                <w:szCs w:val="20"/>
              </w:rPr>
            </w:pPr>
          </w:p>
        </w:tc>
      </w:tr>
      <w:tr w:rsidR="00592904" w:rsidRPr="00214EFC" w14:paraId="3132FB09" w14:textId="77777777" w:rsidTr="002179D4">
        <w:trPr>
          <w:trHeight w:val="19"/>
          <w:jc w:val="center"/>
        </w:trPr>
        <w:tc>
          <w:tcPr>
            <w:tcW w:w="646" w:type="dxa"/>
            <w:noWrap/>
            <w:vAlign w:val="center"/>
            <w:hideMark/>
          </w:tcPr>
          <w:p w14:paraId="253D1FD6" w14:textId="77777777" w:rsidR="00592904" w:rsidRPr="00214EFC" w:rsidRDefault="00592904" w:rsidP="00AA63CD">
            <w:pPr>
              <w:spacing w:after="100" w:afterAutospacing="1" w:line="360" w:lineRule="auto"/>
              <w:rPr>
                <w:sz w:val="20"/>
                <w:szCs w:val="20"/>
              </w:rPr>
            </w:pPr>
            <w:r w:rsidRPr="00214EFC">
              <w:rPr>
                <w:sz w:val="20"/>
                <w:szCs w:val="20"/>
              </w:rPr>
              <w:t>43</w:t>
            </w:r>
          </w:p>
        </w:tc>
        <w:tc>
          <w:tcPr>
            <w:tcW w:w="670" w:type="dxa"/>
            <w:noWrap/>
            <w:vAlign w:val="center"/>
            <w:hideMark/>
          </w:tcPr>
          <w:p w14:paraId="34FB2D9C" w14:textId="77777777" w:rsidR="00592904" w:rsidRPr="00214EFC" w:rsidRDefault="00592904" w:rsidP="00AA63CD">
            <w:pPr>
              <w:spacing w:after="100" w:afterAutospacing="1" w:line="360" w:lineRule="auto"/>
              <w:rPr>
                <w:sz w:val="20"/>
                <w:szCs w:val="20"/>
              </w:rPr>
            </w:pPr>
            <w:proofErr w:type="spellStart"/>
            <w:r w:rsidRPr="00214EFC">
              <w:rPr>
                <w:sz w:val="20"/>
                <w:szCs w:val="20"/>
              </w:rPr>
              <w:t>mvh</w:t>
            </w:r>
            <w:proofErr w:type="spellEnd"/>
          </w:p>
        </w:tc>
        <w:tc>
          <w:tcPr>
            <w:tcW w:w="2816" w:type="dxa"/>
            <w:noWrap/>
            <w:vAlign w:val="center"/>
            <w:hideMark/>
          </w:tcPr>
          <w:p w14:paraId="23117D7C" w14:textId="77777777" w:rsidR="00592904" w:rsidRPr="00214EFC" w:rsidRDefault="00592904" w:rsidP="00AA63CD">
            <w:pPr>
              <w:spacing w:after="100" w:afterAutospacing="1" w:line="360" w:lineRule="auto"/>
              <w:jc w:val="left"/>
              <w:rPr>
                <w:sz w:val="20"/>
                <w:szCs w:val="20"/>
              </w:rPr>
            </w:pPr>
            <w:r w:rsidRPr="00214EFC">
              <w:rPr>
                <w:sz w:val="20"/>
                <w:szCs w:val="20"/>
              </w:rPr>
              <w:t>Motor vehicles and parts</w:t>
            </w:r>
          </w:p>
        </w:tc>
        <w:tc>
          <w:tcPr>
            <w:tcW w:w="1688" w:type="dxa"/>
            <w:noWrap/>
            <w:vAlign w:val="center"/>
            <w:hideMark/>
          </w:tcPr>
          <w:p w14:paraId="7107C048" w14:textId="77777777" w:rsidR="00592904" w:rsidRPr="00214EFC" w:rsidRDefault="00592904" w:rsidP="00AA63CD">
            <w:pPr>
              <w:spacing w:after="100" w:afterAutospacing="1" w:line="360" w:lineRule="auto"/>
              <w:rPr>
                <w:sz w:val="20"/>
                <w:szCs w:val="20"/>
              </w:rPr>
            </w:pPr>
            <w:r w:rsidRPr="00214EFC">
              <w:rPr>
                <w:sz w:val="20"/>
                <w:szCs w:val="20"/>
              </w:rPr>
              <w:t>Motor parts</w:t>
            </w:r>
          </w:p>
        </w:tc>
        <w:tc>
          <w:tcPr>
            <w:tcW w:w="1097" w:type="dxa"/>
            <w:noWrap/>
            <w:vAlign w:val="center"/>
            <w:hideMark/>
          </w:tcPr>
          <w:p w14:paraId="516879E0"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3018599F" w14:textId="77777777" w:rsidR="00592904" w:rsidRPr="00214EFC" w:rsidRDefault="00592904" w:rsidP="00AA63CD">
            <w:pPr>
              <w:spacing w:after="100" w:afterAutospacing="1" w:line="360" w:lineRule="auto"/>
              <w:jc w:val="left"/>
              <w:rPr>
                <w:sz w:val="20"/>
                <w:szCs w:val="20"/>
              </w:rPr>
            </w:pPr>
          </w:p>
        </w:tc>
      </w:tr>
      <w:tr w:rsidR="00592904" w:rsidRPr="00214EFC" w14:paraId="7ABDB0CD" w14:textId="77777777" w:rsidTr="002179D4">
        <w:trPr>
          <w:trHeight w:val="19"/>
          <w:jc w:val="center"/>
        </w:trPr>
        <w:tc>
          <w:tcPr>
            <w:tcW w:w="646" w:type="dxa"/>
            <w:noWrap/>
            <w:vAlign w:val="center"/>
            <w:hideMark/>
          </w:tcPr>
          <w:p w14:paraId="0BD54CAF" w14:textId="77777777" w:rsidR="00592904" w:rsidRPr="00214EFC" w:rsidRDefault="00592904" w:rsidP="00AA63CD">
            <w:pPr>
              <w:spacing w:after="100" w:afterAutospacing="1" w:line="360" w:lineRule="auto"/>
              <w:rPr>
                <w:sz w:val="20"/>
                <w:szCs w:val="20"/>
              </w:rPr>
            </w:pPr>
            <w:r w:rsidRPr="00214EFC">
              <w:rPr>
                <w:sz w:val="20"/>
                <w:szCs w:val="20"/>
              </w:rPr>
              <w:t>44</w:t>
            </w:r>
          </w:p>
        </w:tc>
        <w:tc>
          <w:tcPr>
            <w:tcW w:w="670" w:type="dxa"/>
            <w:noWrap/>
            <w:vAlign w:val="center"/>
            <w:hideMark/>
          </w:tcPr>
          <w:p w14:paraId="10EB82D6" w14:textId="77777777" w:rsidR="00592904" w:rsidRPr="00214EFC" w:rsidRDefault="00592904" w:rsidP="00AA63CD">
            <w:pPr>
              <w:spacing w:after="100" w:afterAutospacing="1" w:line="360" w:lineRule="auto"/>
              <w:rPr>
                <w:sz w:val="20"/>
                <w:szCs w:val="20"/>
              </w:rPr>
            </w:pPr>
            <w:proofErr w:type="spellStart"/>
            <w:r w:rsidRPr="00214EFC">
              <w:rPr>
                <w:sz w:val="20"/>
                <w:szCs w:val="20"/>
              </w:rPr>
              <w:t>otn</w:t>
            </w:r>
            <w:proofErr w:type="spellEnd"/>
          </w:p>
        </w:tc>
        <w:tc>
          <w:tcPr>
            <w:tcW w:w="2816" w:type="dxa"/>
            <w:noWrap/>
            <w:vAlign w:val="center"/>
            <w:hideMark/>
          </w:tcPr>
          <w:p w14:paraId="3606F421" w14:textId="77777777" w:rsidR="00592904" w:rsidRPr="00214EFC" w:rsidRDefault="00592904" w:rsidP="00AA63CD">
            <w:pPr>
              <w:spacing w:after="100" w:afterAutospacing="1" w:line="360" w:lineRule="auto"/>
              <w:jc w:val="left"/>
              <w:rPr>
                <w:sz w:val="20"/>
                <w:szCs w:val="20"/>
              </w:rPr>
            </w:pPr>
            <w:r w:rsidRPr="00214EFC">
              <w:rPr>
                <w:sz w:val="20"/>
                <w:szCs w:val="20"/>
              </w:rPr>
              <w:t xml:space="preserve">Transport equipment </w:t>
            </w:r>
            <w:proofErr w:type="spellStart"/>
            <w:r w:rsidRPr="00214EFC">
              <w:rPr>
                <w:sz w:val="20"/>
                <w:szCs w:val="20"/>
              </w:rPr>
              <w:t>nec</w:t>
            </w:r>
            <w:proofErr w:type="spellEnd"/>
          </w:p>
        </w:tc>
        <w:tc>
          <w:tcPr>
            <w:tcW w:w="1688" w:type="dxa"/>
            <w:noWrap/>
            <w:vAlign w:val="center"/>
            <w:hideMark/>
          </w:tcPr>
          <w:p w14:paraId="43D06C28" w14:textId="77777777" w:rsidR="00592904" w:rsidRPr="00214EFC" w:rsidRDefault="00592904" w:rsidP="00AA63CD">
            <w:pPr>
              <w:spacing w:after="100" w:afterAutospacing="1" w:line="360" w:lineRule="auto"/>
              <w:rPr>
                <w:sz w:val="20"/>
                <w:szCs w:val="20"/>
              </w:rPr>
            </w:pPr>
            <w:r w:rsidRPr="00214EFC">
              <w:rPr>
                <w:sz w:val="20"/>
                <w:szCs w:val="20"/>
              </w:rPr>
              <w:t>Trans. equip</w:t>
            </w:r>
          </w:p>
        </w:tc>
        <w:tc>
          <w:tcPr>
            <w:tcW w:w="1097" w:type="dxa"/>
            <w:noWrap/>
            <w:vAlign w:val="center"/>
            <w:hideMark/>
          </w:tcPr>
          <w:p w14:paraId="2DD21007"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6EBD99AF" w14:textId="77777777" w:rsidR="00592904" w:rsidRPr="00214EFC" w:rsidRDefault="00592904" w:rsidP="00AA63CD">
            <w:pPr>
              <w:spacing w:after="100" w:afterAutospacing="1" w:line="360" w:lineRule="auto"/>
              <w:jc w:val="left"/>
              <w:rPr>
                <w:sz w:val="20"/>
                <w:szCs w:val="20"/>
              </w:rPr>
            </w:pPr>
          </w:p>
        </w:tc>
      </w:tr>
      <w:tr w:rsidR="00592904" w:rsidRPr="00214EFC" w14:paraId="3BCE5E8D" w14:textId="77777777" w:rsidTr="002179D4">
        <w:trPr>
          <w:trHeight w:val="19"/>
          <w:jc w:val="center"/>
        </w:trPr>
        <w:tc>
          <w:tcPr>
            <w:tcW w:w="646" w:type="dxa"/>
            <w:noWrap/>
            <w:vAlign w:val="center"/>
            <w:hideMark/>
          </w:tcPr>
          <w:p w14:paraId="5A34ADC5" w14:textId="77777777" w:rsidR="00592904" w:rsidRPr="00214EFC" w:rsidRDefault="00592904" w:rsidP="00AA63CD">
            <w:pPr>
              <w:spacing w:after="100" w:afterAutospacing="1" w:line="360" w:lineRule="auto"/>
              <w:rPr>
                <w:sz w:val="20"/>
                <w:szCs w:val="20"/>
              </w:rPr>
            </w:pPr>
            <w:r w:rsidRPr="00214EFC">
              <w:rPr>
                <w:sz w:val="20"/>
                <w:szCs w:val="20"/>
              </w:rPr>
              <w:t>45</w:t>
            </w:r>
          </w:p>
        </w:tc>
        <w:tc>
          <w:tcPr>
            <w:tcW w:w="670" w:type="dxa"/>
            <w:noWrap/>
            <w:vAlign w:val="center"/>
            <w:hideMark/>
          </w:tcPr>
          <w:p w14:paraId="31FB3DCD" w14:textId="77777777" w:rsidR="00592904" w:rsidRPr="00214EFC" w:rsidRDefault="00592904" w:rsidP="00AA63CD">
            <w:pPr>
              <w:spacing w:after="100" w:afterAutospacing="1" w:line="360" w:lineRule="auto"/>
              <w:rPr>
                <w:sz w:val="20"/>
                <w:szCs w:val="20"/>
              </w:rPr>
            </w:pPr>
            <w:proofErr w:type="spellStart"/>
            <w:r w:rsidRPr="00214EFC">
              <w:rPr>
                <w:sz w:val="20"/>
                <w:szCs w:val="20"/>
              </w:rPr>
              <w:t>omf</w:t>
            </w:r>
            <w:proofErr w:type="spellEnd"/>
          </w:p>
        </w:tc>
        <w:tc>
          <w:tcPr>
            <w:tcW w:w="2816" w:type="dxa"/>
            <w:noWrap/>
            <w:vAlign w:val="center"/>
            <w:hideMark/>
          </w:tcPr>
          <w:p w14:paraId="0E7EB625" w14:textId="77777777" w:rsidR="00592904" w:rsidRPr="00214EFC" w:rsidRDefault="00592904" w:rsidP="00AA63CD">
            <w:pPr>
              <w:spacing w:after="100" w:afterAutospacing="1" w:line="360" w:lineRule="auto"/>
              <w:jc w:val="left"/>
              <w:rPr>
                <w:sz w:val="20"/>
                <w:szCs w:val="20"/>
              </w:rPr>
            </w:pPr>
            <w:r w:rsidRPr="00214EFC">
              <w:rPr>
                <w:sz w:val="20"/>
                <w:szCs w:val="20"/>
              </w:rPr>
              <w:t xml:space="preserve">Manufactures </w:t>
            </w:r>
            <w:proofErr w:type="spellStart"/>
            <w:r w:rsidRPr="00214EFC">
              <w:rPr>
                <w:sz w:val="20"/>
                <w:szCs w:val="20"/>
              </w:rPr>
              <w:t>nec</w:t>
            </w:r>
            <w:proofErr w:type="spellEnd"/>
          </w:p>
        </w:tc>
        <w:tc>
          <w:tcPr>
            <w:tcW w:w="1688" w:type="dxa"/>
            <w:noWrap/>
            <w:vAlign w:val="center"/>
            <w:hideMark/>
          </w:tcPr>
          <w:p w14:paraId="2E1E66A9" w14:textId="77777777" w:rsidR="00592904" w:rsidRPr="00214EFC" w:rsidRDefault="00592904" w:rsidP="00AA63CD">
            <w:pPr>
              <w:spacing w:after="100" w:afterAutospacing="1" w:line="360" w:lineRule="auto"/>
              <w:rPr>
                <w:sz w:val="20"/>
                <w:szCs w:val="20"/>
              </w:rPr>
            </w:pPr>
            <w:r w:rsidRPr="00214EFC">
              <w:rPr>
                <w:sz w:val="20"/>
                <w:szCs w:val="20"/>
              </w:rPr>
              <w:t>Other manuf.</w:t>
            </w:r>
          </w:p>
        </w:tc>
        <w:tc>
          <w:tcPr>
            <w:tcW w:w="1097" w:type="dxa"/>
            <w:noWrap/>
            <w:vAlign w:val="center"/>
            <w:hideMark/>
          </w:tcPr>
          <w:p w14:paraId="5F55243B"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605BC62C" w14:textId="77777777" w:rsidR="00592904" w:rsidRPr="00214EFC" w:rsidRDefault="00592904" w:rsidP="00AA63CD">
            <w:pPr>
              <w:spacing w:after="100" w:afterAutospacing="1" w:line="360" w:lineRule="auto"/>
              <w:jc w:val="left"/>
              <w:rPr>
                <w:sz w:val="20"/>
                <w:szCs w:val="20"/>
              </w:rPr>
            </w:pPr>
          </w:p>
        </w:tc>
      </w:tr>
      <w:tr w:rsidR="00592904" w:rsidRPr="00214EFC" w14:paraId="2D31FB3A" w14:textId="77777777" w:rsidTr="002179D4">
        <w:trPr>
          <w:trHeight w:val="19"/>
          <w:jc w:val="center"/>
        </w:trPr>
        <w:tc>
          <w:tcPr>
            <w:tcW w:w="646" w:type="dxa"/>
            <w:noWrap/>
            <w:vAlign w:val="center"/>
            <w:hideMark/>
          </w:tcPr>
          <w:p w14:paraId="770E1585" w14:textId="77777777" w:rsidR="00592904" w:rsidRPr="00214EFC" w:rsidRDefault="00592904" w:rsidP="00AA63CD">
            <w:pPr>
              <w:spacing w:after="100" w:afterAutospacing="1" w:line="360" w:lineRule="auto"/>
              <w:rPr>
                <w:sz w:val="20"/>
                <w:szCs w:val="20"/>
              </w:rPr>
            </w:pPr>
            <w:r w:rsidRPr="00214EFC">
              <w:rPr>
                <w:sz w:val="20"/>
                <w:szCs w:val="20"/>
              </w:rPr>
              <w:t>46</w:t>
            </w:r>
          </w:p>
        </w:tc>
        <w:tc>
          <w:tcPr>
            <w:tcW w:w="670" w:type="dxa"/>
            <w:noWrap/>
            <w:vAlign w:val="center"/>
            <w:hideMark/>
          </w:tcPr>
          <w:p w14:paraId="725C8866" w14:textId="77777777" w:rsidR="00592904" w:rsidRPr="00214EFC" w:rsidRDefault="00592904" w:rsidP="00AA63CD">
            <w:pPr>
              <w:spacing w:after="100" w:afterAutospacing="1" w:line="360" w:lineRule="auto"/>
              <w:rPr>
                <w:sz w:val="20"/>
                <w:szCs w:val="20"/>
              </w:rPr>
            </w:pPr>
            <w:proofErr w:type="spellStart"/>
            <w:r w:rsidRPr="00214EFC">
              <w:rPr>
                <w:sz w:val="20"/>
                <w:szCs w:val="20"/>
              </w:rPr>
              <w:t>ely</w:t>
            </w:r>
            <w:proofErr w:type="spellEnd"/>
          </w:p>
        </w:tc>
        <w:tc>
          <w:tcPr>
            <w:tcW w:w="2816" w:type="dxa"/>
            <w:noWrap/>
            <w:vAlign w:val="center"/>
            <w:hideMark/>
          </w:tcPr>
          <w:p w14:paraId="62E99F46" w14:textId="77777777" w:rsidR="00592904" w:rsidRPr="00214EFC" w:rsidRDefault="00592904" w:rsidP="00AA63CD">
            <w:pPr>
              <w:spacing w:after="100" w:afterAutospacing="1" w:line="360" w:lineRule="auto"/>
              <w:jc w:val="left"/>
              <w:rPr>
                <w:sz w:val="20"/>
                <w:szCs w:val="20"/>
              </w:rPr>
            </w:pPr>
            <w:r w:rsidRPr="00214EFC">
              <w:rPr>
                <w:sz w:val="20"/>
                <w:szCs w:val="20"/>
              </w:rPr>
              <w:t>Electricity</w:t>
            </w:r>
          </w:p>
        </w:tc>
        <w:tc>
          <w:tcPr>
            <w:tcW w:w="1688" w:type="dxa"/>
            <w:noWrap/>
            <w:vAlign w:val="center"/>
            <w:hideMark/>
          </w:tcPr>
          <w:p w14:paraId="379021C3" w14:textId="77777777" w:rsidR="00592904" w:rsidRPr="00214EFC" w:rsidRDefault="00592904" w:rsidP="00AA63CD">
            <w:pPr>
              <w:spacing w:after="100" w:afterAutospacing="1" w:line="360" w:lineRule="auto"/>
              <w:rPr>
                <w:sz w:val="20"/>
                <w:szCs w:val="20"/>
              </w:rPr>
            </w:pPr>
            <w:r w:rsidRPr="00214EFC">
              <w:rPr>
                <w:sz w:val="20"/>
                <w:szCs w:val="20"/>
              </w:rPr>
              <w:t>Electricity</w:t>
            </w:r>
          </w:p>
        </w:tc>
        <w:tc>
          <w:tcPr>
            <w:tcW w:w="1097" w:type="dxa"/>
            <w:noWrap/>
            <w:vAlign w:val="center"/>
            <w:hideMark/>
          </w:tcPr>
          <w:p w14:paraId="2F6C0DCF"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vMerge w:val="restart"/>
            <w:vAlign w:val="center"/>
            <w:hideMark/>
          </w:tcPr>
          <w:p w14:paraId="5F5A7B1D" w14:textId="77777777" w:rsidR="00592904" w:rsidRPr="00214EFC" w:rsidRDefault="00592904" w:rsidP="00AA63CD">
            <w:pPr>
              <w:spacing w:after="100" w:afterAutospacing="1" w:line="360" w:lineRule="auto"/>
              <w:jc w:val="left"/>
              <w:rPr>
                <w:sz w:val="20"/>
                <w:szCs w:val="20"/>
              </w:rPr>
            </w:pPr>
            <w:r w:rsidRPr="00214EFC">
              <w:rPr>
                <w:sz w:val="20"/>
                <w:szCs w:val="20"/>
              </w:rPr>
              <w:t>Lifeline</w:t>
            </w:r>
          </w:p>
        </w:tc>
      </w:tr>
      <w:tr w:rsidR="00592904" w:rsidRPr="00214EFC" w14:paraId="38F6037D" w14:textId="77777777" w:rsidTr="002179D4">
        <w:trPr>
          <w:trHeight w:val="19"/>
          <w:jc w:val="center"/>
        </w:trPr>
        <w:tc>
          <w:tcPr>
            <w:tcW w:w="646" w:type="dxa"/>
            <w:noWrap/>
            <w:vAlign w:val="center"/>
            <w:hideMark/>
          </w:tcPr>
          <w:p w14:paraId="717FA4ED" w14:textId="77777777" w:rsidR="00592904" w:rsidRPr="00214EFC" w:rsidRDefault="00592904" w:rsidP="00AA63CD">
            <w:pPr>
              <w:spacing w:after="100" w:afterAutospacing="1" w:line="360" w:lineRule="auto"/>
              <w:rPr>
                <w:sz w:val="20"/>
                <w:szCs w:val="20"/>
              </w:rPr>
            </w:pPr>
            <w:r w:rsidRPr="00214EFC">
              <w:rPr>
                <w:sz w:val="20"/>
                <w:szCs w:val="20"/>
              </w:rPr>
              <w:t>47</w:t>
            </w:r>
          </w:p>
        </w:tc>
        <w:tc>
          <w:tcPr>
            <w:tcW w:w="670" w:type="dxa"/>
            <w:noWrap/>
            <w:vAlign w:val="center"/>
            <w:hideMark/>
          </w:tcPr>
          <w:p w14:paraId="48E71587" w14:textId="77777777" w:rsidR="00592904" w:rsidRPr="00214EFC" w:rsidRDefault="00592904" w:rsidP="00AA63CD">
            <w:pPr>
              <w:spacing w:after="100" w:afterAutospacing="1" w:line="360" w:lineRule="auto"/>
              <w:rPr>
                <w:sz w:val="20"/>
                <w:szCs w:val="20"/>
              </w:rPr>
            </w:pPr>
            <w:proofErr w:type="spellStart"/>
            <w:r w:rsidRPr="00214EFC">
              <w:rPr>
                <w:sz w:val="20"/>
                <w:szCs w:val="20"/>
              </w:rPr>
              <w:t>gdt</w:t>
            </w:r>
            <w:proofErr w:type="spellEnd"/>
          </w:p>
        </w:tc>
        <w:tc>
          <w:tcPr>
            <w:tcW w:w="2816" w:type="dxa"/>
            <w:noWrap/>
            <w:vAlign w:val="center"/>
            <w:hideMark/>
          </w:tcPr>
          <w:p w14:paraId="6431B894" w14:textId="77777777" w:rsidR="00592904" w:rsidRPr="00214EFC" w:rsidRDefault="00592904" w:rsidP="00AA63CD">
            <w:pPr>
              <w:spacing w:after="100" w:afterAutospacing="1" w:line="360" w:lineRule="auto"/>
              <w:jc w:val="left"/>
              <w:rPr>
                <w:sz w:val="20"/>
                <w:szCs w:val="20"/>
              </w:rPr>
            </w:pPr>
            <w:r w:rsidRPr="00214EFC">
              <w:rPr>
                <w:sz w:val="20"/>
                <w:szCs w:val="20"/>
              </w:rPr>
              <w:t>Gas manufacture, distribution</w:t>
            </w:r>
          </w:p>
        </w:tc>
        <w:tc>
          <w:tcPr>
            <w:tcW w:w="1688" w:type="dxa"/>
            <w:noWrap/>
            <w:vAlign w:val="center"/>
            <w:hideMark/>
          </w:tcPr>
          <w:p w14:paraId="6282EC1E" w14:textId="77777777" w:rsidR="00592904" w:rsidRPr="00214EFC" w:rsidRDefault="00592904" w:rsidP="00AA63CD">
            <w:pPr>
              <w:spacing w:after="100" w:afterAutospacing="1" w:line="360" w:lineRule="auto"/>
              <w:rPr>
                <w:sz w:val="20"/>
                <w:szCs w:val="20"/>
              </w:rPr>
            </w:pPr>
            <w:r w:rsidRPr="00214EFC">
              <w:rPr>
                <w:sz w:val="20"/>
                <w:szCs w:val="20"/>
              </w:rPr>
              <w:t>Gas</w:t>
            </w:r>
          </w:p>
        </w:tc>
        <w:tc>
          <w:tcPr>
            <w:tcW w:w="1097" w:type="dxa"/>
            <w:noWrap/>
            <w:vAlign w:val="center"/>
            <w:hideMark/>
          </w:tcPr>
          <w:p w14:paraId="53A91962"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vMerge/>
            <w:vAlign w:val="center"/>
            <w:hideMark/>
          </w:tcPr>
          <w:p w14:paraId="193FA051" w14:textId="77777777" w:rsidR="00592904" w:rsidRPr="00214EFC" w:rsidRDefault="00592904" w:rsidP="00AA63CD">
            <w:pPr>
              <w:spacing w:after="100" w:afterAutospacing="1" w:line="360" w:lineRule="auto"/>
              <w:jc w:val="left"/>
              <w:rPr>
                <w:sz w:val="20"/>
                <w:szCs w:val="20"/>
              </w:rPr>
            </w:pPr>
          </w:p>
        </w:tc>
      </w:tr>
      <w:tr w:rsidR="00592904" w:rsidRPr="00214EFC" w14:paraId="22183270" w14:textId="77777777" w:rsidTr="002179D4">
        <w:trPr>
          <w:trHeight w:val="19"/>
          <w:jc w:val="center"/>
        </w:trPr>
        <w:tc>
          <w:tcPr>
            <w:tcW w:w="646" w:type="dxa"/>
            <w:noWrap/>
            <w:vAlign w:val="center"/>
            <w:hideMark/>
          </w:tcPr>
          <w:p w14:paraId="50F0B7DD" w14:textId="77777777" w:rsidR="00592904" w:rsidRPr="00214EFC" w:rsidRDefault="00592904" w:rsidP="00AA63CD">
            <w:pPr>
              <w:spacing w:after="100" w:afterAutospacing="1" w:line="360" w:lineRule="auto"/>
              <w:rPr>
                <w:sz w:val="20"/>
                <w:szCs w:val="20"/>
              </w:rPr>
            </w:pPr>
            <w:r w:rsidRPr="00214EFC">
              <w:rPr>
                <w:sz w:val="20"/>
                <w:szCs w:val="20"/>
              </w:rPr>
              <w:t>48</w:t>
            </w:r>
          </w:p>
        </w:tc>
        <w:tc>
          <w:tcPr>
            <w:tcW w:w="670" w:type="dxa"/>
            <w:noWrap/>
            <w:vAlign w:val="center"/>
            <w:hideMark/>
          </w:tcPr>
          <w:p w14:paraId="3DCA70E0" w14:textId="77777777" w:rsidR="00592904" w:rsidRPr="00214EFC" w:rsidRDefault="00592904" w:rsidP="00AA63CD">
            <w:pPr>
              <w:spacing w:after="100" w:afterAutospacing="1" w:line="360" w:lineRule="auto"/>
              <w:rPr>
                <w:sz w:val="20"/>
                <w:szCs w:val="20"/>
              </w:rPr>
            </w:pPr>
            <w:proofErr w:type="spellStart"/>
            <w:r w:rsidRPr="00214EFC">
              <w:rPr>
                <w:sz w:val="20"/>
                <w:szCs w:val="20"/>
              </w:rPr>
              <w:t>wtr</w:t>
            </w:r>
            <w:proofErr w:type="spellEnd"/>
          </w:p>
        </w:tc>
        <w:tc>
          <w:tcPr>
            <w:tcW w:w="2816" w:type="dxa"/>
            <w:noWrap/>
            <w:vAlign w:val="center"/>
            <w:hideMark/>
          </w:tcPr>
          <w:p w14:paraId="1A59282E" w14:textId="77777777" w:rsidR="00592904" w:rsidRPr="00214EFC" w:rsidRDefault="00592904" w:rsidP="00AA63CD">
            <w:pPr>
              <w:spacing w:after="100" w:afterAutospacing="1" w:line="360" w:lineRule="auto"/>
              <w:jc w:val="left"/>
              <w:rPr>
                <w:sz w:val="20"/>
                <w:szCs w:val="20"/>
              </w:rPr>
            </w:pPr>
            <w:r w:rsidRPr="00214EFC">
              <w:rPr>
                <w:sz w:val="20"/>
                <w:szCs w:val="20"/>
              </w:rPr>
              <w:t>Water</w:t>
            </w:r>
          </w:p>
        </w:tc>
        <w:tc>
          <w:tcPr>
            <w:tcW w:w="1688" w:type="dxa"/>
            <w:noWrap/>
            <w:vAlign w:val="center"/>
            <w:hideMark/>
          </w:tcPr>
          <w:p w14:paraId="69672847" w14:textId="77777777" w:rsidR="00592904" w:rsidRPr="00214EFC" w:rsidRDefault="00592904" w:rsidP="00AA63CD">
            <w:pPr>
              <w:spacing w:after="100" w:afterAutospacing="1" w:line="360" w:lineRule="auto"/>
              <w:rPr>
                <w:sz w:val="20"/>
                <w:szCs w:val="20"/>
              </w:rPr>
            </w:pPr>
            <w:r w:rsidRPr="00214EFC">
              <w:rPr>
                <w:sz w:val="20"/>
                <w:szCs w:val="20"/>
              </w:rPr>
              <w:t>Water</w:t>
            </w:r>
          </w:p>
        </w:tc>
        <w:tc>
          <w:tcPr>
            <w:tcW w:w="1097" w:type="dxa"/>
            <w:noWrap/>
            <w:vAlign w:val="center"/>
            <w:hideMark/>
          </w:tcPr>
          <w:p w14:paraId="35811525"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vMerge/>
            <w:vAlign w:val="center"/>
            <w:hideMark/>
          </w:tcPr>
          <w:p w14:paraId="3414EEC1" w14:textId="77777777" w:rsidR="00592904" w:rsidRPr="00214EFC" w:rsidRDefault="00592904" w:rsidP="00AA63CD">
            <w:pPr>
              <w:spacing w:after="100" w:afterAutospacing="1" w:line="360" w:lineRule="auto"/>
              <w:jc w:val="left"/>
              <w:rPr>
                <w:sz w:val="20"/>
                <w:szCs w:val="20"/>
              </w:rPr>
            </w:pPr>
          </w:p>
        </w:tc>
      </w:tr>
      <w:tr w:rsidR="00592904" w:rsidRPr="00214EFC" w14:paraId="71A69B30" w14:textId="77777777" w:rsidTr="002179D4">
        <w:trPr>
          <w:trHeight w:val="19"/>
          <w:jc w:val="center"/>
        </w:trPr>
        <w:tc>
          <w:tcPr>
            <w:tcW w:w="646" w:type="dxa"/>
            <w:noWrap/>
            <w:vAlign w:val="center"/>
            <w:hideMark/>
          </w:tcPr>
          <w:p w14:paraId="1553C1BD" w14:textId="77777777" w:rsidR="00592904" w:rsidRPr="00214EFC" w:rsidRDefault="00592904" w:rsidP="00AA63CD">
            <w:pPr>
              <w:spacing w:after="100" w:afterAutospacing="1" w:line="360" w:lineRule="auto"/>
              <w:rPr>
                <w:sz w:val="20"/>
                <w:szCs w:val="20"/>
              </w:rPr>
            </w:pPr>
            <w:r w:rsidRPr="00214EFC">
              <w:rPr>
                <w:sz w:val="20"/>
                <w:szCs w:val="20"/>
              </w:rPr>
              <w:t>49</w:t>
            </w:r>
          </w:p>
        </w:tc>
        <w:tc>
          <w:tcPr>
            <w:tcW w:w="670" w:type="dxa"/>
            <w:noWrap/>
            <w:vAlign w:val="center"/>
            <w:hideMark/>
          </w:tcPr>
          <w:p w14:paraId="493C3B56" w14:textId="77777777" w:rsidR="00592904" w:rsidRPr="00214EFC" w:rsidRDefault="00592904" w:rsidP="00AA63CD">
            <w:pPr>
              <w:spacing w:after="100" w:afterAutospacing="1" w:line="360" w:lineRule="auto"/>
              <w:rPr>
                <w:sz w:val="20"/>
                <w:szCs w:val="20"/>
              </w:rPr>
            </w:pPr>
            <w:proofErr w:type="spellStart"/>
            <w:r w:rsidRPr="00214EFC">
              <w:rPr>
                <w:sz w:val="20"/>
                <w:szCs w:val="20"/>
              </w:rPr>
              <w:t>cns</w:t>
            </w:r>
            <w:proofErr w:type="spellEnd"/>
          </w:p>
        </w:tc>
        <w:tc>
          <w:tcPr>
            <w:tcW w:w="2816" w:type="dxa"/>
            <w:noWrap/>
            <w:vAlign w:val="center"/>
            <w:hideMark/>
          </w:tcPr>
          <w:p w14:paraId="26BD3D9E" w14:textId="77777777" w:rsidR="00592904" w:rsidRPr="00214EFC" w:rsidRDefault="00592904" w:rsidP="00AA63CD">
            <w:pPr>
              <w:spacing w:after="100" w:afterAutospacing="1" w:line="360" w:lineRule="auto"/>
              <w:jc w:val="left"/>
              <w:rPr>
                <w:sz w:val="20"/>
                <w:szCs w:val="20"/>
              </w:rPr>
            </w:pPr>
            <w:r w:rsidRPr="00214EFC">
              <w:rPr>
                <w:sz w:val="20"/>
                <w:szCs w:val="20"/>
              </w:rPr>
              <w:t>Construction</w:t>
            </w:r>
          </w:p>
        </w:tc>
        <w:tc>
          <w:tcPr>
            <w:tcW w:w="1688" w:type="dxa"/>
            <w:noWrap/>
            <w:vAlign w:val="center"/>
            <w:hideMark/>
          </w:tcPr>
          <w:p w14:paraId="44F1950A" w14:textId="77777777" w:rsidR="00592904" w:rsidRPr="00214EFC" w:rsidRDefault="00592904" w:rsidP="00AA63CD">
            <w:pPr>
              <w:spacing w:after="100" w:afterAutospacing="1" w:line="360" w:lineRule="auto"/>
              <w:rPr>
                <w:sz w:val="20"/>
                <w:szCs w:val="20"/>
              </w:rPr>
            </w:pPr>
            <w:r w:rsidRPr="00214EFC">
              <w:rPr>
                <w:sz w:val="20"/>
                <w:szCs w:val="20"/>
              </w:rPr>
              <w:t>Construction</w:t>
            </w:r>
          </w:p>
        </w:tc>
        <w:tc>
          <w:tcPr>
            <w:tcW w:w="1097" w:type="dxa"/>
            <w:noWrap/>
            <w:vAlign w:val="center"/>
            <w:hideMark/>
          </w:tcPr>
          <w:p w14:paraId="02EF74C8"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restart"/>
            <w:vAlign w:val="center"/>
            <w:hideMark/>
          </w:tcPr>
          <w:p w14:paraId="375FCF75" w14:textId="77777777" w:rsidR="00592904" w:rsidRPr="00214EFC" w:rsidRDefault="00592904" w:rsidP="00AA63CD">
            <w:pPr>
              <w:spacing w:after="100" w:afterAutospacing="1" w:line="360" w:lineRule="auto"/>
              <w:jc w:val="left"/>
              <w:rPr>
                <w:sz w:val="20"/>
                <w:szCs w:val="20"/>
              </w:rPr>
            </w:pPr>
            <w:r w:rsidRPr="00214EFC">
              <w:rPr>
                <w:sz w:val="20"/>
                <w:szCs w:val="20"/>
              </w:rPr>
              <w:t xml:space="preserve">Ordinary </w:t>
            </w:r>
            <w:proofErr w:type="spellStart"/>
            <w:r w:rsidRPr="00214EFC">
              <w:rPr>
                <w:sz w:val="20"/>
                <w:szCs w:val="20"/>
              </w:rPr>
              <w:t>setor</w:t>
            </w:r>
            <w:proofErr w:type="spellEnd"/>
          </w:p>
        </w:tc>
      </w:tr>
      <w:tr w:rsidR="00592904" w:rsidRPr="00214EFC" w14:paraId="19BFF7F4" w14:textId="77777777" w:rsidTr="002179D4">
        <w:trPr>
          <w:trHeight w:val="19"/>
          <w:jc w:val="center"/>
        </w:trPr>
        <w:tc>
          <w:tcPr>
            <w:tcW w:w="646" w:type="dxa"/>
            <w:noWrap/>
            <w:vAlign w:val="center"/>
            <w:hideMark/>
          </w:tcPr>
          <w:p w14:paraId="1F9C6F8F" w14:textId="77777777" w:rsidR="00592904" w:rsidRPr="00214EFC" w:rsidRDefault="00592904" w:rsidP="00AA63CD">
            <w:pPr>
              <w:spacing w:after="100" w:afterAutospacing="1" w:line="360" w:lineRule="auto"/>
              <w:rPr>
                <w:sz w:val="20"/>
                <w:szCs w:val="20"/>
              </w:rPr>
            </w:pPr>
            <w:r w:rsidRPr="00214EFC">
              <w:rPr>
                <w:sz w:val="20"/>
                <w:szCs w:val="20"/>
              </w:rPr>
              <w:t>50</w:t>
            </w:r>
          </w:p>
        </w:tc>
        <w:tc>
          <w:tcPr>
            <w:tcW w:w="670" w:type="dxa"/>
            <w:noWrap/>
            <w:vAlign w:val="center"/>
            <w:hideMark/>
          </w:tcPr>
          <w:p w14:paraId="4F7082D0" w14:textId="77777777" w:rsidR="00592904" w:rsidRPr="00214EFC" w:rsidRDefault="00592904" w:rsidP="00AA63CD">
            <w:pPr>
              <w:spacing w:after="100" w:afterAutospacing="1" w:line="360" w:lineRule="auto"/>
              <w:rPr>
                <w:sz w:val="20"/>
                <w:szCs w:val="20"/>
              </w:rPr>
            </w:pPr>
            <w:proofErr w:type="spellStart"/>
            <w:r w:rsidRPr="00214EFC">
              <w:rPr>
                <w:sz w:val="20"/>
                <w:szCs w:val="20"/>
              </w:rPr>
              <w:t>trd</w:t>
            </w:r>
            <w:proofErr w:type="spellEnd"/>
          </w:p>
        </w:tc>
        <w:tc>
          <w:tcPr>
            <w:tcW w:w="2816" w:type="dxa"/>
            <w:noWrap/>
            <w:vAlign w:val="center"/>
            <w:hideMark/>
          </w:tcPr>
          <w:p w14:paraId="2A573271" w14:textId="77777777" w:rsidR="00592904" w:rsidRPr="00214EFC" w:rsidRDefault="00592904" w:rsidP="00AA63CD">
            <w:pPr>
              <w:spacing w:after="100" w:afterAutospacing="1" w:line="360" w:lineRule="auto"/>
              <w:jc w:val="left"/>
              <w:rPr>
                <w:sz w:val="20"/>
                <w:szCs w:val="20"/>
              </w:rPr>
            </w:pPr>
            <w:r w:rsidRPr="00214EFC">
              <w:rPr>
                <w:sz w:val="20"/>
                <w:szCs w:val="20"/>
              </w:rPr>
              <w:t>Trade</w:t>
            </w:r>
          </w:p>
        </w:tc>
        <w:tc>
          <w:tcPr>
            <w:tcW w:w="1688" w:type="dxa"/>
            <w:noWrap/>
            <w:vAlign w:val="center"/>
            <w:hideMark/>
          </w:tcPr>
          <w:p w14:paraId="6E36DA76" w14:textId="77777777" w:rsidR="00592904" w:rsidRPr="00214EFC" w:rsidRDefault="00592904" w:rsidP="00AA63CD">
            <w:pPr>
              <w:spacing w:after="100" w:afterAutospacing="1" w:line="360" w:lineRule="auto"/>
              <w:rPr>
                <w:sz w:val="20"/>
                <w:szCs w:val="20"/>
              </w:rPr>
            </w:pPr>
            <w:r w:rsidRPr="00214EFC">
              <w:rPr>
                <w:sz w:val="20"/>
                <w:szCs w:val="20"/>
              </w:rPr>
              <w:t>Trade</w:t>
            </w:r>
          </w:p>
        </w:tc>
        <w:tc>
          <w:tcPr>
            <w:tcW w:w="1097" w:type="dxa"/>
            <w:noWrap/>
            <w:vAlign w:val="center"/>
            <w:hideMark/>
          </w:tcPr>
          <w:p w14:paraId="4967D0A9"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2EBCBD89" w14:textId="77777777" w:rsidR="00592904" w:rsidRPr="00214EFC" w:rsidRDefault="00592904" w:rsidP="00AA63CD">
            <w:pPr>
              <w:spacing w:after="100" w:afterAutospacing="1" w:line="360" w:lineRule="auto"/>
              <w:jc w:val="left"/>
              <w:rPr>
                <w:sz w:val="20"/>
                <w:szCs w:val="20"/>
              </w:rPr>
            </w:pPr>
          </w:p>
        </w:tc>
      </w:tr>
      <w:tr w:rsidR="00592904" w:rsidRPr="00214EFC" w14:paraId="01B7FE5B" w14:textId="77777777" w:rsidTr="002179D4">
        <w:trPr>
          <w:trHeight w:val="19"/>
          <w:jc w:val="center"/>
        </w:trPr>
        <w:tc>
          <w:tcPr>
            <w:tcW w:w="646" w:type="dxa"/>
            <w:noWrap/>
            <w:vAlign w:val="center"/>
            <w:hideMark/>
          </w:tcPr>
          <w:p w14:paraId="7498148B" w14:textId="77777777" w:rsidR="00592904" w:rsidRPr="00214EFC" w:rsidRDefault="00592904" w:rsidP="00AA63CD">
            <w:pPr>
              <w:spacing w:after="100" w:afterAutospacing="1" w:line="360" w:lineRule="auto"/>
              <w:rPr>
                <w:sz w:val="20"/>
                <w:szCs w:val="20"/>
              </w:rPr>
            </w:pPr>
            <w:r w:rsidRPr="00214EFC">
              <w:rPr>
                <w:sz w:val="20"/>
                <w:szCs w:val="20"/>
              </w:rPr>
              <w:t>51</w:t>
            </w:r>
          </w:p>
        </w:tc>
        <w:tc>
          <w:tcPr>
            <w:tcW w:w="670" w:type="dxa"/>
            <w:noWrap/>
            <w:vAlign w:val="center"/>
            <w:hideMark/>
          </w:tcPr>
          <w:p w14:paraId="09590E96" w14:textId="77777777" w:rsidR="00592904" w:rsidRPr="00214EFC" w:rsidRDefault="00592904" w:rsidP="00AA63CD">
            <w:pPr>
              <w:spacing w:after="100" w:afterAutospacing="1" w:line="360" w:lineRule="auto"/>
              <w:rPr>
                <w:sz w:val="20"/>
                <w:szCs w:val="20"/>
              </w:rPr>
            </w:pPr>
            <w:proofErr w:type="spellStart"/>
            <w:r w:rsidRPr="00214EFC">
              <w:rPr>
                <w:sz w:val="20"/>
                <w:szCs w:val="20"/>
              </w:rPr>
              <w:t>afs</w:t>
            </w:r>
            <w:proofErr w:type="spellEnd"/>
          </w:p>
        </w:tc>
        <w:tc>
          <w:tcPr>
            <w:tcW w:w="2816" w:type="dxa"/>
            <w:noWrap/>
            <w:vAlign w:val="center"/>
            <w:hideMark/>
          </w:tcPr>
          <w:p w14:paraId="38914E29" w14:textId="77777777" w:rsidR="00592904" w:rsidRPr="00214EFC" w:rsidRDefault="00592904" w:rsidP="00AA63CD">
            <w:pPr>
              <w:spacing w:after="100" w:afterAutospacing="1" w:line="360" w:lineRule="auto"/>
              <w:jc w:val="left"/>
              <w:rPr>
                <w:sz w:val="20"/>
                <w:szCs w:val="20"/>
              </w:rPr>
            </w:pPr>
            <w:r w:rsidRPr="00214EFC">
              <w:rPr>
                <w:sz w:val="20"/>
                <w:szCs w:val="20"/>
              </w:rPr>
              <w:t xml:space="preserve">Accommodation, </w:t>
            </w:r>
            <w:proofErr w:type="gramStart"/>
            <w:r w:rsidRPr="00214EFC">
              <w:rPr>
                <w:sz w:val="20"/>
                <w:szCs w:val="20"/>
              </w:rPr>
              <w:t>Food</w:t>
            </w:r>
            <w:proofErr w:type="gramEnd"/>
            <w:r w:rsidRPr="00214EFC">
              <w:rPr>
                <w:sz w:val="20"/>
                <w:szCs w:val="20"/>
              </w:rPr>
              <w:t xml:space="preserve"> and service activities</w:t>
            </w:r>
          </w:p>
        </w:tc>
        <w:tc>
          <w:tcPr>
            <w:tcW w:w="1688" w:type="dxa"/>
            <w:noWrap/>
            <w:vAlign w:val="center"/>
            <w:hideMark/>
          </w:tcPr>
          <w:p w14:paraId="3970412E" w14:textId="77777777" w:rsidR="00592904" w:rsidRPr="00214EFC" w:rsidRDefault="00592904" w:rsidP="00AA63CD">
            <w:pPr>
              <w:spacing w:after="100" w:afterAutospacing="1" w:line="360" w:lineRule="auto"/>
              <w:rPr>
                <w:sz w:val="20"/>
                <w:szCs w:val="20"/>
              </w:rPr>
            </w:pPr>
            <w:r w:rsidRPr="00214EFC">
              <w:rPr>
                <w:sz w:val="20"/>
                <w:szCs w:val="20"/>
              </w:rPr>
              <w:t>Catering</w:t>
            </w:r>
          </w:p>
        </w:tc>
        <w:tc>
          <w:tcPr>
            <w:tcW w:w="1097" w:type="dxa"/>
            <w:noWrap/>
            <w:vAlign w:val="center"/>
            <w:hideMark/>
          </w:tcPr>
          <w:p w14:paraId="228143BA"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540FEB05" w14:textId="77777777" w:rsidR="00592904" w:rsidRPr="00214EFC" w:rsidRDefault="00592904" w:rsidP="00AA63CD">
            <w:pPr>
              <w:spacing w:after="100" w:afterAutospacing="1" w:line="360" w:lineRule="auto"/>
              <w:jc w:val="left"/>
              <w:rPr>
                <w:sz w:val="20"/>
                <w:szCs w:val="20"/>
              </w:rPr>
            </w:pPr>
          </w:p>
        </w:tc>
      </w:tr>
      <w:tr w:rsidR="00592904" w:rsidRPr="00214EFC" w14:paraId="6841B9F0" w14:textId="77777777" w:rsidTr="002179D4">
        <w:trPr>
          <w:trHeight w:val="19"/>
          <w:jc w:val="center"/>
        </w:trPr>
        <w:tc>
          <w:tcPr>
            <w:tcW w:w="646" w:type="dxa"/>
            <w:noWrap/>
            <w:vAlign w:val="center"/>
            <w:hideMark/>
          </w:tcPr>
          <w:p w14:paraId="0AA58CE1" w14:textId="77777777" w:rsidR="00592904" w:rsidRPr="00214EFC" w:rsidRDefault="00592904" w:rsidP="00AA63CD">
            <w:pPr>
              <w:spacing w:after="100" w:afterAutospacing="1" w:line="360" w:lineRule="auto"/>
              <w:rPr>
                <w:sz w:val="20"/>
                <w:szCs w:val="20"/>
              </w:rPr>
            </w:pPr>
            <w:r w:rsidRPr="00214EFC">
              <w:rPr>
                <w:sz w:val="20"/>
                <w:szCs w:val="20"/>
              </w:rPr>
              <w:t>52</w:t>
            </w:r>
          </w:p>
        </w:tc>
        <w:tc>
          <w:tcPr>
            <w:tcW w:w="670" w:type="dxa"/>
            <w:noWrap/>
            <w:vAlign w:val="center"/>
            <w:hideMark/>
          </w:tcPr>
          <w:p w14:paraId="0C1A407A" w14:textId="77777777" w:rsidR="00592904" w:rsidRPr="00214EFC" w:rsidRDefault="00592904" w:rsidP="00AA63CD">
            <w:pPr>
              <w:spacing w:after="100" w:afterAutospacing="1" w:line="360" w:lineRule="auto"/>
              <w:rPr>
                <w:sz w:val="20"/>
                <w:szCs w:val="20"/>
              </w:rPr>
            </w:pPr>
            <w:proofErr w:type="spellStart"/>
            <w:r w:rsidRPr="00214EFC">
              <w:rPr>
                <w:sz w:val="20"/>
                <w:szCs w:val="20"/>
              </w:rPr>
              <w:t>otp</w:t>
            </w:r>
            <w:proofErr w:type="spellEnd"/>
          </w:p>
        </w:tc>
        <w:tc>
          <w:tcPr>
            <w:tcW w:w="2816" w:type="dxa"/>
            <w:noWrap/>
            <w:vAlign w:val="center"/>
            <w:hideMark/>
          </w:tcPr>
          <w:p w14:paraId="66283D49" w14:textId="77777777" w:rsidR="00592904" w:rsidRPr="00214EFC" w:rsidRDefault="00592904" w:rsidP="00AA63CD">
            <w:pPr>
              <w:spacing w:after="100" w:afterAutospacing="1" w:line="360" w:lineRule="auto"/>
              <w:jc w:val="left"/>
              <w:rPr>
                <w:sz w:val="20"/>
                <w:szCs w:val="20"/>
              </w:rPr>
            </w:pPr>
            <w:r w:rsidRPr="00214EFC">
              <w:rPr>
                <w:sz w:val="20"/>
                <w:szCs w:val="20"/>
              </w:rPr>
              <w:t xml:space="preserve">Transport </w:t>
            </w:r>
            <w:proofErr w:type="spellStart"/>
            <w:r w:rsidRPr="00214EFC">
              <w:rPr>
                <w:sz w:val="20"/>
                <w:szCs w:val="20"/>
              </w:rPr>
              <w:t>nec</w:t>
            </w:r>
            <w:proofErr w:type="spellEnd"/>
          </w:p>
        </w:tc>
        <w:tc>
          <w:tcPr>
            <w:tcW w:w="1688" w:type="dxa"/>
            <w:noWrap/>
            <w:vAlign w:val="center"/>
            <w:hideMark/>
          </w:tcPr>
          <w:p w14:paraId="30C3F436" w14:textId="77777777" w:rsidR="00592904" w:rsidRPr="00214EFC" w:rsidRDefault="00592904" w:rsidP="00AA63CD">
            <w:pPr>
              <w:spacing w:after="100" w:afterAutospacing="1" w:line="360" w:lineRule="auto"/>
              <w:rPr>
                <w:sz w:val="20"/>
                <w:szCs w:val="20"/>
              </w:rPr>
            </w:pPr>
            <w:r w:rsidRPr="00214EFC">
              <w:rPr>
                <w:sz w:val="20"/>
                <w:szCs w:val="20"/>
              </w:rPr>
              <w:t>Land transport</w:t>
            </w:r>
          </w:p>
        </w:tc>
        <w:tc>
          <w:tcPr>
            <w:tcW w:w="1097" w:type="dxa"/>
            <w:noWrap/>
            <w:vAlign w:val="center"/>
            <w:hideMark/>
          </w:tcPr>
          <w:p w14:paraId="687C94A1"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0E5EDC9A" w14:textId="77777777" w:rsidR="00592904" w:rsidRPr="00214EFC" w:rsidRDefault="00592904" w:rsidP="00AA63CD">
            <w:pPr>
              <w:spacing w:after="100" w:afterAutospacing="1" w:line="360" w:lineRule="auto"/>
              <w:jc w:val="left"/>
              <w:rPr>
                <w:sz w:val="20"/>
                <w:szCs w:val="20"/>
              </w:rPr>
            </w:pPr>
          </w:p>
        </w:tc>
      </w:tr>
      <w:tr w:rsidR="00592904" w:rsidRPr="00214EFC" w14:paraId="3205FD94" w14:textId="77777777" w:rsidTr="002179D4">
        <w:trPr>
          <w:trHeight w:val="19"/>
          <w:jc w:val="center"/>
        </w:trPr>
        <w:tc>
          <w:tcPr>
            <w:tcW w:w="646" w:type="dxa"/>
            <w:noWrap/>
            <w:vAlign w:val="center"/>
            <w:hideMark/>
          </w:tcPr>
          <w:p w14:paraId="3C871CA8" w14:textId="77777777" w:rsidR="00592904" w:rsidRPr="00214EFC" w:rsidRDefault="00592904" w:rsidP="00AA63CD">
            <w:pPr>
              <w:spacing w:after="100" w:afterAutospacing="1" w:line="360" w:lineRule="auto"/>
              <w:rPr>
                <w:sz w:val="20"/>
                <w:szCs w:val="20"/>
              </w:rPr>
            </w:pPr>
            <w:r w:rsidRPr="00214EFC">
              <w:rPr>
                <w:sz w:val="20"/>
                <w:szCs w:val="20"/>
              </w:rPr>
              <w:t>53</w:t>
            </w:r>
          </w:p>
        </w:tc>
        <w:tc>
          <w:tcPr>
            <w:tcW w:w="670" w:type="dxa"/>
            <w:noWrap/>
            <w:vAlign w:val="center"/>
            <w:hideMark/>
          </w:tcPr>
          <w:p w14:paraId="26632529" w14:textId="77777777" w:rsidR="00592904" w:rsidRPr="00214EFC" w:rsidRDefault="00592904" w:rsidP="00AA63CD">
            <w:pPr>
              <w:spacing w:after="100" w:afterAutospacing="1" w:line="360" w:lineRule="auto"/>
              <w:rPr>
                <w:sz w:val="20"/>
                <w:szCs w:val="20"/>
              </w:rPr>
            </w:pPr>
            <w:proofErr w:type="spellStart"/>
            <w:r w:rsidRPr="00214EFC">
              <w:rPr>
                <w:sz w:val="20"/>
                <w:szCs w:val="20"/>
              </w:rPr>
              <w:t>wtp</w:t>
            </w:r>
            <w:proofErr w:type="spellEnd"/>
          </w:p>
        </w:tc>
        <w:tc>
          <w:tcPr>
            <w:tcW w:w="2816" w:type="dxa"/>
            <w:noWrap/>
            <w:vAlign w:val="center"/>
            <w:hideMark/>
          </w:tcPr>
          <w:p w14:paraId="44955E5A" w14:textId="77777777" w:rsidR="00592904" w:rsidRPr="00214EFC" w:rsidRDefault="00592904" w:rsidP="00AA63CD">
            <w:pPr>
              <w:spacing w:after="100" w:afterAutospacing="1" w:line="360" w:lineRule="auto"/>
              <w:jc w:val="left"/>
              <w:rPr>
                <w:sz w:val="20"/>
                <w:szCs w:val="20"/>
              </w:rPr>
            </w:pPr>
            <w:r w:rsidRPr="00214EFC">
              <w:rPr>
                <w:sz w:val="20"/>
                <w:szCs w:val="20"/>
              </w:rPr>
              <w:t>Water transport</w:t>
            </w:r>
          </w:p>
        </w:tc>
        <w:tc>
          <w:tcPr>
            <w:tcW w:w="1688" w:type="dxa"/>
            <w:noWrap/>
            <w:vAlign w:val="center"/>
            <w:hideMark/>
          </w:tcPr>
          <w:p w14:paraId="31516EF9" w14:textId="77777777" w:rsidR="00592904" w:rsidRPr="00214EFC" w:rsidRDefault="00592904" w:rsidP="00AA63CD">
            <w:pPr>
              <w:spacing w:after="100" w:afterAutospacing="1" w:line="360" w:lineRule="auto"/>
              <w:rPr>
                <w:sz w:val="20"/>
                <w:szCs w:val="20"/>
              </w:rPr>
            </w:pPr>
            <w:r w:rsidRPr="00214EFC">
              <w:rPr>
                <w:sz w:val="20"/>
                <w:szCs w:val="20"/>
              </w:rPr>
              <w:t>Water transport</w:t>
            </w:r>
          </w:p>
        </w:tc>
        <w:tc>
          <w:tcPr>
            <w:tcW w:w="1097" w:type="dxa"/>
            <w:noWrap/>
            <w:vAlign w:val="center"/>
            <w:hideMark/>
          </w:tcPr>
          <w:p w14:paraId="1C1B1CDA"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572E9B3B" w14:textId="77777777" w:rsidR="00592904" w:rsidRPr="00214EFC" w:rsidRDefault="00592904" w:rsidP="00AA63CD">
            <w:pPr>
              <w:spacing w:after="100" w:afterAutospacing="1" w:line="360" w:lineRule="auto"/>
              <w:jc w:val="left"/>
              <w:rPr>
                <w:sz w:val="20"/>
                <w:szCs w:val="20"/>
              </w:rPr>
            </w:pPr>
          </w:p>
        </w:tc>
      </w:tr>
      <w:tr w:rsidR="00592904" w:rsidRPr="00214EFC" w14:paraId="194F7BEB" w14:textId="77777777" w:rsidTr="002179D4">
        <w:trPr>
          <w:trHeight w:val="19"/>
          <w:jc w:val="center"/>
        </w:trPr>
        <w:tc>
          <w:tcPr>
            <w:tcW w:w="646" w:type="dxa"/>
            <w:noWrap/>
            <w:vAlign w:val="center"/>
            <w:hideMark/>
          </w:tcPr>
          <w:p w14:paraId="2ADDD3C2" w14:textId="77777777" w:rsidR="00592904" w:rsidRPr="00214EFC" w:rsidRDefault="00592904" w:rsidP="00AA63CD">
            <w:pPr>
              <w:spacing w:after="100" w:afterAutospacing="1" w:line="360" w:lineRule="auto"/>
              <w:rPr>
                <w:sz w:val="20"/>
                <w:szCs w:val="20"/>
              </w:rPr>
            </w:pPr>
            <w:r w:rsidRPr="00214EFC">
              <w:rPr>
                <w:sz w:val="20"/>
                <w:szCs w:val="20"/>
              </w:rPr>
              <w:t>54</w:t>
            </w:r>
          </w:p>
        </w:tc>
        <w:tc>
          <w:tcPr>
            <w:tcW w:w="670" w:type="dxa"/>
            <w:noWrap/>
            <w:vAlign w:val="center"/>
            <w:hideMark/>
          </w:tcPr>
          <w:p w14:paraId="1B118DC6" w14:textId="77777777" w:rsidR="00592904" w:rsidRPr="00214EFC" w:rsidRDefault="00592904" w:rsidP="00AA63CD">
            <w:pPr>
              <w:spacing w:after="100" w:afterAutospacing="1" w:line="360" w:lineRule="auto"/>
              <w:rPr>
                <w:sz w:val="20"/>
                <w:szCs w:val="20"/>
              </w:rPr>
            </w:pPr>
            <w:proofErr w:type="spellStart"/>
            <w:r w:rsidRPr="00214EFC">
              <w:rPr>
                <w:sz w:val="20"/>
                <w:szCs w:val="20"/>
              </w:rPr>
              <w:t>atp</w:t>
            </w:r>
            <w:proofErr w:type="spellEnd"/>
          </w:p>
        </w:tc>
        <w:tc>
          <w:tcPr>
            <w:tcW w:w="2816" w:type="dxa"/>
            <w:noWrap/>
            <w:vAlign w:val="center"/>
            <w:hideMark/>
          </w:tcPr>
          <w:p w14:paraId="0B78A5AC" w14:textId="77777777" w:rsidR="00592904" w:rsidRPr="00214EFC" w:rsidRDefault="00592904" w:rsidP="00AA63CD">
            <w:pPr>
              <w:spacing w:after="100" w:afterAutospacing="1" w:line="360" w:lineRule="auto"/>
              <w:jc w:val="left"/>
              <w:rPr>
                <w:sz w:val="20"/>
                <w:szCs w:val="20"/>
              </w:rPr>
            </w:pPr>
            <w:r w:rsidRPr="00214EFC">
              <w:rPr>
                <w:sz w:val="20"/>
                <w:szCs w:val="20"/>
              </w:rPr>
              <w:t>Air transport</w:t>
            </w:r>
          </w:p>
        </w:tc>
        <w:tc>
          <w:tcPr>
            <w:tcW w:w="1688" w:type="dxa"/>
            <w:noWrap/>
            <w:vAlign w:val="center"/>
            <w:hideMark/>
          </w:tcPr>
          <w:p w14:paraId="2E786890" w14:textId="77777777" w:rsidR="00592904" w:rsidRPr="00214EFC" w:rsidRDefault="00592904" w:rsidP="00AA63CD">
            <w:pPr>
              <w:spacing w:after="100" w:afterAutospacing="1" w:line="360" w:lineRule="auto"/>
              <w:rPr>
                <w:sz w:val="20"/>
                <w:szCs w:val="20"/>
              </w:rPr>
            </w:pPr>
            <w:r w:rsidRPr="00214EFC">
              <w:rPr>
                <w:sz w:val="20"/>
                <w:szCs w:val="20"/>
              </w:rPr>
              <w:t>Air transport</w:t>
            </w:r>
          </w:p>
        </w:tc>
        <w:tc>
          <w:tcPr>
            <w:tcW w:w="1097" w:type="dxa"/>
            <w:noWrap/>
            <w:vAlign w:val="center"/>
            <w:hideMark/>
          </w:tcPr>
          <w:p w14:paraId="5C50352D"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0C14E986" w14:textId="77777777" w:rsidR="00592904" w:rsidRPr="00214EFC" w:rsidRDefault="00592904" w:rsidP="00AA63CD">
            <w:pPr>
              <w:spacing w:after="100" w:afterAutospacing="1" w:line="360" w:lineRule="auto"/>
              <w:jc w:val="left"/>
              <w:rPr>
                <w:sz w:val="20"/>
                <w:szCs w:val="20"/>
              </w:rPr>
            </w:pPr>
          </w:p>
        </w:tc>
      </w:tr>
      <w:tr w:rsidR="00592904" w:rsidRPr="00214EFC" w14:paraId="327FDBBE" w14:textId="77777777" w:rsidTr="002179D4">
        <w:trPr>
          <w:trHeight w:val="19"/>
          <w:jc w:val="center"/>
        </w:trPr>
        <w:tc>
          <w:tcPr>
            <w:tcW w:w="646" w:type="dxa"/>
            <w:noWrap/>
            <w:vAlign w:val="center"/>
            <w:hideMark/>
          </w:tcPr>
          <w:p w14:paraId="1951AFBB" w14:textId="77777777" w:rsidR="00592904" w:rsidRPr="00214EFC" w:rsidRDefault="00592904" w:rsidP="00AA63CD">
            <w:pPr>
              <w:spacing w:after="100" w:afterAutospacing="1" w:line="360" w:lineRule="auto"/>
              <w:rPr>
                <w:sz w:val="20"/>
                <w:szCs w:val="20"/>
              </w:rPr>
            </w:pPr>
            <w:r w:rsidRPr="00214EFC">
              <w:rPr>
                <w:sz w:val="20"/>
                <w:szCs w:val="20"/>
              </w:rPr>
              <w:t>55</w:t>
            </w:r>
          </w:p>
        </w:tc>
        <w:tc>
          <w:tcPr>
            <w:tcW w:w="670" w:type="dxa"/>
            <w:noWrap/>
            <w:vAlign w:val="center"/>
            <w:hideMark/>
          </w:tcPr>
          <w:p w14:paraId="6DCF45BD" w14:textId="77777777" w:rsidR="00592904" w:rsidRPr="00214EFC" w:rsidRDefault="00592904" w:rsidP="00AA63CD">
            <w:pPr>
              <w:spacing w:after="100" w:afterAutospacing="1" w:line="360" w:lineRule="auto"/>
              <w:rPr>
                <w:sz w:val="20"/>
                <w:szCs w:val="20"/>
              </w:rPr>
            </w:pPr>
            <w:proofErr w:type="spellStart"/>
            <w:r w:rsidRPr="00214EFC">
              <w:rPr>
                <w:sz w:val="20"/>
                <w:szCs w:val="20"/>
              </w:rPr>
              <w:t>whs</w:t>
            </w:r>
            <w:proofErr w:type="spellEnd"/>
          </w:p>
        </w:tc>
        <w:tc>
          <w:tcPr>
            <w:tcW w:w="2816" w:type="dxa"/>
            <w:noWrap/>
            <w:vAlign w:val="center"/>
            <w:hideMark/>
          </w:tcPr>
          <w:p w14:paraId="43B35554" w14:textId="77777777" w:rsidR="00592904" w:rsidRPr="00214EFC" w:rsidRDefault="00592904" w:rsidP="00AA63CD">
            <w:pPr>
              <w:spacing w:after="100" w:afterAutospacing="1" w:line="360" w:lineRule="auto"/>
              <w:jc w:val="left"/>
              <w:rPr>
                <w:sz w:val="20"/>
                <w:szCs w:val="20"/>
              </w:rPr>
            </w:pPr>
            <w:r w:rsidRPr="00214EFC">
              <w:rPr>
                <w:sz w:val="20"/>
                <w:szCs w:val="20"/>
              </w:rPr>
              <w:t>Warehousing and support activities</w:t>
            </w:r>
          </w:p>
        </w:tc>
        <w:tc>
          <w:tcPr>
            <w:tcW w:w="1688" w:type="dxa"/>
            <w:noWrap/>
            <w:vAlign w:val="center"/>
            <w:hideMark/>
          </w:tcPr>
          <w:p w14:paraId="51DD401F" w14:textId="77777777" w:rsidR="00592904" w:rsidRPr="00214EFC" w:rsidRDefault="00592904" w:rsidP="00AA63CD">
            <w:pPr>
              <w:spacing w:after="100" w:afterAutospacing="1" w:line="360" w:lineRule="auto"/>
              <w:rPr>
                <w:sz w:val="20"/>
                <w:szCs w:val="20"/>
              </w:rPr>
            </w:pPr>
            <w:r w:rsidRPr="00214EFC">
              <w:rPr>
                <w:sz w:val="20"/>
                <w:szCs w:val="20"/>
              </w:rPr>
              <w:t>Warehousing</w:t>
            </w:r>
          </w:p>
        </w:tc>
        <w:tc>
          <w:tcPr>
            <w:tcW w:w="1097" w:type="dxa"/>
            <w:noWrap/>
            <w:vAlign w:val="center"/>
            <w:hideMark/>
          </w:tcPr>
          <w:p w14:paraId="2FF1BF7A"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vMerge/>
            <w:vAlign w:val="center"/>
            <w:hideMark/>
          </w:tcPr>
          <w:p w14:paraId="684B7978" w14:textId="77777777" w:rsidR="00592904" w:rsidRPr="00214EFC" w:rsidRDefault="00592904" w:rsidP="00AA63CD">
            <w:pPr>
              <w:spacing w:after="100" w:afterAutospacing="1" w:line="360" w:lineRule="auto"/>
              <w:jc w:val="left"/>
              <w:rPr>
                <w:sz w:val="20"/>
                <w:szCs w:val="20"/>
              </w:rPr>
            </w:pPr>
          </w:p>
        </w:tc>
      </w:tr>
      <w:tr w:rsidR="00592904" w:rsidRPr="00214EFC" w14:paraId="278912C0" w14:textId="77777777" w:rsidTr="002179D4">
        <w:trPr>
          <w:trHeight w:val="19"/>
          <w:jc w:val="center"/>
        </w:trPr>
        <w:tc>
          <w:tcPr>
            <w:tcW w:w="646" w:type="dxa"/>
            <w:noWrap/>
            <w:vAlign w:val="center"/>
            <w:hideMark/>
          </w:tcPr>
          <w:p w14:paraId="6E1DD81F" w14:textId="77777777" w:rsidR="00592904" w:rsidRPr="00214EFC" w:rsidRDefault="00592904" w:rsidP="00AA63CD">
            <w:pPr>
              <w:spacing w:after="100" w:afterAutospacing="1" w:line="360" w:lineRule="auto"/>
              <w:rPr>
                <w:sz w:val="20"/>
                <w:szCs w:val="20"/>
              </w:rPr>
            </w:pPr>
            <w:r w:rsidRPr="00214EFC">
              <w:rPr>
                <w:sz w:val="20"/>
                <w:szCs w:val="20"/>
              </w:rPr>
              <w:t>56</w:t>
            </w:r>
          </w:p>
        </w:tc>
        <w:tc>
          <w:tcPr>
            <w:tcW w:w="670" w:type="dxa"/>
            <w:noWrap/>
            <w:vAlign w:val="center"/>
            <w:hideMark/>
          </w:tcPr>
          <w:p w14:paraId="09F8FDC6" w14:textId="77777777" w:rsidR="00592904" w:rsidRPr="00214EFC" w:rsidRDefault="00592904" w:rsidP="00AA63CD">
            <w:pPr>
              <w:spacing w:after="100" w:afterAutospacing="1" w:line="360" w:lineRule="auto"/>
              <w:rPr>
                <w:sz w:val="20"/>
                <w:szCs w:val="20"/>
              </w:rPr>
            </w:pPr>
            <w:proofErr w:type="spellStart"/>
            <w:r w:rsidRPr="00214EFC">
              <w:rPr>
                <w:sz w:val="20"/>
                <w:szCs w:val="20"/>
              </w:rPr>
              <w:t>cmn</w:t>
            </w:r>
            <w:proofErr w:type="spellEnd"/>
          </w:p>
        </w:tc>
        <w:tc>
          <w:tcPr>
            <w:tcW w:w="2816" w:type="dxa"/>
            <w:noWrap/>
            <w:vAlign w:val="center"/>
            <w:hideMark/>
          </w:tcPr>
          <w:p w14:paraId="302C469C" w14:textId="77777777" w:rsidR="00592904" w:rsidRPr="00214EFC" w:rsidRDefault="00592904" w:rsidP="00AA63CD">
            <w:pPr>
              <w:spacing w:after="100" w:afterAutospacing="1" w:line="360" w:lineRule="auto"/>
              <w:jc w:val="left"/>
              <w:rPr>
                <w:sz w:val="20"/>
                <w:szCs w:val="20"/>
              </w:rPr>
            </w:pPr>
            <w:r w:rsidRPr="00214EFC">
              <w:rPr>
                <w:sz w:val="20"/>
                <w:szCs w:val="20"/>
              </w:rPr>
              <w:t>Communication</w:t>
            </w:r>
          </w:p>
        </w:tc>
        <w:tc>
          <w:tcPr>
            <w:tcW w:w="1688" w:type="dxa"/>
            <w:noWrap/>
            <w:vAlign w:val="center"/>
            <w:hideMark/>
          </w:tcPr>
          <w:p w14:paraId="2D9D928F" w14:textId="77777777" w:rsidR="00592904" w:rsidRPr="00214EFC" w:rsidRDefault="00592904" w:rsidP="00AA63CD">
            <w:pPr>
              <w:spacing w:after="100" w:afterAutospacing="1" w:line="360" w:lineRule="auto"/>
              <w:rPr>
                <w:sz w:val="20"/>
                <w:szCs w:val="20"/>
              </w:rPr>
            </w:pPr>
            <w:r w:rsidRPr="00214EFC">
              <w:rPr>
                <w:sz w:val="20"/>
                <w:szCs w:val="20"/>
              </w:rPr>
              <w:t>Communication</w:t>
            </w:r>
          </w:p>
        </w:tc>
        <w:tc>
          <w:tcPr>
            <w:tcW w:w="1097" w:type="dxa"/>
            <w:noWrap/>
            <w:vAlign w:val="center"/>
            <w:hideMark/>
          </w:tcPr>
          <w:p w14:paraId="110C4128"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vMerge w:val="restart"/>
            <w:vAlign w:val="center"/>
            <w:hideMark/>
          </w:tcPr>
          <w:p w14:paraId="1E2C60C4" w14:textId="77777777" w:rsidR="00592904" w:rsidRPr="00214EFC" w:rsidRDefault="00592904" w:rsidP="00AA63CD">
            <w:pPr>
              <w:spacing w:after="100" w:afterAutospacing="1" w:line="360" w:lineRule="auto"/>
              <w:jc w:val="left"/>
              <w:rPr>
                <w:sz w:val="20"/>
                <w:szCs w:val="20"/>
              </w:rPr>
            </w:pPr>
            <w:r w:rsidRPr="00214EFC">
              <w:rPr>
                <w:sz w:val="20"/>
                <w:szCs w:val="20"/>
              </w:rPr>
              <w:t xml:space="preserve">Work </w:t>
            </w:r>
            <w:proofErr w:type="gramStart"/>
            <w:r w:rsidRPr="00214EFC">
              <w:rPr>
                <w:sz w:val="20"/>
                <w:szCs w:val="20"/>
              </w:rPr>
              <w:t>on line</w:t>
            </w:r>
            <w:proofErr w:type="gramEnd"/>
          </w:p>
        </w:tc>
      </w:tr>
      <w:tr w:rsidR="00592904" w:rsidRPr="00214EFC" w14:paraId="0E44E2C5" w14:textId="77777777" w:rsidTr="002179D4">
        <w:trPr>
          <w:trHeight w:val="19"/>
          <w:jc w:val="center"/>
        </w:trPr>
        <w:tc>
          <w:tcPr>
            <w:tcW w:w="646" w:type="dxa"/>
            <w:noWrap/>
            <w:vAlign w:val="center"/>
            <w:hideMark/>
          </w:tcPr>
          <w:p w14:paraId="50A11788" w14:textId="77777777" w:rsidR="00592904" w:rsidRPr="00214EFC" w:rsidRDefault="00592904" w:rsidP="00AA63CD">
            <w:pPr>
              <w:spacing w:after="100" w:afterAutospacing="1" w:line="360" w:lineRule="auto"/>
              <w:rPr>
                <w:sz w:val="20"/>
                <w:szCs w:val="20"/>
              </w:rPr>
            </w:pPr>
            <w:r w:rsidRPr="00214EFC">
              <w:rPr>
                <w:sz w:val="20"/>
                <w:szCs w:val="20"/>
              </w:rPr>
              <w:t>57</w:t>
            </w:r>
          </w:p>
        </w:tc>
        <w:tc>
          <w:tcPr>
            <w:tcW w:w="670" w:type="dxa"/>
            <w:noWrap/>
            <w:vAlign w:val="center"/>
            <w:hideMark/>
          </w:tcPr>
          <w:p w14:paraId="4F1096B2" w14:textId="77777777" w:rsidR="00592904" w:rsidRPr="00214EFC" w:rsidRDefault="00592904" w:rsidP="00AA63CD">
            <w:pPr>
              <w:spacing w:after="100" w:afterAutospacing="1" w:line="360" w:lineRule="auto"/>
              <w:rPr>
                <w:sz w:val="20"/>
                <w:szCs w:val="20"/>
              </w:rPr>
            </w:pPr>
            <w:proofErr w:type="spellStart"/>
            <w:r w:rsidRPr="00214EFC">
              <w:rPr>
                <w:sz w:val="20"/>
                <w:szCs w:val="20"/>
              </w:rPr>
              <w:t>ofi</w:t>
            </w:r>
            <w:proofErr w:type="spellEnd"/>
          </w:p>
        </w:tc>
        <w:tc>
          <w:tcPr>
            <w:tcW w:w="2816" w:type="dxa"/>
            <w:noWrap/>
            <w:vAlign w:val="center"/>
            <w:hideMark/>
          </w:tcPr>
          <w:p w14:paraId="4A71FFC8" w14:textId="77777777" w:rsidR="00592904" w:rsidRPr="00214EFC" w:rsidRDefault="00592904" w:rsidP="00AA63CD">
            <w:pPr>
              <w:spacing w:after="100" w:afterAutospacing="1" w:line="360" w:lineRule="auto"/>
              <w:jc w:val="left"/>
              <w:rPr>
                <w:sz w:val="20"/>
                <w:szCs w:val="20"/>
              </w:rPr>
            </w:pPr>
            <w:r w:rsidRPr="00214EFC">
              <w:rPr>
                <w:sz w:val="20"/>
                <w:szCs w:val="20"/>
              </w:rPr>
              <w:t xml:space="preserve">Financial services </w:t>
            </w:r>
            <w:proofErr w:type="spellStart"/>
            <w:r w:rsidRPr="00214EFC">
              <w:rPr>
                <w:sz w:val="20"/>
                <w:szCs w:val="20"/>
              </w:rPr>
              <w:t>nec</w:t>
            </w:r>
            <w:proofErr w:type="spellEnd"/>
          </w:p>
        </w:tc>
        <w:tc>
          <w:tcPr>
            <w:tcW w:w="1688" w:type="dxa"/>
            <w:noWrap/>
            <w:vAlign w:val="center"/>
            <w:hideMark/>
          </w:tcPr>
          <w:p w14:paraId="126E82B0" w14:textId="77777777" w:rsidR="00592904" w:rsidRPr="00214EFC" w:rsidRDefault="00592904" w:rsidP="00AA63CD">
            <w:pPr>
              <w:spacing w:after="100" w:afterAutospacing="1" w:line="360" w:lineRule="auto"/>
              <w:rPr>
                <w:sz w:val="20"/>
                <w:szCs w:val="20"/>
              </w:rPr>
            </w:pPr>
            <w:r w:rsidRPr="00214EFC">
              <w:rPr>
                <w:sz w:val="20"/>
                <w:szCs w:val="20"/>
              </w:rPr>
              <w:t>Finance</w:t>
            </w:r>
          </w:p>
        </w:tc>
        <w:tc>
          <w:tcPr>
            <w:tcW w:w="1097" w:type="dxa"/>
            <w:noWrap/>
            <w:vAlign w:val="center"/>
            <w:hideMark/>
          </w:tcPr>
          <w:p w14:paraId="3498440C"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vMerge/>
            <w:vAlign w:val="center"/>
            <w:hideMark/>
          </w:tcPr>
          <w:p w14:paraId="50775D58" w14:textId="77777777" w:rsidR="00592904" w:rsidRPr="00214EFC" w:rsidRDefault="00592904" w:rsidP="00AA63CD">
            <w:pPr>
              <w:spacing w:after="100" w:afterAutospacing="1" w:line="360" w:lineRule="auto"/>
              <w:jc w:val="left"/>
              <w:rPr>
                <w:sz w:val="20"/>
                <w:szCs w:val="20"/>
              </w:rPr>
            </w:pPr>
          </w:p>
        </w:tc>
      </w:tr>
      <w:tr w:rsidR="00592904" w:rsidRPr="00214EFC" w14:paraId="487A8A36" w14:textId="77777777" w:rsidTr="002179D4">
        <w:trPr>
          <w:trHeight w:val="19"/>
          <w:jc w:val="center"/>
        </w:trPr>
        <w:tc>
          <w:tcPr>
            <w:tcW w:w="646" w:type="dxa"/>
            <w:noWrap/>
            <w:vAlign w:val="center"/>
            <w:hideMark/>
          </w:tcPr>
          <w:p w14:paraId="03BC6554" w14:textId="77777777" w:rsidR="00592904" w:rsidRPr="00214EFC" w:rsidRDefault="00592904" w:rsidP="00AA63CD">
            <w:pPr>
              <w:spacing w:after="100" w:afterAutospacing="1" w:line="360" w:lineRule="auto"/>
              <w:rPr>
                <w:sz w:val="20"/>
                <w:szCs w:val="20"/>
              </w:rPr>
            </w:pPr>
            <w:r w:rsidRPr="00214EFC">
              <w:rPr>
                <w:sz w:val="20"/>
                <w:szCs w:val="20"/>
              </w:rPr>
              <w:t>58</w:t>
            </w:r>
          </w:p>
        </w:tc>
        <w:tc>
          <w:tcPr>
            <w:tcW w:w="670" w:type="dxa"/>
            <w:noWrap/>
            <w:vAlign w:val="center"/>
            <w:hideMark/>
          </w:tcPr>
          <w:p w14:paraId="6D87FF1C" w14:textId="77777777" w:rsidR="00592904" w:rsidRPr="00214EFC" w:rsidRDefault="00592904" w:rsidP="00AA63CD">
            <w:pPr>
              <w:spacing w:after="100" w:afterAutospacing="1" w:line="360" w:lineRule="auto"/>
              <w:rPr>
                <w:sz w:val="20"/>
                <w:szCs w:val="20"/>
              </w:rPr>
            </w:pPr>
            <w:r w:rsidRPr="00214EFC">
              <w:rPr>
                <w:sz w:val="20"/>
                <w:szCs w:val="20"/>
              </w:rPr>
              <w:t>ins</w:t>
            </w:r>
          </w:p>
        </w:tc>
        <w:tc>
          <w:tcPr>
            <w:tcW w:w="2816" w:type="dxa"/>
            <w:noWrap/>
            <w:vAlign w:val="center"/>
            <w:hideMark/>
          </w:tcPr>
          <w:p w14:paraId="1552CCD6" w14:textId="77777777" w:rsidR="00592904" w:rsidRPr="00214EFC" w:rsidRDefault="00592904" w:rsidP="00AA63CD">
            <w:pPr>
              <w:spacing w:after="100" w:afterAutospacing="1" w:line="360" w:lineRule="auto"/>
              <w:jc w:val="left"/>
              <w:rPr>
                <w:sz w:val="20"/>
                <w:szCs w:val="20"/>
              </w:rPr>
            </w:pPr>
            <w:r w:rsidRPr="00214EFC">
              <w:rPr>
                <w:sz w:val="20"/>
                <w:szCs w:val="20"/>
              </w:rPr>
              <w:t>Insurance</w:t>
            </w:r>
          </w:p>
        </w:tc>
        <w:tc>
          <w:tcPr>
            <w:tcW w:w="1688" w:type="dxa"/>
            <w:noWrap/>
            <w:vAlign w:val="center"/>
            <w:hideMark/>
          </w:tcPr>
          <w:p w14:paraId="2488E45E" w14:textId="77777777" w:rsidR="00592904" w:rsidRPr="00214EFC" w:rsidRDefault="00592904" w:rsidP="00AA63CD">
            <w:pPr>
              <w:spacing w:after="100" w:afterAutospacing="1" w:line="360" w:lineRule="auto"/>
              <w:rPr>
                <w:sz w:val="20"/>
                <w:szCs w:val="20"/>
              </w:rPr>
            </w:pPr>
            <w:r w:rsidRPr="00214EFC">
              <w:rPr>
                <w:sz w:val="20"/>
                <w:szCs w:val="20"/>
              </w:rPr>
              <w:t>Insurance</w:t>
            </w:r>
          </w:p>
        </w:tc>
        <w:tc>
          <w:tcPr>
            <w:tcW w:w="1097" w:type="dxa"/>
            <w:noWrap/>
            <w:vAlign w:val="center"/>
            <w:hideMark/>
          </w:tcPr>
          <w:p w14:paraId="32ADAD96"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vMerge/>
            <w:vAlign w:val="center"/>
            <w:hideMark/>
          </w:tcPr>
          <w:p w14:paraId="4BE91940" w14:textId="77777777" w:rsidR="00592904" w:rsidRPr="00214EFC" w:rsidRDefault="00592904" w:rsidP="00AA63CD">
            <w:pPr>
              <w:spacing w:after="100" w:afterAutospacing="1" w:line="360" w:lineRule="auto"/>
              <w:jc w:val="left"/>
              <w:rPr>
                <w:sz w:val="20"/>
                <w:szCs w:val="20"/>
              </w:rPr>
            </w:pPr>
          </w:p>
        </w:tc>
      </w:tr>
      <w:tr w:rsidR="00592904" w:rsidRPr="00214EFC" w14:paraId="763F4D01" w14:textId="77777777" w:rsidTr="002179D4">
        <w:trPr>
          <w:trHeight w:val="19"/>
          <w:jc w:val="center"/>
        </w:trPr>
        <w:tc>
          <w:tcPr>
            <w:tcW w:w="646" w:type="dxa"/>
            <w:noWrap/>
            <w:vAlign w:val="center"/>
            <w:hideMark/>
          </w:tcPr>
          <w:p w14:paraId="20150AEB" w14:textId="77777777" w:rsidR="00592904" w:rsidRPr="00214EFC" w:rsidRDefault="00592904" w:rsidP="00AA63CD">
            <w:pPr>
              <w:spacing w:after="100" w:afterAutospacing="1" w:line="360" w:lineRule="auto"/>
              <w:rPr>
                <w:sz w:val="20"/>
                <w:szCs w:val="20"/>
              </w:rPr>
            </w:pPr>
            <w:r w:rsidRPr="00214EFC">
              <w:rPr>
                <w:sz w:val="20"/>
                <w:szCs w:val="20"/>
              </w:rPr>
              <w:t>59</w:t>
            </w:r>
          </w:p>
        </w:tc>
        <w:tc>
          <w:tcPr>
            <w:tcW w:w="670" w:type="dxa"/>
            <w:noWrap/>
            <w:vAlign w:val="center"/>
            <w:hideMark/>
          </w:tcPr>
          <w:p w14:paraId="62508FEB" w14:textId="77777777" w:rsidR="00592904" w:rsidRPr="00214EFC" w:rsidRDefault="00592904" w:rsidP="00AA63CD">
            <w:pPr>
              <w:spacing w:after="100" w:afterAutospacing="1" w:line="360" w:lineRule="auto"/>
              <w:rPr>
                <w:sz w:val="20"/>
                <w:szCs w:val="20"/>
              </w:rPr>
            </w:pPr>
            <w:proofErr w:type="spellStart"/>
            <w:r w:rsidRPr="00214EFC">
              <w:rPr>
                <w:sz w:val="20"/>
                <w:szCs w:val="20"/>
              </w:rPr>
              <w:t>rsa</w:t>
            </w:r>
            <w:proofErr w:type="spellEnd"/>
          </w:p>
        </w:tc>
        <w:tc>
          <w:tcPr>
            <w:tcW w:w="2816" w:type="dxa"/>
            <w:noWrap/>
            <w:vAlign w:val="center"/>
            <w:hideMark/>
          </w:tcPr>
          <w:p w14:paraId="47AE0D34" w14:textId="77777777" w:rsidR="00592904" w:rsidRPr="00214EFC" w:rsidRDefault="00592904" w:rsidP="00AA63CD">
            <w:pPr>
              <w:spacing w:after="100" w:afterAutospacing="1" w:line="360" w:lineRule="auto"/>
              <w:jc w:val="left"/>
              <w:rPr>
                <w:sz w:val="20"/>
                <w:szCs w:val="20"/>
              </w:rPr>
            </w:pPr>
            <w:r w:rsidRPr="00214EFC">
              <w:rPr>
                <w:sz w:val="20"/>
                <w:szCs w:val="20"/>
              </w:rPr>
              <w:t>Real estate activities</w:t>
            </w:r>
          </w:p>
        </w:tc>
        <w:tc>
          <w:tcPr>
            <w:tcW w:w="1688" w:type="dxa"/>
            <w:noWrap/>
            <w:vAlign w:val="center"/>
            <w:hideMark/>
          </w:tcPr>
          <w:p w14:paraId="7B3D4DC4" w14:textId="77777777" w:rsidR="00592904" w:rsidRPr="00214EFC" w:rsidRDefault="00592904" w:rsidP="00AA63CD">
            <w:pPr>
              <w:spacing w:after="100" w:afterAutospacing="1" w:line="360" w:lineRule="auto"/>
              <w:rPr>
                <w:sz w:val="20"/>
                <w:szCs w:val="20"/>
              </w:rPr>
            </w:pPr>
            <w:r w:rsidRPr="00214EFC">
              <w:rPr>
                <w:sz w:val="20"/>
                <w:szCs w:val="20"/>
              </w:rPr>
              <w:t>Real estate</w:t>
            </w:r>
          </w:p>
        </w:tc>
        <w:tc>
          <w:tcPr>
            <w:tcW w:w="1097" w:type="dxa"/>
            <w:noWrap/>
            <w:vAlign w:val="center"/>
            <w:hideMark/>
          </w:tcPr>
          <w:p w14:paraId="79DD5C26"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vMerge/>
            <w:vAlign w:val="center"/>
            <w:hideMark/>
          </w:tcPr>
          <w:p w14:paraId="3C251910" w14:textId="77777777" w:rsidR="00592904" w:rsidRPr="00214EFC" w:rsidRDefault="00592904" w:rsidP="00AA63CD">
            <w:pPr>
              <w:spacing w:after="100" w:afterAutospacing="1" w:line="360" w:lineRule="auto"/>
              <w:jc w:val="left"/>
              <w:rPr>
                <w:sz w:val="20"/>
                <w:szCs w:val="20"/>
              </w:rPr>
            </w:pPr>
          </w:p>
        </w:tc>
      </w:tr>
      <w:tr w:rsidR="00592904" w:rsidRPr="00214EFC" w14:paraId="49239951" w14:textId="77777777" w:rsidTr="002179D4">
        <w:trPr>
          <w:trHeight w:val="19"/>
          <w:jc w:val="center"/>
        </w:trPr>
        <w:tc>
          <w:tcPr>
            <w:tcW w:w="646" w:type="dxa"/>
            <w:noWrap/>
            <w:vAlign w:val="center"/>
            <w:hideMark/>
          </w:tcPr>
          <w:p w14:paraId="757A2987" w14:textId="77777777" w:rsidR="00592904" w:rsidRPr="00214EFC" w:rsidRDefault="00592904" w:rsidP="00AA63CD">
            <w:pPr>
              <w:spacing w:after="100" w:afterAutospacing="1" w:line="360" w:lineRule="auto"/>
              <w:rPr>
                <w:sz w:val="20"/>
                <w:szCs w:val="20"/>
              </w:rPr>
            </w:pPr>
            <w:r w:rsidRPr="00214EFC">
              <w:rPr>
                <w:sz w:val="20"/>
                <w:szCs w:val="20"/>
              </w:rPr>
              <w:t>60</w:t>
            </w:r>
          </w:p>
        </w:tc>
        <w:tc>
          <w:tcPr>
            <w:tcW w:w="670" w:type="dxa"/>
            <w:noWrap/>
            <w:vAlign w:val="center"/>
            <w:hideMark/>
          </w:tcPr>
          <w:p w14:paraId="6A981E25" w14:textId="77777777" w:rsidR="00592904" w:rsidRPr="00214EFC" w:rsidRDefault="00592904" w:rsidP="00AA63CD">
            <w:pPr>
              <w:spacing w:after="100" w:afterAutospacing="1" w:line="360" w:lineRule="auto"/>
              <w:rPr>
                <w:sz w:val="20"/>
                <w:szCs w:val="20"/>
              </w:rPr>
            </w:pPr>
            <w:proofErr w:type="spellStart"/>
            <w:r w:rsidRPr="00214EFC">
              <w:rPr>
                <w:sz w:val="20"/>
                <w:szCs w:val="20"/>
              </w:rPr>
              <w:t>obs</w:t>
            </w:r>
            <w:proofErr w:type="spellEnd"/>
          </w:p>
        </w:tc>
        <w:tc>
          <w:tcPr>
            <w:tcW w:w="2816" w:type="dxa"/>
            <w:noWrap/>
            <w:vAlign w:val="center"/>
            <w:hideMark/>
          </w:tcPr>
          <w:p w14:paraId="68C96641" w14:textId="77777777" w:rsidR="00592904" w:rsidRPr="00214EFC" w:rsidRDefault="00592904" w:rsidP="00AA63CD">
            <w:pPr>
              <w:spacing w:after="100" w:afterAutospacing="1" w:line="360" w:lineRule="auto"/>
              <w:jc w:val="left"/>
              <w:rPr>
                <w:sz w:val="20"/>
                <w:szCs w:val="20"/>
              </w:rPr>
            </w:pPr>
            <w:r w:rsidRPr="00214EFC">
              <w:rPr>
                <w:sz w:val="20"/>
                <w:szCs w:val="20"/>
              </w:rPr>
              <w:t xml:space="preserve">Business services </w:t>
            </w:r>
            <w:proofErr w:type="spellStart"/>
            <w:r w:rsidRPr="00214EFC">
              <w:rPr>
                <w:sz w:val="20"/>
                <w:szCs w:val="20"/>
              </w:rPr>
              <w:t>nec</w:t>
            </w:r>
            <w:proofErr w:type="spellEnd"/>
          </w:p>
        </w:tc>
        <w:tc>
          <w:tcPr>
            <w:tcW w:w="1688" w:type="dxa"/>
            <w:noWrap/>
            <w:vAlign w:val="center"/>
            <w:hideMark/>
          </w:tcPr>
          <w:p w14:paraId="1164AC46" w14:textId="77777777" w:rsidR="00592904" w:rsidRPr="00214EFC" w:rsidRDefault="00592904" w:rsidP="00AA63CD">
            <w:pPr>
              <w:spacing w:after="100" w:afterAutospacing="1" w:line="360" w:lineRule="auto"/>
              <w:rPr>
                <w:sz w:val="20"/>
                <w:szCs w:val="20"/>
              </w:rPr>
            </w:pPr>
            <w:r w:rsidRPr="00214EFC">
              <w:rPr>
                <w:sz w:val="20"/>
                <w:szCs w:val="20"/>
              </w:rPr>
              <w:t>Business</w:t>
            </w:r>
          </w:p>
        </w:tc>
        <w:tc>
          <w:tcPr>
            <w:tcW w:w="1097" w:type="dxa"/>
            <w:noWrap/>
            <w:vAlign w:val="center"/>
            <w:hideMark/>
          </w:tcPr>
          <w:p w14:paraId="5E31B90B"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vMerge/>
            <w:vAlign w:val="center"/>
            <w:hideMark/>
          </w:tcPr>
          <w:p w14:paraId="3494BD01" w14:textId="77777777" w:rsidR="00592904" w:rsidRPr="00214EFC" w:rsidRDefault="00592904" w:rsidP="00AA63CD">
            <w:pPr>
              <w:spacing w:after="100" w:afterAutospacing="1" w:line="360" w:lineRule="auto"/>
              <w:jc w:val="left"/>
              <w:rPr>
                <w:sz w:val="20"/>
                <w:szCs w:val="20"/>
              </w:rPr>
            </w:pPr>
          </w:p>
        </w:tc>
      </w:tr>
      <w:tr w:rsidR="00592904" w:rsidRPr="00214EFC" w14:paraId="26B9BE7F" w14:textId="77777777" w:rsidTr="002179D4">
        <w:trPr>
          <w:trHeight w:val="19"/>
          <w:jc w:val="center"/>
        </w:trPr>
        <w:tc>
          <w:tcPr>
            <w:tcW w:w="646" w:type="dxa"/>
            <w:noWrap/>
            <w:vAlign w:val="center"/>
            <w:hideMark/>
          </w:tcPr>
          <w:p w14:paraId="75BD9CFA" w14:textId="77777777" w:rsidR="00592904" w:rsidRPr="00214EFC" w:rsidRDefault="00592904" w:rsidP="00AA63CD">
            <w:pPr>
              <w:spacing w:after="100" w:afterAutospacing="1" w:line="360" w:lineRule="auto"/>
              <w:rPr>
                <w:sz w:val="20"/>
                <w:szCs w:val="20"/>
              </w:rPr>
            </w:pPr>
            <w:r w:rsidRPr="00214EFC">
              <w:rPr>
                <w:sz w:val="20"/>
                <w:szCs w:val="20"/>
              </w:rPr>
              <w:lastRenderedPageBreak/>
              <w:t>61</w:t>
            </w:r>
          </w:p>
        </w:tc>
        <w:tc>
          <w:tcPr>
            <w:tcW w:w="670" w:type="dxa"/>
            <w:noWrap/>
            <w:vAlign w:val="center"/>
            <w:hideMark/>
          </w:tcPr>
          <w:p w14:paraId="063C19E3" w14:textId="77777777" w:rsidR="00592904" w:rsidRPr="00214EFC" w:rsidRDefault="00592904" w:rsidP="00AA63CD">
            <w:pPr>
              <w:spacing w:after="100" w:afterAutospacing="1" w:line="360" w:lineRule="auto"/>
              <w:rPr>
                <w:sz w:val="20"/>
                <w:szCs w:val="20"/>
              </w:rPr>
            </w:pPr>
            <w:proofErr w:type="spellStart"/>
            <w:r w:rsidRPr="00214EFC">
              <w:rPr>
                <w:sz w:val="20"/>
                <w:szCs w:val="20"/>
              </w:rPr>
              <w:t>ros</w:t>
            </w:r>
            <w:proofErr w:type="spellEnd"/>
          </w:p>
        </w:tc>
        <w:tc>
          <w:tcPr>
            <w:tcW w:w="2816" w:type="dxa"/>
            <w:noWrap/>
            <w:vAlign w:val="center"/>
            <w:hideMark/>
          </w:tcPr>
          <w:p w14:paraId="4AB9BEB4" w14:textId="77777777" w:rsidR="00592904" w:rsidRPr="00214EFC" w:rsidRDefault="00592904" w:rsidP="00AA63CD">
            <w:pPr>
              <w:spacing w:after="100" w:afterAutospacing="1" w:line="360" w:lineRule="auto"/>
              <w:jc w:val="left"/>
              <w:rPr>
                <w:sz w:val="20"/>
                <w:szCs w:val="20"/>
              </w:rPr>
            </w:pPr>
            <w:r w:rsidRPr="00214EFC">
              <w:rPr>
                <w:sz w:val="20"/>
                <w:szCs w:val="20"/>
              </w:rPr>
              <w:t>Recreational and other services</w:t>
            </w:r>
          </w:p>
        </w:tc>
        <w:tc>
          <w:tcPr>
            <w:tcW w:w="1688" w:type="dxa"/>
            <w:noWrap/>
            <w:vAlign w:val="center"/>
            <w:hideMark/>
          </w:tcPr>
          <w:p w14:paraId="52D5E3CB" w14:textId="77777777" w:rsidR="00592904" w:rsidRPr="00214EFC" w:rsidRDefault="00592904" w:rsidP="00AA63CD">
            <w:pPr>
              <w:spacing w:after="100" w:afterAutospacing="1" w:line="360" w:lineRule="auto"/>
              <w:rPr>
                <w:sz w:val="20"/>
                <w:szCs w:val="20"/>
              </w:rPr>
            </w:pPr>
            <w:r w:rsidRPr="00214EFC">
              <w:rPr>
                <w:sz w:val="20"/>
                <w:szCs w:val="20"/>
              </w:rPr>
              <w:t>Tourism</w:t>
            </w:r>
          </w:p>
        </w:tc>
        <w:tc>
          <w:tcPr>
            <w:tcW w:w="1097" w:type="dxa"/>
            <w:noWrap/>
            <w:vAlign w:val="center"/>
            <w:hideMark/>
          </w:tcPr>
          <w:p w14:paraId="7290CBDE"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noWrap/>
            <w:vAlign w:val="center"/>
            <w:hideMark/>
          </w:tcPr>
          <w:p w14:paraId="37E9FDC8" w14:textId="77777777" w:rsidR="00592904" w:rsidRPr="00214EFC" w:rsidRDefault="00592904" w:rsidP="00AA63CD">
            <w:pPr>
              <w:spacing w:after="100" w:afterAutospacing="1" w:line="360" w:lineRule="auto"/>
              <w:jc w:val="left"/>
              <w:rPr>
                <w:sz w:val="20"/>
                <w:szCs w:val="20"/>
              </w:rPr>
            </w:pPr>
          </w:p>
        </w:tc>
      </w:tr>
      <w:tr w:rsidR="00592904" w:rsidRPr="00214EFC" w14:paraId="28FBC4C0" w14:textId="77777777" w:rsidTr="002179D4">
        <w:trPr>
          <w:trHeight w:val="19"/>
          <w:jc w:val="center"/>
        </w:trPr>
        <w:tc>
          <w:tcPr>
            <w:tcW w:w="646" w:type="dxa"/>
            <w:noWrap/>
            <w:vAlign w:val="center"/>
            <w:hideMark/>
          </w:tcPr>
          <w:p w14:paraId="3ECDC3A3" w14:textId="77777777" w:rsidR="00592904" w:rsidRPr="00214EFC" w:rsidRDefault="00592904" w:rsidP="00AA63CD">
            <w:pPr>
              <w:spacing w:after="100" w:afterAutospacing="1" w:line="360" w:lineRule="auto"/>
              <w:rPr>
                <w:sz w:val="20"/>
                <w:szCs w:val="20"/>
              </w:rPr>
            </w:pPr>
            <w:r w:rsidRPr="00214EFC">
              <w:rPr>
                <w:sz w:val="20"/>
                <w:szCs w:val="20"/>
              </w:rPr>
              <w:t>62</w:t>
            </w:r>
          </w:p>
        </w:tc>
        <w:tc>
          <w:tcPr>
            <w:tcW w:w="670" w:type="dxa"/>
            <w:noWrap/>
            <w:vAlign w:val="center"/>
            <w:hideMark/>
          </w:tcPr>
          <w:p w14:paraId="76D71236" w14:textId="77777777" w:rsidR="00592904" w:rsidRPr="00214EFC" w:rsidRDefault="00592904" w:rsidP="00AA63CD">
            <w:pPr>
              <w:spacing w:after="100" w:afterAutospacing="1" w:line="360" w:lineRule="auto"/>
              <w:rPr>
                <w:sz w:val="20"/>
                <w:szCs w:val="20"/>
              </w:rPr>
            </w:pPr>
            <w:proofErr w:type="spellStart"/>
            <w:r w:rsidRPr="00214EFC">
              <w:rPr>
                <w:sz w:val="20"/>
                <w:szCs w:val="20"/>
              </w:rPr>
              <w:t>osg</w:t>
            </w:r>
            <w:proofErr w:type="spellEnd"/>
          </w:p>
        </w:tc>
        <w:tc>
          <w:tcPr>
            <w:tcW w:w="2816" w:type="dxa"/>
            <w:noWrap/>
            <w:vAlign w:val="center"/>
            <w:hideMark/>
          </w:tcPr>
          <w:p w14:paraId="33E2A531" w14:textId="77777777" w:rsidR="00592904" w:rsidRPr="00214EFC" w:rsidRDefault="00592904" w:rsidP="00AA63CD">
            <w:pPr>
              <w:spacing w:after="100" w:afterAutospacing="1" w:line="360" w:lineRule="auto"/>
              <w:jc w:val="left"/>
              <w:rPr>
                <w:sz w:val="20"/>
                <w:szCs w:val="20"/>
              </w:rPr>
            </w:pPr>
            <w:r w:rsidRPr="00214EFC">
              <w:rPr>
                <w:sz w:val="20"/>
                <w:szCs w:val="20"/>
              </w:rPr>
              <w:t xml:space="preserve">Public Administration and </w:t>
            </w:r>
            <w:proofErr w:type="spellStart"/>
            <w:r w:rsidRPr="00214EFC">
              <w:rPr>
                <w:sz w:val="20"/>
                <w:szCs w:val="20"/>
              </w:rPr>
              <w:t>defense</w:t>
            </w:r>
            <w:proofErr w:type="spellEnd"/>
          </w:p>
        </w:tc>
        <w:tc>
          <w:tcPr>
            <w:tcW w:w="1688" w:type="dxa"/>
            <w:noWrap/>
            <w:vAlign w:val="center"/>
            <w:hideMark/>
          </w:tcPr>
          <w:p w14:paraId="18E82125" w14:textId="77777777" w:rsidR="00592904" w:rsidRPr="00214EFC" w:rsidRDefault="00592904" w:rsidP="00AA63CD">
            <w:pPr>
              <w:spacing w:after="100" w:afterAutospacing="1" w:line="360" w:lineRule="auto"/>
              <w:rPr>
                <w:sz w:val="20"/>
                <w:szCs w:val="20"/>
              </w:rPr>
            </w:pPr>
            <w:r w:rsidRPr="00214EFC">
              <w:rPr>
                <w:sz w:val="20"/>
                <w:szCs w:val="20"/>
              </w:rPr>
              <w:t>Administration</w:t>
            </w:r>
          </w:p>
        </w:tc>
        <w:tc>
          <w:tcPr>
            <w:tcW w:w="1097" w:type="dxa"/>
            <w:noWrap/>
            <w:vAlign w:val="center"/>
            <w:hideMark/>
          </w:tcPr>
          <w:p w14:paraId="1C4C41D7"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noWrap/>
            <w:vAlign w:val="center"/>
            <w:hideMark/>
          </w:tcPr>
          <w:p w14:paraId="34868DD4" w14:textId="77777777" w:rsidR="00592904" w:rsidRPr="00214EFC" w:rsidRDefault="00592904" w:rsidP="00AA63CD">
            <w:pPr>
              <w:spacing w:after="100" w:afterAutospacing="1" w:line="360" w:lineRule="auto"/>
              <w:jc w:val="left"/>
              <w:rPr>
                <w:sz w:val="20"/>
                <w:szCs w:val="20"/>
              </w:rPr>
            </w:pPr>
            <w:r w:rsidRPr="00214EFC">
              <w:rPr>
                <w:sz w:val="20"/>
                <w:szCs w:val="20"/>
              </w:rPr>
              <w:t xml:space="preserve">Special </w:t>
            </w:r>
            <w:proofErr w:type="spellStart"/>
            <w:r w:rsidRPr="00214EFC">
              <w:rPr>
                <w:sz w:val="20"/>
                <w:szCs w:val="20"/>
              </w:rPr>
              <w:t>setor</w:t>
            </w:r>
            <w:proofErr w:type="spellEnd"/>
          </w:p>
        </w:tc>
      </w:tr>
      <w:tr w:rsidR="00592904" w:rsidRPr="00214EFC" w14:paraId="2D648842" w14:textId="77777777" w:rsidTr="002179D4">
        <w:trPr>
          <w:trHeight w:val="19"/>
          <w:jc w:val="center"/>
        </w:trPr>
        <w:tc>
          <w:tcPr>
            <w:tcW w:w="646" w:type="dxa"/>
            <w:noWrap/>
            <w:vAlign w:val="center"/>
            <w:hideMark/>
          </w:tcPr>
          <w:p w14:paraId="5DB7BF35" w14:textId="77777777" w:rsidR="00592904" w:rsidRPr="00214EFC" w:rsidRDefault="00592904" w:rsidP="00AA63CD">
            <w:pPr>
              <w:spacing w:after="100" w:afterAutospacing="1" w:line="360" w:lineRule="auto"/>
              <w:rPr>
                <w:sz w:val="20"/>
                <w:szCs w:val="20"/>
              </w:rPr>
            </w:pPr>
            <w:r w:rsidRPr="00214EFC">
              <w:rPr>
                <w:sz w:val="20"/>
                <w:szCs w:val="20"/>
              </w:rPr>
              <w:t>63</w:t>
            </w:r>
          </w:p>
        </w:tc>
        <w:tc>
          <w:tcPr>
            <w:tcW w:w="670" w:type="dxa"/>
            <w:noWrap/>
            <w:vAlign w:val="center"/>
            <w:hideMark/>
          </w:tcPr>
          <w:p w14:paraId="6D2F3CB4" w14:textId="77777777" w:rsidR="00592904" w:rsidRPr="00214EFC" w:rsidRDefault="00592904" w:rsidP="00AA63CD">
            <w:pPr>
              <w:spacing w:after="100" w:afterAutospacing="1" w:line="360" w:lineRule="auto"/>
              <w:rPr>
                <w:sz w:val="20"/>
                <w:szCs w:val="20"/>
              </w:rPr>
            </w:pPr>
            <w:proofErr w:type="spellStart"/>
            <w:r w:rsidRPr="00214EFC">
              <w:rPr>
                <w:sz w:val="20"/>
                <w:szCs w:val="20"/>
              </w:rPr>
              <w:t>edu</w:t>
            </w:r>
            <w:proofErr w:type="spellEnd"/>
          </w:p>
        </w:tc>
        <w:tc>
          <w:tcPr>
            <w:tcW w:w="2816" w:type="dxa"/>
            <w:noWrap/>
            <w:vAlign w:val="center"/>
            <w:hideMark/>
          </w:tcPr>
          <w:p w14:paraId="4838A72C" w14:textId="77777777" w:rsidR="00592904" w:rsidRPr="00214EFC" w:rsidRDefault="00592904" w:rsidP="00AA63CD">
            <w:pPr>
              <w:spacing w:after="100" w:afterAutospacing="1" w:line="360" w:lineRule="auto"/>
              <w:jc w:val="left"/>
              <w:rPr>
                <w:sz w:val="20"/>
                <w:szCs w:val="20"/>
              </w:rPr>
            </w:pPr>
            <w:r w:rsidRPr="00214EFC">
              <w:rPr>
                <w:sz w:val="20"/>
                <w:szCs w:val="20"/>
              </w:rPr>
              <w:t>Education</w:t>
            </w:r>
          </w:p>
        </w:tc>
        <w:tc>
          <w:tcPr>
            <w:tcW w:w="1688" w:type="dxa"/>
            <w:noWrap/>
            <w:vAlign w:val="center"/>
            <w:hideMark/>
          </w:tcPr>
          <w:p w14:paraId="40721E79" w14:textId="77777777" w:rsidR="00592904" w:rsidRPr="00214EFC" w:rsidRDefault="00592904" w:rsidP="00AA63CD">
            <w:pPr>
              <w:spacing w:after="100" w:afterAutospacing="1" w:line="360" w:lineRule="auto"/>
              <w:rPr>
                <w:sz w:val="20"/>
                <w:szCs w:val="20"/>
              </w:rPr>
            </w:pPr>
            <w:r w:rsidRPr="00214EFC">
              <w:rPr>
                <w:sz w:val="20"/>
                <w:szCs w:val="20"/>
              </w:rPr>
              <w:t>Education</w:t>
            </w:r>
          </w:p>
        </w:tc>
        <w:tc>
          <w:tcPr>
            <w:tcW w:w="1097" w:type="dxa"/>
            <w:noWrap/>
            <w:vAlign w:val="center"/>
            <w:hideMark/>
          </w:tcPr>
          <w:p w14:paraId="7507D97A" w14:textId="77777777" w:rsidR="00592904" w:rsidRPr="00214EFC" w:rsidRDefault="00592904" w:rsidP="00AA63CD">
            <w:pPr>
              <w:spacing w:after="100" w:afterAutospacing="1" w:line="360" w:lineRule="auto"/>
              <w:rPr>
                <w:sz w:val="20"/>
                <w:szCs w:val="20"/>
              </w:rPr>
            </w:pPr>
            <w:r w:rsidRPr="00214EFC">
              <w:rPr>
                <w:sz w:val="20"/>
                <w:szCs w:val="20"/>
              </w:rPr>
              <w:t>0.1</w:t>
            </w:r>
          </w:p>
        </w:tc>
        <w:tc>
          <w:tcPr>
            <w:tcW w:w="1414" w:type="dxa"/>
            <w:noWrap/>
            <w:vAlign w:val="center"/>
            <w:hideMark/>
          </w:tcPr>
          <w:p w14:paraId="492F0F23" w14:textId="77777777" w:rsidR="00592904" w:rsidRPr="00214EFC" w:rsidRDefault="00592904" w:rsidP="00AA63CD">
            <w:pPr>
              <w:spacing w:after="100" w:afterAutospacing="1" w:line="360" w:lineRule="auto"/>
              <w:jc w:val="left"/>
              <w:rPr>
                <w:sz w:val="20"/>
                <w:szCs w:val="20"/>
              </w:rPr>
            </w:pPr>
            <w:r w:rsidRPr="00214EFC">
              <w:rPr>
                <w:sz w:val="20"/>
                <w:szCs w:val="20"/>
              </w:rPr>
              <w:t xml:space="preserve">Work </w:t>
            </w:r>
            <w:proofErr w:type="gramStart"/>
            <w:r w:rsidRPr="00214EFC">
              <w:rPr>
                <w:sz w:val="20"/>
                <w:szCs w:val="20"/>
              </w:rPr>
              <w:t>on line</w:t>
            </w:r>
            <w:proofErr w:type="gramEnd"/>
          </w:p>
        </w:tc>
      </w:tr>
      <w:tr w:rsidR="00592904" w:rsidRPr="00214EFC" w14:paraId="388EB970" w14:textId="77777777" w:rsidTr="002179D4">
        <w:trPr>
          <w:trHeight w:val="19"/>
          <w:jc w:val="center"/>
        </w:trPr>
        <w:tc>
          <w:tcPr>
            <w:tcW w:w="646" w:type="dxa"/>
            <w:noWrap/>
            <w:vAlign w:val="center"/>
            <w:hideMark/>
          </w:tcPr>
          <w:p w14:paraId="04CC1DF4" w14:textId="77777777" w:rsidR="00592904" w:rsidRPr="00214EFC" w:rsidRDefault="00592904" w:rsidP="00AA63CD">
            <w:pPr>
              <w:spacing w:after="100" w:afterAutospacing="1" w:line="360" w:lineRule="auto"/>
              <w:rPr>
                <w:sz w:val="20"/>
                <w:szCs w:val="20"/>
              </w:rPr>
            </w:pPr>
            <w:r w:rsidRPr="00214EFC">
              <w:rPr>
                <w:sz w:val="20"/>
                <w:szCs w:val="20"/>
              </w:rPr>
              <w:t>64</w:t>
            </w:r>
          </w:p>
        </w:tc>
        <w:tc>
          <w:tcPr>
            <w:tcW w:w="670" w:type="dxa"/>
            <w:noWrap/>
            <w:vAlign w:val="center"/>
            <w:hideMark/>
          </w:tcPr>
          <w:p w14:paraId="25A5C22E" w14:textId="77777777" w:rsidR="00592904" w:rsidRPr="00214EFC" w:rsidRDefault="00592904" w:rsidP="00AA63CD">
            <w:pPr>
              <w:spacing w:after="100" w:afterAutospacing="1" w:line="360" w:lineRule="auto"/>
              <w:rPr>
                <w:sz w:val="20"/>
                <w:szCs w:val="20"/>
              </w:rPr>
            </w:pPr>
            <w:proofErr w:type="spellStart"/>
            <w:r w:rsidRPr="00214EFC">
              <w:rPr>
                <w:sz w:val="20"/>
                <w:szCs w:val="20"/>
              </w:rPr>
              <w:t>hht</w:t>
            </w:r>
            <w:proofErr w:type="spellEnd"/>
          </w:p>
        </w:tc>
        <w:tc>
          <w:tcPr>
            <w:tcW w:w="2816" w:type="dxa"/>
            <w:noWrap/>
            <w:vAlign w:val="center"/>
            <w:hideMark/>
          </w:tcPr>
          <w:p w14:paraId="63171C73" w14:textId="77777777" w:rsidR="00592904" w:rsidRPr="00214EFC" w:rsidRDefault="00592904" w:rsidP="00AA63CD">
            <w:pPr>
              <w:spacing w:after="100" w:afterAutospacing="1" w:line="360" w:lineRule="auto"/>
              <w:jc w:val="left"/>
              <w:rPr>
                <w:sz w:val="20"/>
                <w:szCs w:val="20"/>
              </w:rPr>
            </w:pPr>
            <w:r w:rsidRPr="00214EFC">
              <w:rPr>
                <w:sz w:val="20"/>
                <w:szCs w:val="20"/>
              </w:rPr>
              <w:t>Human health and social work activities</w:t>
            </w:r>
          </w:p>
        </w:tc>
        <w:tc>
          <w:tcPr>
            <w:tcW w:w="1688" w:type="dxa"/>
            <w:noWrap/>
            <w:vAlign w:val="center"/>
            <w:hideMark/>
          </w:tcPr>
          <w:p w14:paraId="08AB5B65" w14:textId="77777777" w:rsidR="00592904" w:rsidRPr="00214EFC" w:rsidRDefault="00592904" w:rsidP="00AA63CD">
            <w:pPr>
              <w:spacing w:after="100" w:afterAutospacing="1" w:line="360" w:lineRule="auto"/>
              <w:rPr>
                <w:sz w:val="20"/>
                <w:szCs w:val="20"/>
              </w:rPr>
            </w:pPr>
            <w:r w:rsidRPr="00214EFC">
              <w:rPr>
                <w:sz w:val="20"/>
                <w:szCs w:val="20"/>
              </w:rPr>
              <w:t>Public health</w:t>
            </w:r>
          </w:p>
        </w:tc>
        <w:tc>
          <w:tcPr>
            <w:tcW w:w="1097" w:type="dxa"/>
            <w:noWrap/>
            <w:vAlign w:val="center"/>
            <w:hideMark/>
          </w:tcPr>
          <w:p w14:paraId="30DDEF95" w14:textId="77777777" w:rsidR="00592904" w:rsidRPr="00214EFC" w:rsidRDefault="00592904" w:rsidP="00AA63CD">
            <w:pPr>
              <w:spacing w:after="100" w:afterAutospacing="1" w:line="360" w:lineRule="auto"/>
              <w:rPr>
                <w:sz w:val="20"/>
                <w:szCs w:val="20"/>
              </w:rPr>
            </w:pPr>
            <w:r w:rsidRPr="00214EFC">
              <w:rPr>
                <w:sz w:val="20"/>
                <w:szCs w:val="20"/>
              </w:rPr>
              <w:t>0</w:t>
            </w:r>
          </w:p>
        </w:tc>
        <w:tc>
          <w:tcPr>
            <w:tcW w:w="1414" w:type="dxa"/>
            <w:noWrap/>
            <w:vAlign w:val="center"/>
            <w:hideMark/>
          </w:tcPr>
          <w:p w14:paraId="4D3D0251" w14:textId="77777777" w:rsidR="00592904" w:rsidRPr="00214EFC" w:rsidRDefault="00592904" w:rsidP="00AA63CD">
            <w:pPr>
              <w:spacing w:after="100" w:afterAutospacing="1" w:line="360" w:lineRule="auto"/>
              <w:jc w:val="left"/>
              <w:rPr>
                <w:sz w:val="20"/>
                <w:szCs w:val="20"/>
              </w:rPr>
            </w:pPr>
            <w:r w:rsidRPr="00214EFC">
              <w:rPr>
                <w:sz w:val="20"/>
                <w:szCs w:val="20"/>
              </w:rPr>
              <w:t xml:space="preserve">Special </w:t>
            </w:r>
            <w:proofErr w:type="spellStart"/>
            <w:r w:rsidRPr="00214EFC">
              <w:rPr>
                <w:sz w:val="20"/>
                <w:szCs w:val="20"/>
              </w:rPr>
              <w:t>setor</w:t>
            </w:r>
            <w:proofErr w:type="spellEnd"/>
          </w:p>
        </w:tc>
      </w:tr>
      <w:tr w:rsidR="00592904" w:rsidRPr="00214EFC" w14:paraId="0EF9C8C2" w14:textId="77777777" w:rsidTr="002179D4">
        <w:trPr>
          <w:trHeight w:val="19"/>
          <w:jc w:val="center"/>
        </w:trPr>
        <w:tc>
          <w:tcPr>
            <w:tcW w:w="646" w:type="dxa"/>
            <w:noWrap/>
            <w:vAlign w:val="center"/>
            <w:hideMark/>
          </w:tcPr>
          <w:p w14:paraId="566CD9A0" w14:textId="77777777" w:rsidR="00592904" w:rsidRPr="00214EFC" w:rsidRDefault="00592904" w:rsidP="00AA63CD">
            <w:pPr>
              <w:spacing w:after="100" w:afterAutospacing="1" w:line="360" w:lineRule="auto"/>
              <w:rPr>
                <w:sz w:val="20"/>
                <w:szCs w:val="20"/>
              </w:rPr>
            </w:pPr>
            <w:r w:rsidRPr="00214EFC">
              <w:rPr>
                <w:sz w:val="20"/>
                <w:szCs w:val="20"/>
              </w:rPr>
              <w:t>65</w:t>
            </w:r>
          </w:p>
        </w:tc>
        <w:tc>
          <w:tcPr>
            <w:tcW w:w="670" w:type="dxa"/>
            <w:noWrap/>
            <w:vAlign w:val="center"/>
            <w:hideMark/>
          </w:tcPr>
          <w:p w14:paraId="28E5A418" w14:textId="77777777" w:rsidR="00592904" w:rsidRPr="00214EFC" w:rsidRDefault="00592904" w:rsidP="00AA63CD">
            <w:pPr>
              <w:spacing w:after="100" w:afterAutospacing="1" w:line="360" w:lineRule="auto"/>
              <w:rPr>
                <w:sz w:val="20"/>
                <w:szCs w:val="20"/>
              </w:rPr>
            </w:pPr>
            <w:proofErr w:type="spellStart"/>
            <w:r w:rsidRPr="00214EFC">
              <w:rPr>
                <w:sz w:val="20"/>
                <w:szCs w:val="20"/>
              </w:rPr>
              <w:t>dwe</w:t>
            </w:r>
            <w:proofErr w:type="spellEnd"/>
          </w:p>
        </w:tc>
        <w:tc>
          <w:tcPr>
            <w:tcW w:w="2816" w:type="dxa"/>
            <w:noWrap/>
            <w:vAlign w:val="center"/>
            <w:hideMark/>
          </w:tcPr>
          <w:p w14:paraId="0CD505D0" w14:textId="77777777" w:rsidR="00592904" w:rsidRPr="00214EFC" w:rsidRDefault="00592904" w:rsidP="00AA63CD">
            <w:pPr>
              <w:spacing w:after="100" w:afterAutospacing="1" w:line="360" w:lineRule="auto"/>
              <w:jc w:val="left"/>
              <w:rPr>
                <w:sz w:val="20"/>
                <w:szCs w:val="20"/>
              </w:rPr>
            </w:pPr>
            <w:r w:rsidRPr="00214EFC">
              <w:rPr>
                <w:sz w:val="20"/>
                <w:szCs w:val="20"/>
              </w:rPr>
              <w:t>Dwellings</w:t>
            </w:r>
          </w:p>
        </w:tc>
        <w:tc>
          <w:tcPr>
            <w:tcW w:w="1688" w:type="dxa"/>
            <w:noWrap/>
            <w:vAlign w:val="center"/>
            <w:hideMark/>
          </w:tcPr>
          <w:p w14:paraId="634CAEEA" w14:textId="77777777" w:rsidR="00592904" w:rsidRPr="00214EFC" w:rsidRDefault="00592904" w:rsidP="00AA63CD">
            <w:pPr>
              <w:spacing w:after="100" w:afterAutospacing="1" w:line="360" w:lineRule="auto"/>
              <w:rPr>
                <w:sz w:val="20"/>
                <w:szCs w:val="20"/>
              </w:rPr>
            </w:pPr>
            <w:r w:rsidRPr="00214EFC">
              <w:rPr>
                <w:sz w:val="20"/>
                <w:szCs w:val="20"/>
              </w:rPr>
              <w:t>Dwellings</w:t>
            </w:r>
          </w:p>
        </w:tc>
        <w:tc>
          <w:tcPr>
            <w:tcW w:w="1097" w:type="dxa"/>
            <w:noWrap/>
            <w:vAlign w:val="center"/>
            <w:hideMark/>
          </w:tcPr>
          <w:p w14:paraId="0FDF233F" w14:textId="77777777" w:rsidR="00592904" w:rsidRPr="00214EFC" w:rsidRDefault="00592904" w:rsidP="00AA63CD">
            <w:pPr>
              <w:spacing w:after="100" w:afterAutospacing="1" w:line="360" w:lineRule="auto"/>
              <w:rPr>
                <w:sz w:val="20"/>
                <w:szCs w:val="20"/>
              </w:rPr>
            </w:pPr>
            <w:r w:rsidRPr="00214EFC">
              <w:rPr>
                <w:sz w:val="20"/>
                <w:szCs w:val="20"/>
              </w:rPr>
              <w:t>1</w:t>
            </w:r>
          </w:p>
        </w:tc>
        <w:tc>
          <w:tcPr>
            <w:tcW w:w="1414" w:type="dxa"/>
            <w:noWrap/>
            <w:vAlign w:val="center"/>
            <w:hideMark/>
          </w:tcPr>
          <w:p w14:paraId="7E57F25D" w14:textId="77777777" w:rsidR="00592904" w:rsidRPr="00214EFC" w:rsidRDefault="00592904" w:rsidP="00AA63CD">
            <w:pPr>
              <w:spacing w:after="100" w:afterAutospacing="1" w:line="360" w:lineRule="auto"/>
              <w:jc w:val="left"/>
              <w:rPr>
                <w:sz w:val="20"/>
                <w:szCs w:val="20"/>
              </w:rPr>
            </w:pPr>
            <w:r w:rsidRPr="00214EFC">
              <w:rPr>
                <w:sz w:val="20"/>
                <w:szCs w:val="20"/>
              </w:rPr>
              <w:t xml:space="preserve">Ordinary </w:t>
            </w:r>
            <w:proofErr w:type="spellStart"/>
            <w:r w:rsidRPr="00214EFC">
              <w:rPr>
                <w:sz w:val="20"/>
                <w:szCs w:val="20"/>
              </w:rPr>
              <w:t>setor</w:t>
            </w:r>
            <w:proofErr w:type="spellEnd"/>
          </w:p>
        </w:tc>
      </w:tr>
    </w:tbl>
    <w:p w14:paraId="553FD8AA" w14:textId="77777777" w:rsidR="004877E4" w:rsidRDefault="00592904" w:rsidP="00AA63CD">
      <w:pPr>
        <w:spacing w:after="100" w:afterAutospacing="1" w:line="360" w:lineRule="auto"/>
        <w:rPr>
          <w:i/>
          <w:iCs/>
          <w:sz w:val="21"/>
          <w:szCs w:val="21"/>
        </w:rPr>
      </w:pPr>
      <w:r w:rsidRPr="00214EFC">
        <w:rPr>
          <w:i/>
          <w:iCs/>
          <w:sz w:val="21"/>
          <w:szCs w:val="21"/>
        </w:rPr>
        <w:t>Note: GTAP database classifies agriculture, food, resource extraction, manufacturing, and service activities (65 sectors in total) to describe all economic activities in each country/region. In countries where COVID-19 broke out, the supply of labor will be affected by the epidemic control measures. Isolation measures have different effects on labor supply in different sectors. We set a specific multiplier for each sector based on three factors, i.e., the exposure level of the sector's work, whether it is the lifeline, and whether it is possible to work at home. If a sector's work exposure level is low, or it is the lifeline sector, or it is easy to work at home, its' multiplier will be small, vice versa.</w:t>
      </w:r>
    </w:p>
    <w:p w14:paraId="1E815A94" w14:textId="1B7FBFB3" w:rsidR="000E754D" w:rsidRPr="00A47CE9" w:rsidRDefault="00A35EEE" w:rsidP="00AA63CD">
      <w:pPr>
        <w:pStyle w:val="af7"/>
        <w:numPr>
          <w:ilvl w:val="3"/>
          <w:numId w:val="47"/>
        </w:numPr>
        <w:spacing w:after="100" w:afterAutospacing="1" w:line="360" w:lineRule="auto"/>
        <w:ind w:firstLine="0"/>
        <w:rPr>
          <w:rStyle w:val="revised"/>
          <w:rFonts w:ascii="Times New Roman" w:hAnsi="Times New Roman" w:cs="Times New Roman"/>
          <w:color w:val="auto"/>
          <w:sz w:val="21"/>
          <w:szCs w:val="21"/>
        </w:rPr>
      </w:pPr>
      <w:r w:rsidRPr="00A47CE9">
        <w:rPr>
          <w:rStyle w:val="revised"/>
          <w:rFonts w:ascii="Times New Roman" w:hAnsi="Times New Roman" w:cs="Times New Roman"/>
          <w:color w:val="auto"/>
          <w:sz w:val="21"/>
        </w:rPr>
        <w:t>Strictness of the future lockdown periods (S2)</w:t>
      </w:r>
    </w:p>
    <w:p w14:paraId="7C39C124" w14:textId="68AF5B29" w:rsidR="00A35EEE" w:rsidRPr="00214EFC" w:rsidRDefault="00A35EEE" w:rsidP="00AA63CD">
      <w:pPr>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Considering the learning effects and potential herd immunity, countries might achieve the same control effects of pandemic with weaker strictness in the future periods of lockdown. Therefore, we design three scenarios of the strictness of lockdown in different periods, see</w:t>
      </w:r>
      <w:r w:rsidR="006D7305" w:rsidRPr="00214EFC">
        <w:rPr>
          <w:rStyle w:val="revised"/>
          <w:rFonts w:ascii="Times New Roman" w:hAnsi="Times New Roman" w:cs="Times New Roman"/>
          <w:color w:val="auto"/>
        </w:rPr>
        <w:t xml:space="preserve"> </w:t>
      </w:r>
      <w:r w:rsidR="006D7305" w:rsidRPr="00214EFC">
        <w:rPr>
          <w:rStyle w:val="revised"/>
          <w:rFonts w:ascii="Times New Roman" w:hAnsi="Times New Roman" w:cs="Times New Roman"/>
          <w:color w:val="auto"/>
        </w:rPr>
        <w:fldChar w:fldCharType="begin"/>
      </w:r>
      <w:r w:rsidR="006D7305" w:rsidRPr="00214EFC">
        <w:rPr>
          <w:rStyle w:val="revised"/>
          <w:rFonts w:ascii="Times New Roman" w:hAnsi="Times New Roman" w:cs="Times New Roman"/>
          <w:color w:val="auto"/>
        </w:rPr>
        <w:instrText xml:space="preserve"> REF _Ref51145446 \h </w:instrText>
      </w:r>
      <w:r w:rsidR="00332EE5" w:rsidRPr="00214EFC">
        <w:rPr>
          <w:rStyle w:val="revised"/>
          <w:rFonts w:ascii="Times New Roman" w:hAnsi="Times New Roman" w:cs="Times New Roman"/>
          <w:color w:val="auto"/>
        </w:rPr>
        <w:instrText xml:space="preserve"> \* MERGEFORMAT </w:instrText>
      </w:r>
      <w:r w:rsidR="006D7305" w:rsidRPr="00214EFC">
        <w:rPr>
          <w:rStyle w:val="revised"/>
          <w:rFonts w:ascii="Times New Roman" w:hAnsi="Times New Roman" w:cs="Times New Roman"/>
          <w:color w:val="auto"/>
        </w:rPr>
      </w:r>
      <w:r w:rsidR="006D7305" w:rsidRPr="00214EFC">
        <w:rPr>
          <w:rStyle w:val="revised"/>
          <w:rFonts w:ascii="Times New Roman" w:hAnsi="Times New Roman" w:cs="Times New Roman"/>
          <w:color w:val="auto"/>
        </w:rPr>
        <w:fldChar w:fldCharType="separate"/>
      </w:r>
      <w:r w:rsidR="00E309AB" w:rsidRPr="00214EFC">
        <w:t xml:space="preserve">Table S </w:t>
      </w:r>
      <w:r w:rsidR="00E309AB">
        <w:rPr>
          <w:noProof/>
        </w:rPr>
        <w:t>4</w:t>
      </w:r>
      <w:r w:rsidR="006D7305" w:rsidRPr="00214EFC">
        <w:rPr>
          <w:rStyle w:val="revised"/>
          <w:rFonts w:ascii="Times New Roman" w:hAnsi="Times New Roman" w:cs="Times New Roman"/>
          <w:color w:val="auto"/>
        </w:rPr>
        <w:fldChar w:fldCharType="end"/>
      </w:r>
      <w:r w:rsidRPr="00214EFC">
        <w:rPr>
          <w:rStyle w:val="revised"/>
          <w:rFonts w:ascii="Times New Roman" w:hAnsi="Times New Roman" w:cs="Times New Roman"/>
          <w:color w:val="auto"/>
        </w:rPr>
        <w:t>.</w:t>
      </w:r>
    </w:p>
    <w:p w14:paraId="7C39C125" w14:textId="33546FCF" w:rsidR="00A35EEE" w:rsidRPr="00214EFC" w:rsidRDefault="006D7305" w:rsidP="00AA63CD">
      <w:pPr>
        <w:pStyle w:val="af6"/>
        <w:spacing w:after="100" w:afterAutospacing="1" w:line="360" w:lineRule="auto"/>
        <w:rPr>
          <w:rStyle w:val="revised"/>
          <w:rFonts w:ascii="Times New Roman" w:hAnsi="Times New Roman" w:cs="Times New Roman"/>
          <w:color w:val="auto"/>
        </w:rPr>
      </w:pPr>
      <w:bookmarkStart w:id="20" w:name="_Ref51145446"/>
      <w:r w:rsidRPr="00214EFC">
        <w:t xml:space="preserve">Table S </w:t>
      </w:r>
      <w:fldSimple w:instr=" SEQ Table_S \* ARABIC ">
        <w:r w:rsidR="00A80F2F">
          <w:rPr>
            <w:noProof/>
          </w:rPr>
          <w:t>4</w:t>
        </w:r>
      </w:fldSimple>
      <w:bookmarkEnd w:id="20"/>
      <w:r w:rsidR="00A35EEE" w:rsidRPr="00214EFC">
        <w:rPr>
          <w:rStyle w:val="revised"/>
          <w:rFonts w:ascii="Times New Roman" w:hAnsi="Times New Roman" w:cs="Times New Roman"/>
          <w:color w:val="auto"/>
        </w:rPr>
        <w:t xml:space="preserve"> Scenarios of lockdown strictness</w:t>
      </w:r>
    </w:p>
    <w:tbl>
      <w:tblPr>
        <w:tblStyle w:val="afa"/>
        <w:tblW w:w="8004" w:type="dxa"/>
        <w:tblLook w:val="04A0" w:firstRow="1" w:lastRow="0" w:firstColumn="1" w:lastColumn="0" w:noHBand="0" w:noVBand="1"/>
      </w:tblPr>
      <w:tblGrid>
        <w:gridCol w:w="2127"/>
        <w:gridCol w:w="1862"/>
        <w:gridCol w:w="1862"/>
        <w:gridCol w:w="2153"/>
      </w:tblGrid>
      <w:tr w:rsidR="000F54A7" w:rsidRPr="00214EFC" w14:paraId="7C39C12A" w14:textId="77777777" w:rsidTr="000F54A7">
        <w:tc>
          <w:tcPr>
            <w:tcW w:w="2127" w:type="dxa"/>
            <w:tcBorders>
              <w:top w:val="single" w:sz="12" w:space="0" w:color="000000"/>
              <w:left w:val="nil"/>
              <w:bottom w:val="single" w:sz="8" w:space="0" w:color="000000"/>
              <w:right w:val="nil"/>
            </w:tcBorders>
            <w:shd w:val="clear" w:color="auto" w:fill="auto"/>
          </w:tcPr>
          <w:p w14:paraId="7C39C126"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Period</w:t>
            </w:r>
          </w:p>
        </w:tc>
        <w:tc>
          <w:tcPr>
            <w:tcW w:w="1862" w:type="dxa"/>
            <w:tcBorders>
              <w:top w:val="single" w:sz="12" w:space="0" w:color="000000"/>
              <w:left w:val="nil"/>
              <w:bottom w:val="single" w:sz="8" w:space="0" w:color="000000"/>
              <w:right w:val="nil"/>
            </w:tcBorders>
          </w:tcPr>
          <w:p w14:paraId="4F265BCB" w14:textId="2402437B" w:rsidR="000F54A7"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color w:val="auto"/>
              </w:rPr>
              <w:t>S</w:t>
            </w:r>
            <w:r w:rsidR="00305E0F">
              <w:rPr>
                <w:rStyle w:val="revised"/>
                <w:rFonts w:ascii="Times New Roman" w:hAnsi="Times New Roman" w:cs="Times New Roman"/>
                <w:color w:val="auto"/>
              </w:rPr>
              <w:t>2</w:t>
            </w:r>
            <w:r>
              <w:rPr>
                <w:rStyle w:val="revised"/>
                <w:rFonts w:ascii="Times New Roman" w:hAnsi="Times New Roman" w:cs="Times New Roman" w:hint="eastAsia"/>
                <w:color w:val="auto"/>
                <w:vertAlign w:val="subscript"/>
              </w:rPr>
              <w:t>mild</w:t>
            </w:r>
          </w:p>
        </w:tc>
        <w:tc>
          <w:tcPr>
            <w:tcW w:w="1862" w:type="dxa"/>
            <w:tcBorders>
              <w:top w:val="single" w:sz="12" w:space="0" w:color="000000"/>
              <w:left w:val="nil"/>
              <w:bottom w:val="single" w:sz="8" w:space="0" w:color="000000"/>
              <w:right w:val="nil"/>
            </w:tcBorders>
            <w:shd w:val="clear" w:color="auto" w:fill="auto"/>
          </w:tcPr>
          <w:p w14:paraId="7C39C127" w14:textId="529E6BEE"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color w:val="auto"/>
              </w:rPr>
              <w:t>S</w:t>
            </w:r>
            <w:r w:rsidR="00305E0F">
              <w:rPr>
                <w:rStyle w:val="revised"/>
                <w:rFonts w:ascii="Times New Roman" w:hAnsi="Times New Roman" w:cs="Times New Roman"/>
                <w:color w:val="auto"/>
              </w:rPr>
              <w:t>2</w:t>
            </w:r>
            <w:r>
              <w:rPr>
                <w:rStyle w:val="revised"/>
                <w:rFonts w:ascii="Times New Roman" w:hAnsi="Times New Roman" w:cs="Times New Roman" w:hint="eastAsia"/>
                <w:color w:val="auto"/>
                <w:vertAlign w:val="subscript"/>
              </w:rPr>
              <w:t>def</w:t>
            </w:r>
            <w:r>
              <w:rPr>
                <w:rStyle w:val="revised"/>
                <w:rFonts w:ascii="Times New Roman" w:hAnsi="Times New Roman" w:cs="Times New Roman"/>
                <w:color w:val="auto"/>
                <w:vertAlign w:val="subscript"/>
              </w:rPr>
              <w:t>ault</w:t>
            </w:r>
          </w:p>
        </w:tc>
        <w:tc>
          <w:tcPr>
            <w:tcW w:w="2153" w:type="dxa"/>
            <w:tcBorders>
              <w:top w:val="single" w:sz="12" w:space="0" w:color="000000"/>
              <w:left w:val="nil"/>
              <w:bottom w:val="single" w:sz="8" w:space="0" w:color="000000"/>
              <w:right w:val="nil"/>
            </w:tcBorders>
            <w:shd w:val="clear" w:color="auto" w:fill="auto"/>
          </w:tcPr>
          <w:p w14:paraId="7C39C128" w14:textId="56DC9C3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S</w:t>
            </w:r>
            <w:r w:rsidR="00305E0F">
              <w:rPr>
                <w:rStyle w:val="revised"/>
                <w:rFonts w:ascii="Times New Roman" w:hAnsi="Times New Roman" w:cs="Times New Roman"/>
                <w:color w:val="auto"/>
              </w:rPr>
              <w:t>2</w:t>
            </w:r>
            <w:r>
              <w:rPr>
                <w:rStyle w:val="revised"/>
                <w:rFonts w:ascii="Times New Roman" w:hAnsi="Times New Roman" w:cs="Times New Roman" w:hint="eastAsia"/>
                <w:color w:val="auto"/>
                <w:vertAlign w:val="subscript"/>
              </w:rPr>
              <w:t>severe</w:t>
            </w:r>
          </w:p>
        </w:tc>
      </w:tr>
      <w:tr w:rsidR="000F54A7" w:rsidRPr="00214EFC" w14:paraId="7C39C12F" w14:textId="77777777" w:rsidTr="000F54A7">
        <w:tc>
          <w:tcPr>
            <w:tcW w:w="2127" w:type="dxa"/>
            <w:tcBorders>
              <w:top w:val="single" w:sz="8" w:space="0" w:color="000000"/>
              <w:left w:val="nil"/>
              <w:bottom w:val="nil"/>
              <w:right w:val="nil"/>
            </w:tcBorders>
            <w:shd w:val="clear" w:color="auto" w:fill="auto"/>
          </w:tcPr>
          <w:p w14:paraId="7C39C12B"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period 1</w:t>
            </w:r>
          </w:p>
        </w:tc>
        <w:tc>
          <w:tcPr>
            <w:tcW w:w="1862" w:type="dxa"/>
            <w:tcBorders>
              <w:top w:val="single" w:sz="8" w:space="0" w:color="000000"/>
              <w:left w:val="nil"/>
              <w:bottom w:val="nil"/>
              <w:right w:val="nil"/>
            </w:tcBorders>
          </w:tcPr>
          <w:p w14:paraId="797132E5" w14:textId="19D61B20"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100%</w:t>
            </w:r>
          </w:p>
        </w:tc>
        <w:tc>
          <w:tcPr>
            <w:tcW w:w="1862" w:type="dxa"/>
            <w:tcBorders>
              <w:top w:val="single" w:sz="8" w:space="0" w:color="000000"/>
              <w:left w:val="nil"/>
              <w:bottom w:val="nil"/>
              <w:right w:val="nil"/>
            </w:tcBorders>
            <w:shd w:val="clear" w:color="auto" w:fill="auto"/>
          </w:tcPr>
          <w:p w14:paraId="7C39C12C" w14:textId="47072DB4"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100%</w:t>
            </w:r>
          </w:p>
        </w:tc>
        <w:tc>
          <w:tcPr>
            <w:tcW w:w="2153" w:type="dxa"/>
            <w:tcBorders>
              <w:top w:val="single" w:sz="8" w:space="0" w:color="000000"/>
              <w:left w:val="nil"/>
              <w:bottom w:val="nil"/>
              <w:right w:val="nil"/>
            </w:tcBorders>
            <w:shd w:val="clear" w:color="auto" w:fill="auto"/>
          </w:tcPr>
          <w:p w14:paraId="7C39C12D"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100%</w:t>
            </w:r>
          </w:p>
        </w:tc>
      </w:tr>
      <w:tr w:rsidR="000F54A7" w:rsidRPr="00214EFC" w14:paraId="7C39C134" w14:textId="77777777" w:rsidTr="000F54A7">
        <w:tc>
          <w:tcPr>
            <w:tcW w:w="2127" w:type="dxa"/>
            <w:tcBorders>
              <w:top w:val="nil"/>
              <w:left w:val="nil"/>
              <w:bottom w:val="nil"/>
              <w:right w:val="nil"/>
            </w:tcBorders>
            <w:shd w:val="clear" w:color="auto" w:fill="auto"/>
          </w:tcPr>
          <w:p w14:paraId="7C39C130"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period 2</w:t>
            </w:r>
          </w:p>
        </w:tc>
        <w:tc>
          <w:tcPr>
            <w:tcW w:w="1862" w:type="dxa"/>
            <w:tcBorders>
              <w:top w:val="nil"/>
              <w:left w:val="nil"/>
              <w:bottom w:val="nil"/>
              <w:right w:val="nil"/>
            </w:tcBorders>
          </w:tcPr>
          <w:p w14:paraId="37967199" w14:textId="45DB5E49"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40%</w:t>
            </w:r>
          </w:p>
        </w:tc>
        <w:tc>
          <w:tcPr>
            <w:tcW w:w="1862" w:type="dxa"/>
            <w:tcBorders>
              <w:top w:val="nil"/>
              <w:left w:val="nil"/>
              <w:bottom w:val="nil"/>
              <w:right w:val="nil"/>
            </w:tcBorders>
            <w:shd w:val="clear" w:color="auto" w:fill="auto"/>
          </w:tcPr>
          <w:p w14:paraId="7C39C131" w14:textId="7E1CF2AA"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50%</w:t>
            </w:r>
          </w:p>
        </w:tc>
        <w:tc>
          <w:tcPr>
            <w:tcW w:w="2153" w:type="dxa"/>
            <w:tcBorders>
              <w:top w:val="nil"/>
              <w:left w:val="nil"/>
              <w:bottom w:val="nil"/>
              <w:right w:val="nil"/>
            </w:tcBorders>
            <w:shd w:val="clear" w:color="auto" w:fill="auto"/>
          </w:tcPr>
          <w:p w14:paraId="7C39C132"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60%</w:t>
            </w:r>
          </w:p>
        </w:tc>
      </w:tr>
      <w:tr w:rsidR="000F54A7" w:rsidRPr="00214EFC" w14:paraId="7C39C139" w14:textId="77777777" w:rsidTr="000F54A7">
        <w:tc>
          <w:tcPr>
            <w:tcW w:w="2127" w:type="dxa"/>
            <w:tcBorders>
              <w:top w:val="nil"/>
              <w:left w:val="nil"/>
              <w:bottom w:val="nil"/>
              <w:right w:val="nil"/>
            </w:tcBorders>
            <w:shd w:val="clear" w:color="auto" w:fill="auto"/>
          </w:tcPr>
          <w:p w14:paraId="7C39C135"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period 3</w:t>
            </w:r>
          </w:p>
        </w:tc>
        <w:tc>
          <w:tcPr>
            <w:tcW w:w="1862" w:type="dxa"/>
            <w:tcBorders>
              <w:top w:val="nil"/>
              <w:left w:val="nil"/>
              <w:bottom w:val="nil"/>
              <w:right w:val="nil"/>
            </w:tcBorders>
          </w:tcPr>
          <w:p w14:paraId="47B951E5" w14:textId="16AE57F3"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w:t>
            </w:r>
          </w:p>
        </w:tc>
        <w:tc>
          <w:tcPr>
            <w:tcW w:w="1862" w:type="dxa"/>
            <w:tcBorders>
              <w:top w:val="nil"/>
              <w:left w:val="nil"/>
              <w:bottom w:val="nil"/>
              <w:right w:val="nil"/>
            </w:tcBorders>
            <w:shd w:val="clear" w:color="auto" w:fill="auto"/>
          </w:tcPr>
          <w:p w14:paraId="7C39C136" w14:textId="1C7ECE34"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30%</w:t>
            </w:r>
          </w:p>
        </w:tc>
        <w:tc>
          <w:tcPr>
            <w:tcW w:w="2153" w:type="dxa"/>
            <w:tcBorders>
              <w:top w:val="nil"/>
              <w:left w:val="nil"/>
              <w:bottom w:val="nil"/>
              <w:right w:val="nil"/>
            </w:tcBorders>
            <w:shd w:val="clear" w:color="auto" w:fill="auto"/>
          </w:tcPr>
          <w:p w14:paraId="7C39C137"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40%</w:t>
            </w:r>
          </w:p>
        </w:tc>
      </w:tr>
      <w:tr w:rsidR="000F54A7" w:rsidRPr="00214EFC" w14:paraId="7C39C13E" w14:textId="77777777" w:rsidTr="000F54A7">
        <w:tc>
          <w:tcPr>
            <w:tcW w:w="2127" w:type="dxa"/>
            <w:tcBorders>
              <w:top w:val="nil"/>
              <w:left w:val="nil"/>
              <w:bottom w:val="nil"/>
              <w:right w:val="nil"/>
            </w:tcBorders>
            <w:shd w:val="clear" w:color="auto" w:fill="auto"/>
          </w:tcPr>
          <w:p w14:paraId="7C39C13A"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period 4</w:t>
            </w:r>
          </w:p>
        </w:tc>
        <w:tc>
          <w:tcPr>
            <w:tcW w:w="1862" w:type="dxa"/>
            <w:tcBorders>
              <w:top w:val="nil"/>
              <w:left w:val="nil"/>
              <w:bottom w:val="nil"/>
              <w:right w:val="nil"/>
            </w:tcBorders>
          </w:tcPr>
          <w:p w14:paraId="6F983E43" w14:textId="3970D17B"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w:t>
            </w:r>
          </w:p>
        </w:tc>
        <w:tc>
          <w:tcPr>
            <w:tcW w:w="1862" w:type="dxa"/>
            <w:tcBorders>
              <w:top w:val="nil"/>
              <w:left w:val="nil"/>
              <w:bottom w:val="nil"/>
              <w:right w:val="nil"/>
            </w:tcBorders>
            <w:shd w:val="clear" w:color="auto" w:fill="auto"/>
          </w:tcPr>
          <w:p w14:paraId="7C39C13B" w14:textId="0B58FAC0"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20%</w:t>
            </w:r>
          </w:p>
        </w:tc>
        <w:tc>
          <w:tcPr>
            <w:tcW w:w="2153" w:type="dxa"/>
            <w:tcBorders>
              <w:top w:val="nil"/>
              <w:left w:val="nil"/>
              <w:bottom w:val="nil"/>
              <w:right w:val="nil"/>
            </w:tcBorders>
            <w:shd w:val="clear" w:color="auto" w:fill="auto"/>
          </w:tcPr>
          <w:p w14:paraId="7C39C13C"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30%</w:t>
            </w:r>
          </w:p>
        </w:tc>
      </w:tr>
      <w:tr w:rsidR="000F54A7" w:rsidRPr="00214EFC" w14:paraId="7C39C143" w14:textId="77777777" w:rsidTr="000F54A7">
        <w:tc>
          <w:tcPr>
            <w:tcW w:w="2127" w:type="dxa"/>
            <w:tcBorders>
              <w:top w:val="nil"/>
              <w:left w:val="nil"/>
              <w:bottom w:val="nil"/>
              <w:right w:val="nil"/>
            </w:tcBorders>
            <w:shd w:val="clear" w:color="auto" w:fill="auto"/>
          </w:tcPr>
          <w:p w14:paraId="7C39C13F"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period 5</w:t>
            </w:r>
          </w:p>
        </w:tc>
        <w:tc>
          <w:tcPr>
            <w:tcW w:w="1862" w:type="dxa"/>
            <w:tcBorders>
              <w:top w:val="nil"/>
              <w:left w:val="nil"/>
              <w:bottom w:val="nil"/>
              <w:right w:val="nil"/>
            </w:tcBorders>
          </w:tcPr>
          <w:p w14:paraId="69C2EE1A" w14:textId="38212B1C" w:rsidR="000F54A7"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w:t>
            </w:r>
          </w:p>
        </w:tc>
        <w:tc>
          <w:tcPr>
            <w:tcW w:w="1862" w:type="dxa"/>
            <w:tcBorders>
              <w:top w:val="nil"/>
              <w:left w:val="nil"/>
              <w:bottom w:val="nil"/>
              <w:right w:val="nil"/>
            </w:tcBorders>
            <w:shd w:val="clear" w:color="auto" w:fill="auto"/>
          </w:tcPr>
          <w:p w14:paraId="7C39C140" w14:textId="6861C16B"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color w:val="auto"/>
              </w:rPr>
              <w:t>-</w:t>
            </w:r>
          </w:p>
        </w:tc>
        <w:tc>
          <w:tcPr>
            <w:tcW w:w="2153" w:type="dxa"/>
            <w:tcBorders>
              <w:top w:val="nil"/>
              <w:left w:val="nil"/>
              <w:bottom w:val="nil"/>
              <w:right w:val="nil"/>
            </w:tcBorders>
            <w:shd w:val="clear" w:color="auto" w:fill="auto"/>
          </w:tcPr>
          <w:p w14:paraId="7C39C141"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30%</w:t>
            </w:r>
          </w:p>
        </w:tc>
      </w:tr>
      <w:tr w:rsidR="000F54A7" w:rsidRPr="00214EFC" w14:paraId="7C39C148" w14:textId="77777777" w:rsidTr="000F54A7">
        <w:tc>
          <w:tcPr>
            <w:tcW w:w="2127" w:type="dxa"/>
            <w:tcBorders>
              <w:top w:val="nil"/>
              <w:left w:val="nil"/>
              <w:bottom w:val="nil"/>
              <w:right w:val="nil"/>
            </w:tcBorders>
            <w:shd w:val="clear" w:color="auto" w:fill="auto"/>
          </w:tcPr>
          <w:p w14:paraId="7C39C144"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lastRenderedPageBreak/>
              <w:t>Lockdown period 6</w:t>
            </w:r>
          </w:p>
        </w:tc>
        <w:tc>
          <w:tcPr>
            <w:tcW w:w="1862" w:type="dxa"/>
            <w:tcBorders>
              <w:top w:val="nil"/>
              <w:left w:val="nil"/>
              <w:bottom w:val="nil"/>
              <w:right w:val="nil"/>
            </w:tcBorders>
          </w:tcPr>
          <w:p w14:paraId="5114890D" w14:textId="6B7F9953" w:rsidR="000F54A7"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w:t>
            </w:r>
          </w:p>
        </w:tc>
        <w:tc>
          <w:tcPr>
            <w:tcW w:w="1862" w:type="dxa"/>
            <w:tcBorders>
              <w:top w:val="nil"/>
              <w:left w:val="nil"/>
              <w:bottom w:val="nil"/>
              <w:right w:val="nil"/>
            </w:tcBorders>
            <w:shd w:val="clear" w:color="auto" w:fill="auto"/>
          </w:tcPr>
          <w:p w14:paraId="7C39C145" w14:textId="0946251A"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color w:val="auto"/>
              </w:rPr>
              <w:t>-</w:t>
            </w:r>
          </w:p>
        </w:tc>
        <w:tc>
          <w:tcPr>
            <w:tcW w:w="2153" w:type="dxa"/>
            <w:tcBorders>
              <w:top w:val="nil"/>
              <w:left w:val="nil"/>
              <w:bottom w:val="nil"/>
              <w:right w:val="nil"/>
            </w:tcBorders>
            <w:shd w:val="clear" w:color="auto" w:fill="auto"/>
          </w:tcPr>
          <w:p w14:paraId="7C39C146"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30%</w:t>
            </w:r>
          </w:p>
        </w:tc>
      </w:tr>
      <w:tr w:rsidR="000F54A7" w:rsidRPr="00214EFC" w14:paraId="7C39C14D" w14:textId="77777777" w:rsidTr="000F54A7">
        <w:tc>
          <w:tcPr>
            <w:tcW w:w="2127" w:type="dxa"/>
            <w:tcBorders>
              <w:top w:val="nil"/>
              <w:left w:val="nil"/>
              <w:bottom w:val="nil"/>
              <w:right w:val="nil"/>
            </w:tcBorders>
            <w:shd w:val="clear" w:color="auto" w:fill="auto"/>
          </w:tcPr>
          <w:p w14:paraId="7C39C149"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period 7</w:t>
            </w:r>
          </w:p>
        </w:tc>
        <w:tc>
          <w:tcPr>
            <w:tcW w:w="1862" w:type="dxa"/>
            <w:tcBorders>
              <w:top w:val="nil"/>
              <w:left w:val="nil"/>
              <w:bottom w:val="nil"/>
              <w:right w:val="nil"/>
            </w:tcBorders>
          </w:tcPr>
          <w:p w14:paraId="028DAE20" w14:textId="192A0249" w:rsidR="000F54A7"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w:t>
            </w:r>
          </w:p>
        </w:tc>
        <w:tc>
          <w:tcPr>
            <w:tcW w:w="1862" w:type="dxa"/>
            <w:tcBorders>
              <w:top w:val="nil"/>
              <w:left w:val="nil"/>
              <w:bottom w:val="nil"/>
              <w:right w:val="nil"/>
            </w:tcBorders>
            <w:shd w:val="clear" w:color="auto" w:fill="auto"/>
          </w:tcPr>
          <w:p w14:paraId="7C39C14A" w14:textId="630A1A41"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color w:val="auto"/>
              </w:rPr>
              <w:t>-</w:t>
            </w:r>
          </w:p>
        </w:tc>
        <w:tc>
          <w:tcPr>
            <w:tcW w:w="2153" w:type="dxa"/>
            <w:tcBorders>
              <w:top w:val="nil"/>
              <w:left w:val="nil"/>
              <w:bottom w:val="nil"/>
              <w:right w:val="nil"/>
            </w:tcBorders>
            <w:shd w:val="clear" w:color="auto" w:fill="auto"/>
          </w:tcPr>
          <w:p w14:paraId="7C39C14B"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30%</w:t>
            </w:r>
          </w:p>
        </w:tc>
      </w:tr>
      <w:tr w:rsidR="000F54A7" w:rsidRPr="00214EFC" w14:paraId="7C39C152" w14:textId="77777777" w:rsidTr="000F54A7">
        <w:tc>
          <w:tcPr>
            <w:tcW w:w="2127" w:type="dxa"/>
            <w:tcBorders>
              <w:top w:val="nil"/>
              <w:left w:val="nil"/>
              <w:bottom w:val="single" w:sz="12" w:space="0" w:color="000000"/>
              <w:right w:val="nil"/>
            </w:tcBorders>
            <w:shd w:val="clear" w:color="auto" w:fill="auto"/>
          </w:tcPr>
          <w:p w14:paraId="7C39C14E"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Lockdown period 8</w:t>
            </w:r>
          </w:p>
        </w:tc>
        <w:tc>
          <w:tcPr>
            <w:tcW w:w="1862" w:type="dxa"/>
            <w:tcBorders>
              <w:top w:val="nil"/>
              <w:left w:val="nil"/>
              <w:bottom w:val="single" w:sz="12" w:space="0" w:color="000000"/>
              <w:right w:val="nil"/>
            </w:tcBorders>
          </w:tcPr>
          <w:p w14:paraId="27CE19AB" w14:textId="7BA66B2E" w:rsidR="000F54A7"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hint="eastAsia"/>
                <w:color w:val="auto"/>
              </w:rPr>
              <w:t>-</w:t>
            </w:r>
          </w:p>
        </w:tc>
        <w:tc>
          <w:tcPr>
            <w:tcW w:w="1862" w:type="dxa"/>
            <w:tcBorders>
              <w:top w:val="nil"/>
              <w:left w:val="nil"/>
              <w:bottom w:val="single" w:sz="12" w:space="0" w:color="000000"/>
              <w:right w:val="nil"/>
            </w:tcBorders>
            <w:shd w:val="clear" w:color="auto" w:fill="auto"/>
          </w:tcPr>
          <w:p w14:paraId="7C39C14F" w14:textId="159E183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Pr>
                <w:rStyle w:val="revised"/>
                <w:rFonts w:ascii="Times New Roman" w:hAnsi="Times New Roman" w:cs="Times New Roman"/>
                <w:color w:val="auto"/>
              </w:rPr>
              <w:t>-</w:t>
            </w:r>
          </w:p>
        </w:tc>
        <w:tc>
          <w:tcPr>
            <w:tcW w:w="2153" w:type="dxa"/>
            <w:tcBorders>
              <w:top w:val="nil"/>
              <w:left w:val="nil"/>
              <w:bottom w:val="single" w:sz="12" w:space="0" w:color="000000"/>
              <w:right w:val="nil"/>
            </w:tcBorders>
            <w:shd w:val="clear" w:color="auto" w:fill="auto"/>
          </w:tcPr>
          <w:p w14:paraId="7C39C150" w14:textId="77777777" w:rsidR="000F54A7" w:rsidRPr="00214EFC" w:rsidRDefault="000F54A7" w:rsidP="00AA63CD">
            <w:pPr>
              <w:pStyle w:val="Table"/>
              <w:widowControl w:val="0"/>
              <w:spacing w:after="100" w:afterAutospacing="1" w:line="360" w:lineRule="auto"/>
              <w:rPr>
                <w:rStyle w:val="revised"/>
                <w:rFonts w:ascii="Times New Roman" w:hAnsi="Times New Roman" w:cs="Times New Roman"/>
                <w:color w:val="auto"/>
              </w:rPr>
            </w:pPr>
            <w:r w:rsidRPr="00214EFC">
              <w:rPr>
                <w:rStyle w:val="revised"/>
                <w:rFonts w:ascii="Times New Roman" w:hAnsi="Times New Roman" w:cs="Times New Roman"/>
                <w:color w:val="auto"/>
              </w:rPr>
              <w:t>30%</w:t>
            </w:r>
          </w:p>
        </w:tc>
      </w:tr>
    </w:tbl>
    <w:p w14:paraId="61362844" w14:textId="6608A57D" w:rsidR="002A0A7E" w:rsidRPr="00811FE1" w:rsidRDefault="00A35EEE" w:rsidP="00AA63CD">
      <w:pPr>
        <w:pStyle w:val="note"/>
        <w:spacing w:after="100" w:afterAutospacing="1" w:line="360" w:lineRule="auto"/>
        <w:rPr>
          <w:rStyle w:val="revised"/>
          <w:rFonts w:ascii="Times New Roman" w:hAnsi="Times New Roman" w:cs="Times New Roman"/>
          <w:i/>
          <w:iCs/>
          <w:color w:val="auto"/>
        </w:rPr>
      </w:pPr>
      <w:r w:rsidRPr="00214EFC">
        <w:rPr>
          <w:rStyle w:val="revised"/>
          <w:rFonts w:ascii="Times New Roman" w:hAnsi="Times New Roman" w:cs="Times New Roman"/>
          <w:i/>
          <w:iCs/>
          <w:color w:val="auto"/>
        </w:rPr>
        <w:t>Note: The numbers in the table refer to the percentage of the strictness of lockdown periods to the first lockdown period.</w:t>
      </w:r>
    </w:p>
    <w:p w14:paraId="74185620" w14:textId="5D81BB35" w:rsidR="00647DDE" w:rsidRPr="00504709" w:rsidRDefault="00C94C93" w:rsidP="00AA63CD">
      <w:pPr>
        <w:pStyle w:val="2"/>
        <w:numPr>
          <w:ilvl w:val="1"/>
          <w:numId w:val="47"/>
        </w:numPr>
        <w:spacing w:after="100" w:afterAutospacing="1" w:line="360" w:lineRule="auto"/>
        <w:ind w:firstLine="0"/>
      </w:pPr>
      <w:bookmarkStart w:id="21" w:name="_Ref67687275"/>
      <w:r>
        <w:t xml:space="preserve">Socioeconomic development and </w:t>
      </w:r>
      <w:r w:rsidR="009669F6" w:rsidRPr="009669F6">
        <w:t>CO</w:t>
      </w:r>
      <w:r w:rsidR="009669F6" w:rsidRPr="009669F6">
        <w:rPr>
          <w:vertAlign w:val="subscript"/>
        </w:rPr>
        <w:t>2</w:t>
      </w:r>
      <w:r w:rsidR="006222DD">
        <w:t xml:space="preserve"> </w:t>
      </w:r>
      <w:r w:rsidR="00DD6A02">
        <w:t>e</w:t>
      </w:r>
      <w:r w:rsidR="00647DDE">
        <w:t>mission</w:t>
      </w:r>
      <w:r w:rsidR="006222DD">
        <w:t xml:space="preserve"> </w:t>
      </w:r>
      <w:r>
        <w:t>a</w:t>
      </w:r>
      <w:r w:rsidR="006222DD">
        <w:t>ccounting</w:t>
      </w:r>
      <w:r w:rsidR="00B439FA">
        <w:t xml:space="preserve"> </w:t>
      </w:r>
      <w:r w:rsidR="00DD6A02">
        <w:t>during</w:t>
      </w:r>
      <w:r w:rsidR="00B439FA">
        <w:t xml:space="preserve"> </w:t>
      </w:r>
      <w:r w:rsidR="00EB0F85">
        <w:t>P</w:t>
      </w:r>
      <w:r w:rsidR="00B439FA">
        <w:t>ost-COVID</w:t>
      </w:r>
      <w:r w:rsidR="00EB0F85">
        <w:t xml:space="preserve"> </w:t>
      </w:r>
      <w:r w:rsidR="00DD6A02">
        <w:t>p</w:t>
      </w:r>
      <w:r w:rsidR="00EB0F85">
        <w:t>eriod</w:t>
      </w:r>
      <w:r w:rsidR="00DD6A02">
        <w:t xml:space="preserve"> (2025-2040)</w:t>
      </w:r>
      <w:bookmarkEnd w:id="21"/>
    </w:p>
    <w:p w14:paraId="6CA2B688" w14:textId="40152C19" w:rsidR="00EE352C" w:rsidRPr="00D50F1D" w:rsidRDefault="00EE352C" w:rsidP="00AA63CD">
      <w:pPr>
        <w:pStyle w:val="3"/>
        <w:numPr>
          <w:ilvl w:val="0"/>
          <w:numId w:val="0"/>
        </w:numPr>
        <w:spacing w:after="100" w:afterAutospacing="1" w:line="360" w:lineRule="auto"/>
        <w:ind w:left="720"/>
      </w:pPr>
      <w:bookmarkStart w:id="22" w:name="OLE_LINK32"/>
      <w:bookmarkStart w:id="23" w:name="OLE_LINK33"/>
      <w:r>
        <w:rPr>
          <w:rFonts w:hint="eastAsia"/>
        </w:rPr>
        <w:t>1</w:t>
      </w:r>
      <w:r w:rsidRPr="00D50F1D">
        <w:t xml:space="preserve">.2.1 </w:t>
      </w:r>
      <w:r w:rsidR="009669F6" w:rsidRPr="009669F6">
        <w:t>CO</w:t>
      </w:r>
      <w:r w:rsidR="009669F6" w:rsidRPr="009669F6">
        <w:rPr>
          <w:vertAlign w:val="subscript"/>
        </w:rPr>
        <w:t>2</w:t>
      </w:r>
      <w:r w:rsidR="00F929C2">
        <w:t xml:space="preserve"> e</w:t>
      </w:r>
      <w:r w:rsidRPr="00D50F1D">
        <w:t>mission</w:t>
      </w:r>
      <w:r w:rsidR="00F929C2">
        <w:t>s</w:t>
      </w:r>
      <w:r w:rsidRPr="00D50F1D">
        <w:t xml:space="preserve"> accounting</w:t>
      </w:r>
      <w:r w:rsidR="00F929C2">
        <w:t xml:space="preserve"> for post-COVID era</w:t>
      </w:r>
    </w:p>
    <w:bookmarkEnd w:id="14"/>
    <w:bookmarkEnd w:id="22"/>
    <w:bookmarkEnd w:id="23"/>
    <w:p w14:paraId="7CFFF45E" w14:textId="29BE179F" w:rsidR="00B26EE8" w:rsidRPr="00E309AB" w:rsidRDefault="008F701B" w:rsidP="00AA63CD">
      <w:pPr>
        <w:pStyle w:val="note"/>
        <w:spacing w:after="100" w:afterAutospacing="1" w:line="360" w:lineRule="auto"/>
        <w:rPr>
          <w:rStyle w:val="revised"/>
          <w:rFonts w:ascii="Times New Roman" w:hAnsi="Times New Roman" w:cs="Times New Roman"/>
          <w:color w:val="auto"/>
          <w:sz w:val="21"/>
        </w:rPr>
      </w:pPr>
      <w:r w:rsidRPr="00E309AB">
        <w:rPr>
          <w:rStyle w:val="revised"/>
          <w:rFonts w:ascii="Times New Roman" w:hAnsi="Times New Roman" w:cs="Times New Roman"/>
          <w:color w:val="auto"/>
          <w:sz w:val="21"/>
        </w:rPr>
        <w:t>1.2.</w:t>
      </w:r>
      <w:r>
        <w:rPr>
          <w:rStyle w:val="revised"/>
          <w:rFonts w:ascii="Times New Roman" w:hAnsi="Times New Roman" w:cs="Times New Roman"/>
          <w:color w:val="auto"/>
          <w:sz w:val="21"/>
        </w:rPr>
        <w:t xml:space="preserve">1.1 </w:t>
      </w:r>
      <w:r w:rsidR="00B26EE8" w:rsidRPr="00E309AB">
        <w:rPr>
          <w:rStyle w:val="revised"/>
          <w:rFonts w:ascii="Times New Roman" w:hAnsi="Times New Roman" w:cs="Times New Roman"/>
          <w:color w:val="auto"/>
          <w:sz w:val="21"/>
        </w:rPr>
        <w:t xml:space="preserve">Country-level </w:t>
      </w:r>
      <w:r w:rsidR="009669F6" w:rsidRPr="009669F6">
        <w:rPr>
          <w:rStyle w:val="revised"/>
          <w:rFonts w:ascii="Times New Roman" w:hAnsi="Times New Roman" w:cs="Times New Roman"/>
          <w:color w:val="auto"/>
          <w:sz w:val="21"/>
        </w:rPr>
        <w:t>CO</w:t>
      </w:r>
      <w:r w:rsidR="009669F6" w:rsidRPr="009669F6">
        <w:rPr>
          <w:rStyle w:val="revised"/>
          <w:rFonts w:ascii="Times New Roman" w:hAnsi="Times New Roman" w:cs="Times New Roman"/>
          <w:color w:val="auto"/>
          <w:sz w:val="21"/>
          <w:vertAlign w:val="subscript"/>
        </w:rPr>
        <w:t>2</w:t>
      </w:r>
      <w:r w:rsidR="00B26EE8" w:rsidRPr="00E309AB">
        <w:rPr>
          <w:rStyle w:val="revised"/>
          <w:rFonts w:ascii="Times New Roman" w:hAnsi="Times New Roman" w:cs="Times New Roman"/>
          <w:color w:val="auto"/>
          <w:sz w:val="21"/>
        </w:rPr>
        <w:t xml:space="preserve"> emissions trend under</w:t>
      </w:r>
      <w:r w:rsidR="00D16E33">
        <w:rPr>
          <w:rStyle w:val="revised"/>
          <w:rFonts w:ascii="Times New Roman" w:hAnsi="Times New Roman" w:cs="Times New Roman"/>
          <w:color w:val="auto"/>
          <w:sz w:val="21"/>
        </w:rPr>
        <w:t xml:space="preserve"> the</w:t>
      </w:r>
      <w:r w:rsidR="00B26EE8" w:rsidRPr="00E309AB">
        <w:rPr>
          <w:rStyle w:val="revised"/>
          <w:rFonts w:ascii="Times New Roman" w:hAnsi="Times New Roman" w:cs="Times New Roman"/>
          <w:color w:val="auto"/>
          <w:sz w:val="21"/>
        </w:rPr>
        <w:t xml:space="preserve"> SS</w:t>
      </w:r>
      <w:r w:rsidR="00D16E33">
        <w:rPr>
          <w:rStyle w:val="revised"/>
          <w:rFonts w:ascii="Times New Roman" w:hAnsi="Times New Roman" w:cs="Times New Roman"/>
          <w:color w:val="auto"/>
          <w:sz w:val="21"/>
        </w:rPr>
        <w:t>P2 scenario</w:t>
      </w:r>
      <w:r w:rsidR="00B26EE8" w:rsidRPr="00E309AB">
        <w:rPr>
          <w:rStyle w:val="revised"/>
          <w:rFonts w:ascii="Times New Roman" w:hAnsi="Times New Roman" w:cs="Times New Roman" w:hint="eastAsia"/>
          <w:color w:val="auto"/>
          <w:sz w:val="21"/>
        </w:rPr>
        <w:t>.</w:t>
      </w:r>
    </w:p>
    <w:p w14:paraId="06830391" w14:textId="7F142483" w:rsidR="00B26EE8" w:rsidRPr="00B26EE8" w:rsidRDefault="00B26EE8" w:rsidP="00AA63CD">
      <w:pPr>
        <w:spacing w:after="100" w:afterAutospacing="1" w:line="360" w:lineRule="auto"/>
      </w:pPr>
      <w:r w:rsidRPr="00B26EE8">
        <w:t>T</w:t>
      </w:r>
      <w:r w:rsidRPr="00B26EE8">
        <w:rPr>
          <w:rFonts w:hint="eastAsia"/>
        </w:rPr>
        <w:t>h</w:t>
      </w:r>
      <w:r w:rsidRPr="00B26EE8">
        <w:t xml:space="preserve">e </w:t>
      </w:r>
      <w:r w:rsidR="009669F6" w:rsidRPr="009669F6">
        <w:t>CO</w:t>
      </w:r>
      <w:r w:rsidR="009669F6" w:rsidRPr="009669F6">
        <w:rPr>
          <w:vertAlign w:val="subscript"/>
        </w:rPr>
        <w:t>2</w:t>
      </w:r>
      <w:r w:rsidRPr="00B26EE8">
        <w:t xml:space="preserve"> emissions of countries after the COVID period are </w:t>
      </w:r>
      <w:r w:rsidR="008F701B">
        <w:t>based on the trend of</w:t>
      </w:r>
      <w:r w:rsidRPr="00B26EE8">
        <w:t xml:space="preserve"> </w:t>
      </w:r>
      <w:r w:rsidR="005B0851">
        <w:t xml:space="preserve">SSP2 scenario that developed by </w:t>
      </w:r>
      <w:r w:rsidR="008F701B" w:rsidRPr="00B26EE8">
        <w:t>IIASA</w:t>
      </w:r>
      <w:r w:rsidR="005B0851">
        <w:t>’s</w:t>
      </w:r>
      <w:r w:rsidR="008F701B" w:rsidRPr="00B26EE8">
        <w:t xml:space="preserve"> </w:t>
      </w:r>
      <w:r w:rsidR="008F701B">
        <w:t xml:space="preserve">GAINS </w:t>
      </w:r>
      <w:r w:rsidR="005B0851">
        <w:t>model</w:t>
      </w:r>
      <w:r w:rsidRPr="00B26EE8">
        <w:t xml:space="preserve">. The GAINS model provides </w:t>
      </w:r>
      <w:r w:rsidR="009669F6" w:rsidRPr="009669F6">
        <w:t>CO</w:t>
      </w:r>
      <w:r w:rsidR="009669F6" w:rsidRPr="009669F6">
        <w:rPr>
          <w:vertAlign w:val="subscript"/>
        </w:rPr>
        <w:t>2</w:t>
      </w:r>
      <w:r w:rsidRPr="00B26EE8">
        <w:t xml:space="preserve"> emissions and energy mix projections under the SSP2 scenario (middle of the road, which can be seen as the BAU scenario) up to 2</w:t>
      </w:r>
      <w:r w:rsidR="005B0851">
        <w:t>05</w:t>
      </w:r>
      <w:r w:rsidRPr="00B26EE8">
        <w:t>0</w:t>
      </w:r>
      <w:r w:rsidRPr="00B26EE8">
        <w:fldChar w:fldCharType="begin"/>
      </w:r>
      <w:r w:rsidR="00F90B46">
        <w:instrText xml:space="preserve"> ADDIN ZOTERO_ITEM CSL_CITATION {"citationID":"RIgwWPCT","properties":{"formattedCitation":"\\super 12\\nosupersub{}","plainCitation":"12","noteIndex":0},"citationItems":[{"id":1133,"uris":["http://zotero.org/users/4340498/items/SIJJSZ63"],"uri":["http://zotero.org/users/4340498/items/SIJJSZ63"],"itemData":{"id":1133,"type":"article","title":"Greenhouse Gas - Air Pollution Interactions and Synergies (GAINS) - IEA WEO 2019 SPS/SDS scenarios","URL":"https://gains.iiasa.ac.at/","author":[{"literal":"International Institute for Applied Systems Analysis"}],"issued":{"date-parts":[["2020",6,7]]}}}],"schema":"https://github.com/citation-style-language/schema/raw/master/csl-citation.json"} </w:instrText>
      </w:r>
      <w:r w:rsidRPr="00B26EE8">
        <w:fldChar w:fldCharType="separate"/>
      </w:r>
      <w:r w:rsidR="00F90B46" w:rsidRPr="00F90B46">
        <w:rPr>
          <w:kern w:val="0"/>
          <w:szCs w:val="24"/>
          <w:vertAlign w:val="superscript"/>
        </w:rPr>
        <w:t>12</w:t>
      </w:r>
      <w:r w:rsidRPr="00B26EE8">
        <w:fldChar w:fldCharType="end"/>
      </w:r>
      <w:r w:rsidRPr="00B26EE8">
        <w:t>. However, the GAINS model covers major countries and regions, while some developing countries are aggregated into regions.</w:t>
      </w:r>
      <w:r w:rsidR="008F701B" w:rsidRPr="008F701B">
        <w:t xml:space="preserve"> </w:t>
      </w:r>
      <w:r w:rsidR="005B0851">
        <w:t xml:space="preserve">Therefore, the downscaling is used to estimate </w:t>
      </w:r>
      <w:r w:rsidR="008F701B" w:rsidRPr="00B26EE8">
        <w:t xml:space="preserve">the country-level emissions </w:t>
      </w:r>
      <w:r w:rsidR="005B0851">
        <w:t>according to</w:t>
      </w:r>
      <w:r w:rsidR="008F701B" w:rsidRPr="00B26EE8">
        <w:t xml:space="preserve"> the region-level emissions.</w:t>
      </w:r>
      <w:r w:rsidRPr="00B26EE8">
        <w:t xml:space="preserve"> In this work, we assume that the missing countries share the same growth trend of the aggregated region’s </w:t>
      </w:r>
      <w:r w:rsidR="009669F6" w:rsidRPr="009669F6">
        <w:t>CO</w:t>
      </w:r>
      <w:r w:rsidR="009669F6" w:rsidRPr="009669F6">
        <w:rPr>
          <w:vertAlign w:val="subscript"/>
        </w:rPr>
        <w:t>2</w:t>
      </w:r>
      <w:r w:rsidRPr="00B26EE8">
        <w:t xml:space="preserve"> emissions, and their </w:t>
      </w:r>
      <w:r w:rsidR="009669F6" w:rsidRPr="009669F6">
        <w:t>CO</w:t>
      </w:r>
      <w:r w:rsidR="009669F6" w:rsidRPr="009669F6">
        <w:rPr>
          <w:vertAlign w:val="subscript"/>
        </w:rPr>
        <w:t>2</w:t>
      </w:r>
      <w:r w:rsidRPr="00B26EE8">
        <w:t xml:space="preserve"> emissions in the future are estimated as </w:t>
      </w:r>
      <w:r w:rsidRPr="00B26EE8">
        <w:rPr>
          <w:rFonts w:hint="eastAsia"/>
        </w:rPr>
        <w:t>the</w:t>
      </w:r>
      <w:r w:rsidRPr="00B26EE8">
        <w:t xml:space="preserve"> emissions of the base year overlaying the regional annual growth rate. </w:t>
      </w:r>
    </w:p>
    <w:p w14:paraId="6B2C74E4" w14:textId="6B9D2C9F" w:rsidR="00B26EE8" w:rsidRDefault="00D16E33" w:rsidP="00AA63CD">
      <w:pPr>
        <w:spacing w:after="100" w:afterAutospacing="1" w:line="360" w:lineRule="auto"/>
      </w:pPr>
      <w:bookmarkStart w:id="24" w:name="OLE_LINK38"/>
      <w:bookmarkStart w:id="25" w:name="OLE_LINK39"/>
      <w:r>
        <w:rPr>
          <w:rFonts w:hint="eastAsia"/>
        </w:rPr>
        <w:t>1</w:t>
      </w:r>
      <w:r>
        <w:t xml:space="preserve">.2.1.2 Updating </w:t>
      </w:r>
      <w:r w:rsidR="009669F6" w:rsidRPr="009669F6">
        <w:t>CO</w:t>
      </w:r>
      <w:r w:rsidR="009669F6" w:rsidRPr="009669F6">
        <w:rPr>
          <w:vertAlign w:val="subscript"/>
        </w:rPr>
        <w:t>2</w:t>
      </w:r>
      <w:r>
        <w:t xml:space="preserve"> emissions with historical data.</w:t>
      </w:r>
    </w:p>
    <w:p w14:paraId="2644FC3A" w14:textId="6DD1E245" w:rsidR="00D16E33" w:rsidRDefault="00BE3FCD" w:rsidP="00AA63CD">
      <w:pPr>
        <w:spacing w:after="100" w:afterAutospacing="1" w:line="360" w:lineRule="auto"/>
      </w:pPr>
      <w:r>
        <w:t>The downscaled emissions of c</w:t>
      </w:r>
      <w:r w:rsidR="00D16E33">
        <w:t xml:space="preserve">ountries </w:t>
      </w:r>
      <w:r>
        <w:t xml:space="preserve">such as Myanmar show inconsistent trend of emission growth with the historical trend, which means the SSP2 baseline projections given by GAINS need to be updated according to the historical trend, since the SSP2 scenario reflects the “middle of the road” pathway that follows the current development trend. Thus, we updated the SSP2 emissions by applying the historical annual growth rate over 2010-2018 to the emissions growth over 2025-2040. Then we get the updated baseline of </w:t>
      </w:r>
      <w:r w:rsidR="001C1BF1">
        <w:t>the countries over 2025-2040.</w:t>
      </w:r>
      <w:r w:rsidR="00B90668">
        <w:t xml:space="preserve"> After this procedure, we obtain the</w:t>
      </w:r>
      <w:r w:rsidR="009669F6" w:rsidRPr="009669F6">
        <w:t xml:space="preserve"> </w:t>
      </w:r>
      <w:r w:rsidR="009669F6">
        <w:rPr>
          <w:rStyle w:val="revised"/>
          <w:rFonts w:ascii="Times New Roman" w:hAnsi="Times New Roman" w:cs="Times New Roman"/>
          <w:color w:val="auto"/>
        </w:rPr>
        <w:t xml:space="preserve">preliminarily </w:t>
      </w:r>
      <w:r w:rsidR="009669F6" w:rsidRPr="00A75B22">
        <w:rPr>
          <w:rStyle w:val="revised"/>
          <w:rFonts w:ascii="Times New Roman" w:hAnsi="Times New Roman" w:cs="Times New Roman"/>
          <w:color w:val="auto"/>
        </w:rPr>
        <w:t>estimate</w:t>
      </w:r>
      <w:r w:rsidR="009669F6">
        <w:rPr>
          <w:rStyle w:val="revised"/>
          <w:rFonts w:ascii="Times New Roman" w:hAnsi="Times New Roman" w:cs="Times New Roman"/>
          <w:color w:val="auto"/>
        </w:rPr>
        <w:t>d</w:t>
      </w:r>
      <w:r w:rsidR="009669F6" w:rsidRPr="00A75B22">
        <w:rPr>
          <w:rStyle w:val="revised"/>
          <w:rFonts w:ascii="Times New Roman" w:hAnsi="Times New Roman" w:cs="Times New Roman"/>
          <w:color w:val="auto"/>
        </w:rPr>
        <w:t xml:space="preserve"> emissions</w:t>
      </w:r>
      <w:r w:rsidR="00B90668">
        <w:t xml:space="preserve"> </w:t>
      </w:r>
      <m:oMath>
        <m:sSub>
          <m:sSubPr>
            <m:ctrlPr>
              <w:rPr>
                <w:rFonts w:ascii="Cambria Math" w:hAnsi="Cambria Math"/>
                <w:i/>
                <w:sz w:val="20"/>
                <w:szCs w:val="20"/>
              </w:rPr>
            </m:ctrlPr>
          </m:sSubPr>
          <m:e>
            <m:r>
              <w:rPr>
                <w:rFonts w:ascii="Cambria Math" w:hAnsi="Cambria Math"/>
                <w:sz w:val="20"/>
                <w:szCs w:val="20"/>
              </w:rPr>
              <m:t>Emissions</m:t>
            </m:r>
          </m:e>
          <m:sub>
            <m:r>
              <w:rPr>
                <w:rFonts w:ascii="Cambria Math" w:hAnsi="Cambria Math"/>
                <w:sz w:val="20"/>
                <w:szCs w:val="20"/>
              </w:rPr>
              <m:t>postCOVID_pre</m:t>
            </m:r>
          </m:sub>
        </m:sSub>
      </m:oMath>
      <w:r w:rsidR="00B90668">
        <w:rPr>
          <w:rFonts w:hint="eastAsia"/>
          <w:sz w:val="20"/>
          <w:szCs w:val="20"/>
        </w:rPr>
        <w:t xml:space="preserve"> </w:t>
      </w:r>
      <w:r w:rsidR="00B90668">
        <w:rPr>
          <w:sz w:val="20"/>
          <w:szCs w:val="20"/>
        </w:rPr>
        <w:t xml:space="preserve">to be </w:t>
      </w:r>
      <w:r w:rsidR="00F57F64">
        <w:rPr>
          <w:sz w:val="20"/>
          <w:szCs w:val="20"/>
        </w:rPr>
        <w:lastRenderedPageBreak/>
        <w:t>calibrat</w:t>
      </w:r>
      <w:r w:rsidR="00574FD0">
        <w:rPr>
          <w:sz w:val="20"/>
          <w:szCs w:val="20"/>
        </w:rPr>
        <w:t>ed with emissions of the former stage.</w:t>
      </w:r>
    </w:p>
    <w:p w14:paraId="1F8277AF" w14:textId="4B9C65D9" w:rsidR="00D16E33" w:rsidRDefault="00D16E33" w:rsidP="00AA63CD">
      <w:pPr>
        <w:spacing w:after="100" w:afterAutospacing="1" w:line="360" w:lineRule="auto"/>
      </w:pPr>
      <w:r>
        <w:rPr>
          <w:rFonts w:hint="eastAsia"/>
        </w:rPr>
        <w:t>1</w:t>
      </w:r>
      <w:r>
        <w:t xml:space="preserve">.2.1.3 </w:t>
      </w:r>
      <w:r w:rsidR="006A5586">
        <w:rPr>
          <w:rFonts w:hint="eastAsia"/>
        </w:rPr>
        <w:t>Ca</w:t>
      </w:r>
      <w:r w:rsidR="006A5586">
        <w:t>libration</w:t>
      </w:r>
      <w:r>
        <w:t xml:space="preserve"> with </w:t>
      </w:r>
      <w:r w:rsidR="009669F6" w:rsidRPr="009669F6">
        <w:t>CO</w:t>
      </w:r>
      <w:r w:rsidR="009669F6" w:rsidRPr="009669F6">
        <w:rPr>
          <w:vertAlign w:val="subscript"/>
        </w:rPr>
        <w:t>2</w:t>
      </w:r>
      <w:r>
        <w:t xml:space="preserve"> emissions </w:t>
      </w:r>
      <w:r w:rsidR="006A5586">
        <w:t>level from</w:t>
      </w:r>
      <w:r>
        <w:t xml:space="preserve"> COVID lockdown scenarios.</w:t>
      </w:r>
    </w:p>
    <w:bookmarkEnd w:id="24"/>
    <w:bookmarkEnd w:id="25"/>
    <w:p w14:paraId="665A8D1D" w14:textId="4DE2AFF6" w:rsidR="00B558A2" w:rsidRDefault="009669F6" w:rsidP="00B558A2">
      <w:pPr>
        <w:spacing w:afterLines="50" w:after="156" w:line="360" w:lineRule="auto"/>
        <w:rPr>
          <w:rStyle w:val="revised"/>
          <w:rFonts w:ascii="Times New Roman" w:hAnsi="Times New Roman" w:cs="Times New Roman"/>
          <w:color w:val="auto"/>
        </w:rPr>
      </w:pPr>
      <w:proofErr w:type="gramStart"/>
      <w:r>
        <w:rPr>
          <w:rStyle w:val="revised"/>
          <w:rFonts w:ascii="Times New Roman" w:hAnsi="Times New Roman" w:cs="Times New Roman"/>
          <w:color w:val="auto"/>
        </w:rPr>
        <w:t>Similar to</w:t>
      </w:r>
      <w:proofErr w:type="gramEnd"/>
      <w:r>
        <w:rPr>
          <w:rStyle w:val="revised"/>
          <w:rFonts w:ascii="Times New Roman" w:hAnsi="Times New Roman" w:cs="Times New Roman"/>
          <w:color w:val="auto"/>
        </w:rPr>
        <w:t xml:space="preserve"> the </w:t>
      </w:r>
      <w:r w:rsidR="006A5586">
        <w:rPr>
          <w:rStyle w:val="revised"/>
          <w:rFonts w:ascii="Times New Roman" w:hAnsi="Times New Roman" w:cs="Times New Roman"/>
          <w:color w:val="auto"/>
        </w:rPr>
        <w:t>calibration</w:t>
      </w:r>
      <w:r>
        <w:rPr>
          <w:rStyle w:val="revised"/>
          <w:rFonts w:ascii="Times New Roman" w:hAnsi="Times New Roman" w:cs="Times New Roman"/>
          <w:color w:val="auto"/>
        </w:rPr>
        <w:t xml:space="preserve"> of historical data and COVID-period data, w</w:t>
      </w:r>
      <w:r w:rsidR="00B558A2">
        <w:rPr>
          <w:rStyle w:val="revised"/>
          <w:rFonts w:ascii="Times New Roman" w:hAnsi="Times New Roman" w:cs="Times New Roman"/>
          <w:color w:val="auto"/>
        </w:rPr>
        <w:t xml:space="preserve">e conduct the following </w:t>
      </w:r>
      <w:r w:rsidR="00BD7FE6">
        <w:rPr>
          <w:rStyle w:val="revised"/>
          <w:rFonts w:ascii="Times New Roman" w:hAnsi="Times New Roman" w:cs="Times New Roman" w:hint="eastAsia"/>
          <w:color w:val="auto"/>
        </w:rPr>
        <w:t>two</w:t>
      </w:r>
      <w:r w:rsidR="00BD7FE6">
        <w:rPr>
          <w:rStyle w:val="revised"/>
          <w:rFonts w:ascii="Times New Roman" w:hAnsi="Times New Roman" w:cs="Times New Roman"/>
          <w:color w:val="auto"/>
        </w:rPr>
        <w:t xml:space="preserve"> </w:t>
      </w:r>
      <w:r w:rsidR="00B558A2">
        <w:rPr>
          <w:rStyle w:val="revised"/>
          <w:rFonts w:ascii="Times New Roman" w:hAnsi="Times New Roman" w:cs="Times New Roman"/>
          <w:color w:val="auto"/>
        </w:rPr>
        <w:t>procedures</w:t>
      </w:r>
      <w:r w:rsidR="00BD7FE6">
        <w:rPr>
          <w:rStyle w:val="revised"/>
          <w:rFonts w:ascii="Times New Roman" w:hAnsi="Times New Roman" w:cs="Times New Roman"/>
          <w:color w:val="auto"/>
        </w:rPr>
        <w:t xml:space="preserve"> to </w:t>
      </w:r>
      <w:r w:rsidR="006A5586">
        <w:rPr>
          <w:rStyle w:val="revised"/>
          <w:rFonts w:ascii="Times New Roman" w:hAnsi="Times New Roman" w:cs="Times New Roman"/>
          <w:color w:val="auto"/>
        </w:rPr>
        <w:t>calibrate</w:t>
      </w:r>
      <w:r w:rsidR="00BD7FE6">
        <w:rPr>
          <w:rStyle w:val="revised"/>
          <w:rFonts w:ascii="Times New Roman" w:hAnsi="Times New Roman" w:cs="Times New Roman"/>
          <w:color w:val="auto"/>
        </w:rPr>
        <w:t xml:space="preserve"> the </w:t>
      </w:r>
      <w:r w:rsidRPr="009669F6">
        <w:rPr>
          <w:rStyle w:val="revised"/>
          <w:rFonts w:ascii="Times New Roman" w:hAnsi="Times New Roman" w:cs="Times New Roman"/>
          <w:color w:val="auto"/>
        </w:rPr>
        <w:t>CO</w:t>
      </w:r>
      <w:r w:rsidRPr="009669F6">
        <w:rPr>
          <w:rStyle w:val="revised"/>
          <w:rFonts w:ascii="Times New Roman" w:hAnsi="Times New Roman" w:cs="Times New Roman"/>
          <w:color w:val="auto"/>
          <w:vertAlign w:val="subscript"/>
        </w:rPr>
        <w:t>2</w:t>
      </w:r>
      <w:r w:rsidR="00BD7FE6">
        <w:rPr>
          <w:rStyle w:val="revised"/>
          <w:rFonts w:ascii="Times New Roman" w:hAnsi="Times New Roman" w:cs="Times New Roman"/>
          <w:color w:val="auto"/>
        </w:rPr>
        <w:t xml:space="preserve"> emissions of the COVID period and the post-COVID period</w:t>
      </w:r>
      <w:r w:rsidR="00B558A2">
        <w:rPr>
          <w:rStyle w:val="revised"/>
          <w:rFonts w:ascii="Times New Roman" w:hAnsi="Times New Roman" w:cs="Times New Roman"/>
          <w:color w:val="auto"/>
        </w:rPr>
        <w:t xml:space="preserve">. </w:t>
      </w:r>
    </w:p>
    <w:p w14:paraId="3AE48E84" w14:textId="23880F3B" w:rsidR="00B558A2" w:rsidRDefault="00B558A2" w:rsidP="00B558A2">
      <w:pPr>
        <w:pStyle w:val="af7"/>
        <w:numPr>
          <w:ilvl w:val="0"/>
          <w:numId w:val="48"/>
        </w:numPr>
        <w:spacing w:afterLines="50" w:after="156" w:line="360" w:lineRule="auto"/>
        <w:rPr>
          <w:rStyle w:val="revised"/>
          <w:rFonts w:ascii="Times New Roman" w:hAnsi="Times New Roman" w:cs="Times New Roman"/>
          <w:color w:val="auto"/>
        </w:rPr>
      </w:pPr>
      <w:r w:rsidRPr="00F60D25">
        <w:rPr>
          <w:rStyle w:val="revised"/>
          <w:rFonts w:ascii="Times New Roman" w:hAnsi="Times New Roman" w:cs="Times New Roman"/>
          <w:color w:val="auto"/>
        </w:rPr>
        <w:t xml:space="preserve">Firstly, </w:t>
      </w:r>
      <w:r>
        <w:rPr>
          <w:rStyle w:val="revised"/>
          <w:rFonts w:ascii="Times New Roman" w:hAnsi="Times New Roman" w:cs="Times New Roman"/>
          <w:color w:val="auto"/>
        </w:rPr>
        <w:t xml:space="preserve">we </w:t>
      </w:r>
      <w:r w:rsidR="00B15BAD">
        <w:rPr>
          <w:rStyle w:val="revised"/>
          <w:rFonts w:ascii="Times New Roman" w:hAnsi="Times New Roman" w:cs="Times New Roman"/>
          <w:color w:val="auto"/>
        </w:rPr>
        <w:t>get the emissions</w:t>
      </w:r>
      <w:r w:rsidR="006A5586">
        <w:rPr>
          <w:rStyle w:val="revised"/>
          <w:rFonts w:ascii="Times New Roman" w:hAnsi="Times New Roman" w:cs="Times New Roman"/>
          <w:color w:val="auto"/>
        </w:rPr>
        <w:t xml:space="preserve"> estimate from</w:t>
      </w:r>
      <w:r w:rsidR="00B15BAD">
        <w:rPr>
          <w:rStyle w:val="revised"/>
          <w:rFonts w:ascii="Times New Roman" w:hAnsi="Times New Roman" w:cs="Times New Roman"/>
          <w:color w:val="auto"/>
        </w:rPr>
        <w:t xml:space="preserve"> the COVID period, </w:t>
      </w:r>
      <w:r w:rsidR="006A5586">
        <w:rPr>
          <w:rStyle w:val="revised"/>
          <w:rFonts w:ascii="Times New Roman" w:hAnsi="Times New Roman" w:cs="Times New Roman"/>
          <w:color w:val="auto"/>
        </w:rPr>
        <w:t>i.e.,</w:t>
      </w:r>
      <w:r w:rsidR="00B15BAD">
        <w:rPr>
          <w:rStyle w:val="revised"/>
          <w:rFonts w:ascii="Times New Roman" w:hAnsi="Times New Roman" w:cs="Times New Roman"/>
          <w:color w:val="auto"/>
        </w:rPr>
        <w:t xml:space="preserve"> the emissions under COVID scenarios of the year 2024</w:t>
      </w:r>
      <w:r>
        <w:rPr>
          <w:rStyle w:val="revised"/>
          <w:rFonts w:ascii="Times New Roman" w:hAnsi="Times New Roman" w:cs="Times New Roman"/>
          <w:color w:val="auto"/>
        </w:rPr>
        <w:t xml:space="preserve"> (</w:t>
      </w:r>
      <m:oMath>
        <m:sSub>
          <m:sSubPr>
            <m:ctrlPr>
              <w:rPr>
                <w:rFonts w:ascii="Cambria Math" w:hAnsi="Cambria Math"/>
                <w:i/>
              </w:rPr>
            </m:ctrlPr>
          </m:sSubPr>
          <m:e>
            <m:r>
              <w:rPr>
                <w:rFonts w:ascii="Cambria Math" w:hAnsi="Cambria Math"/>
              </w:rPr>
              <m:t>Emissions</m:t>
            </m:r>
          </m:e>
          <m:sub>
            <m:r>
              <w:rPr>
                <w:rFonts w:ascii="Cambria Math" w:hAnsi="Cambria Math"/>
              </w:rPr>
              <m:t>COVID_update</m:t>
            </m:r>
          </m:sub>
        </m:sSub>
        <m:r>
          <w:rPr>
            <w:rFonts w:ascii="Cambria Math" w:hAnsi="Cambria Math"/>
          </w:rPr>
          <m:t>(2024)</m:t>
        </m:r>
      </m:oMath>
      <w:r>
        <w:rPr>
          <w:rStyle w:val="revised"/>
          <w:rFonts w:ascii="Times New Roman" w:hAnsi="Times New Roman" w:cs="Times New Roman"/>
          <w:color w:val="auto"/>
        </w:rPr>
        <w:t xml:space="preserve">) </w:t>
      </w:r>
      <w:r w:rsidR="0088564C">
        <w:rPr>
          <w:rStyle w:val="revised"/>
          <w:rFonts w:ascii="Times New Roman" w:hAnsi="Times New Roman" w:cs="Times New Roman"/>
          <w:color w:val="auto"/>
        </w:rPr>
        <w:t xml:space="preserve">from the procedures of section </w:t>
      </w:r>
      <w:r w:rsidR="0088564C">
        <w:rPr>
          <w:rStyle w:val="revised"/>
          <w:rFonts w:ascii="Times New Roman" w:hAnsi="Times New Roman" w:cs="Times New Roman"/>
          <w:color w:val="auto"/>
        </w:rPr>
        <w:fldChar w:fldCharType="begin"/>
      </w:r>
      <w:r w:rsidR="0088564C">
        <w:rPr>
          <w:rStyle w:val="revised"/>
          <w:rFonts w:ascii="Times New Roman" w:hAnsi="Times New Roman" w:cs="Times New Roman"/>
          <w:color w:val="auto"/>
        </w:rPr>
        <w:instrText xml:space="preserve"> REF _Ref67764731 \h </w:instrText>
      </w:r>
      <w:r w:rsidR="0088564C">
        <w:rPr>
          <w:rStyle w:val="revised"/>
          <w:rFonts w:ascii="Times New Roman" w:hAnsi="Times New Roman" w:cs="Times New Roman"/>
          <w:color w:val="auto"/>
        </w:rPr>
      </w:r>
      <w:r w:rsidR="0088564C">
        <w:rPr>
          <w:rStyle w:val="revised"/>
          <w:rFonts w:ascii="Times New Roman" w:hAnsi="Times New Roman" w:cs="Times New Roman"/>
          <w:color w:val="auto"/>
        </w:rPr>
        <w:fldChar w:fldCharType="separate"/>
      </w:r>
      <w:r w:rsidR="0088564C">
        <w:rPr>
          <w:rFonts w:hint="eastAsia"/>
        </w:rPr>
        <w:t>1</w:t>
      </w:r>
      <w:r w:rsidR="0088564C">
        <w:t>.1.2</w:t>
      </w:r>
      <w:r w:rsidR="0088564C">
        <w:rPr>
          <w:rStyle w:val="revised"/>
          <w:rFonts w:ascii="Times New Roman" w:hAnsi="Times New Roman" w:cs="Times New Roman"/>
          <w:color w:val="auto"/>
        </w:rPr>
        <w:fldChar w:fldCharType="end"/>
      </w:r>
      <w:r>
        <w:rPr>
          <w:rStyle w:val="revised"/>
          <w:rFonts w:ascii="Times New Roman" w:hAnsi="Times New Roman" w:cs="Times New Roman"/>
          <w:color w:val="auto"/>
        </w:rPr>
        <w:t xml:space="preserve">. </w:t>
      </w:r>
    </w:p>
    <w:p w14:paraId="22426301" w14:textId="252B95FE" w:rsidR="00085A8B" w:rsidRPr="00287F96" w:rsidRDefault="00BD7FE6" w:rsidP="00287F96">
      <w:pPr>
        <w:pStyle w:val="af7"/>
        <w:numPr>
          <w:ilvl w:val="0"/>
          <w:numId w:val="48"/>
        </w:numPr>
        <w:spacing w:afterLines="50" w:after="156" w:line="360" w:lineRule="auto"/>
      </w:pPr>
      <w:r>
        <w:t>After that</w:t>
      </w:r>
      <w:r w:rsidR="00B558A2">
        <w:t xml:space="preserve">, we calibrate the emission deviation generated by </w:t>
      </w:r>
      <w:r w:rsidR="00287F96">
        <w:t xml:space="preserve">section 1.2.1.2 </w:t>
      </w:r>
      <w:r w:rsidR="00B558A2" w:rsidRPr="00287F96">
        <w:rPr>
          <w:rStyle w:val="revised"/>
          <w:rFonts w:ascii="Times New Roman" w:hAnsi="Times New Roman" w:cs="Times New Roman"/>
          <w:color w:val="auto"/>
        </w:rPr>
        <w:t xml:space="preserve">(due to using </w:t>
      </w:r>
      <w:r w:rsidR="00287F96" w:rsidRPr="00287F96">
        <w:rPr>
          <w:rStyle w:val="revised"/>
          <w:rFonts w:ascii="Times New Roman" w:hAnsi="Times New Roman" w:cs="Times New Roman"/>
          <w:color w:val="auto"/>
        </w:rPr>
        <w:t>GAINS downscaled data</w:t>
      </w:r>
      <w:r w:rsidR="00B558A2" w:rsidRPr="00287F96">
        <w:rPr>
          <w:rStyle w:val="revised"/>
          <w:rFonts w:ascii="Times New Roman" w:hAnsi="Times New Roman" w:cs="Times New Roman"/>
          <w:color w:val="auto"/>
        </w:rPr>
        <w:t>)</w:t>
      </w:r>
      <w:r w:rsidR="00287F96" w:rsidRPr="00287F96">
        <w:rPr>
          <w:rStyle w:val="revised"/>
          <w:rFonts w:ascii="Times New Roman" w:hAnsi="Times New Roman" w:cs="Times New Roman"/>
          <w:color w:val="auto"/>
        </w:rPr>
        <w:t>,</w:t>
      </w:r>
      <w:r w:rsidR="00B558A2" w:rsidRPr="00287F96">
        <w:rPr>
          <w:rStyle w:val="revised"/>
          <w:rFonts w:ascii="Times New Roman" w:hAnsi="Times New Roman" w:cs="Times New Roman"/>
          <w:color w:val="auto"/>
        </w:rPr>
        <w:t xml:space="preserve"> </w:t>
      </w:r>
      <m:oMath>
        <m:sSub>
          <m:sSubPr>
            <m:ctrlPr>
              <w:rPr>
                <w:rFonts w:ascii="Cambria Math" w:hAnsi="Cambria Math"/>
                <w:i/>
                <w:sz w:val="20"/>
                <w:szCs w:val="20"/>
              </w:rPr>
            </m:ctrlPr>
          </m:sSubPr>
          <m:e>
            <m:r>
              <w:rPr>
                <w:rFonts w:ascii="Cambria Math" w:hAnsi="Cambria Math"/>
                <w:sz w:val="20"/>
                <w:szCs w:val="20"/>
              </w:rPr>
              <m:t>Emissions</m:t>
            </m:r>
          </m:e>
          <m:sub>
            <m:r>
              <w:rPr>
                <w:rFonts w:ascii="Cambria Math" w:hAnsi="Cambria Math"/>
                <w:sz w:val="20"/>
                <w:szCs w:val="20"/>
              </w:rPr>
              <m:t>postCOVID_pre</m:t>
            </m:r>
          </m:sub>
        </m:sSub>
      </m:oMath>
      <w:r w:rsidR="00287F96" w:rsidRPr="00287F96">
        <w:rPr>
          <w:rFonts w:hint="eastAsia"/>
          <w:sz w:val="20"/>
          <w:szCs w:val="20"/>
        </w:rPr>
        <w:t>,</w:t>
      </w:r>
      <w:r w:rsidR="00287F96" w:rsidRPr="00287F96">
        <w:rPr>
          <w:rStyle w:val="revised"/>
          <w:rFonts w:ascii="Times New Roman" w:hAnsi="Times New Roman" w:cs="Times New Roman"/>
          <w:color w:val="auto"/>
        </w:rPr>
        <w:t xml:space="preserve"> </w:t>
      </w:r>
      <w:r w:rsidR="00B558A2" w:rsidRPr="00287F96">
        <w:rPr>
          <w:rStyle w:val="revised"/>
          <w:rFonts w:ascii="Times New Roman" w:hAnsi="Times New Roman" w:cs="Times New Roman"/>
          <w:color w:val="auto"/>
        </w:rPr>
        <w:t xml:space="preserve">with </w:t>
      </w:r>
      <w:r w:rsidR="00287F96" w:rsidRPr="00287F96">
        <w:rPr>
          <w:rStyle w:val="revised"/>
          <w:rFonts w:ascii="Times New Roman" w:hAnsi="Times New Roman" w:cs="Times New Roman"/>
          <w:color w:val="auto"/>
        </w:rPr>
        <w:t>the updated emissions</w:t>
      </w:r>
      <w:r w:rsidR="00B558A2" w:rsidRPr="00287F96">
        <w:rPr>
          <w:rStyle w:val="revised"/>
          <w:rFonts w:ascii="Times New Roman" w:hAnsi="Times New Roman" w:cs="Times New Roman"/>
          <w:color w:val="auto"/>
        </w:rPr>
        <w:t xml:space="preserve"> data</w:t>
      </w:r>
      <w:r w:rsidR="00287F96" w:rsidRPr="00287F96">
        <w:rPr>
          <w:rStyle w:val="revised"/>
          <w:rFonts w:ascii="Times New Roman" w:hAnsi="Times New Roman" w:cs="Times New Roman"/>
          <w:color w:val="auto"/>
        </w:rPr>
        <w:t xml:space="preserve"> of the end year of COVID period, 2024</w:t>
      </w:r>
      <w:r w:rsidR="00B558A2" w:rsidRPr="00287F96">
        <w:rPr>
          <w:rStyle w:val="revised"/>
          <w:rFonts w:ascii="Times New Roman" w:hAnsi="Times New Roman" w:cs="Times New Roman"/>
          <w:color w:val="auto"/>
        </w:rPr>
        <w:t>, in order to improve accuracy of emission estimation for all emerging emitters (</w:t>
      </w:r>
      <m:oMath>
        <m:sSub>
          <m:sSubPr>
            <m:ctrlPr>
              <w:rPr>
                <w:rFonts w:ascii="Cambria Math" w:hAnsi="Cambria Math"/>
                <w:i/>
              </w:rPr>
            </m:ctrlPr>
          </m:sSubPr>
          <m:e>
            <m:r>
              <w:rPr>
                <w:rFonts w:ascii="Cambria Math" w:hAnsi="Cambria Math"/>
              </w:rPr>
              <m:t>Emissions</m:t>
            </m:r>
          </m:e>
          <m:sub>
            <m:r>
              <w:rPr>
                <w:rFonts w:ascii="Cambria Math" w:hAnsi="Cambria Math"/>
              </w:rPr>
              <m:t>postCOVID_calibrated</m:t>
            </m:r>
          </m:sub>
        </m:sSub>
      </m:oMath>
      <w:r w:rsidR="00B558A2" w:rsidRPr="00287F96">
        <w:rPr>
          <w:rStyle w:val="revised"/>
          <w:rFonts w:ascii="Times New Roman" w:hAnsi="Times New Roman" w:cs="Times New Roman"/>
          <w:color w:val="auto"/>
        </w:rPr>
        <w:t xml:space="preserve">), shown in </w:t>
      </w:r>
      <w:r w:rsidR="00287F96" w:rsidRPr="00E25BC0">
        <w:rPr>
          <w:rStyle w:val="revised"/>
          <w:rFonts w:ascii="Times New Roman" w:hAnsi="Times New Roman" w:cs="Times New Roman"/>
          <w:color w:val="auto"/>
        </w:rPr>
        <w:fldChar w:fldCharType="begin"/>
      </w:r>
      <w:r w:rsidR="00287F96" w:rsidRPr="00E25BC0">
        <w:rPr>
          <w:rStyle w:val="revised"/>
          <w:rFonts w:ascii="Times New Roman" w:hAnsi="Times New Roman" w:cs="Times New Roman"/>
          <w:color w:val="auto"/>
        </w:rPr>
        <w:instrText xml:space="preserve"> REF _Ref67765350 \h </w:instrText>
      </w:r>
      <w:r w:rsidR="00E25BC0" w:rsidRPr="00E25BC0">
        <w:rPr>
          <w:rStyle w:val="revised"/>
          <w:rFonts w:ascii="Times New Roman" w:hAnsi="Times New Roman" w:cs="Times New Roman"/>
          <w:color w:val="auto"/>
        </w:rPr>
        <w:instrText xml:space="preserve"> \* MERGEFORMAT </w:instrText>
      </w:r>
      <w:r w:rsidR="00287F96" w:rsidRPr="00E25BC0">
        <w:rPr>
          <w:rStyle w:val="revised"/>
          <w:rFonts w:ascii="Times New Roman" w:hAnsi="Times New Roman" w:cs="Times New Roman"/>
          <w:color w:val="auto"/>
        </w:rPr>
      </w:r>
      <w:r w:rsidR="00287F96" w:rsidRPr="00E25BC0">
        <w:rPr>
          <w:rStyle w:val="revised"/>
          <w:rFonts w:ascii="Times New Roman" w:hAnsi="Times New Roman" w:cs="Times New Roman"/>
          <w:color w:val="auto"/>
        </w:rPr>
        <w:fldChar w:fldCharType="separate"/>
      </w:r>
      <w:r w:rsidR="00287F96" w:rsidRPr="00E25BC0">
        <w:rPr>
          <w:sz w:val="20"/>
          <w:szCs w:val="20"/>
        </w:rPr>
        <w:t xml:space="preserve">Equation </w:t>
      </w:r>
      <w:r w:rsidR="00287F96" w:rsidRPr="00E25BC0">
        <w:rPr>
          <w:noProof/>
          <w:sz w:val="21"/>
          <w:szCs w:val="21"/>
        </w:rPr>
        <w:t>15</w:t>
      </w:r>
      <w:r w:rsidR="00287F96" w:rsidRPr="00E25BC0">
        <w:rPr>
          <w:rStyle w:val="revised"/>
          <w:rFonts w:ascii="Times New Roman" w:hAnsi="Times New Roman" w:cs="Times New Roman"/>
          <w:color w:val="auto"/>
        </w:rPr>
        <w:fldChar w:fldCharType="end"/>
      </w:r>
      <w:r w:rsidR="00287F96" w:rsidRPr="00E25BC0">
        <w:fldChar w:fldCharType="begin"/>
      </w:r>
      <w:r w:rsidR="00287F96" w:rsidRPr="00E25BC0">
        <w:instrText xml:space="preserve"> REF _Ref67745664 \h </w:instrText>
      </w:r>
      <w:r w:rsidR="00E25BC0" w:rsidRPr="00E25BC0">
        <w:instrText xml:space="preserve"> \* MERGEFORMAT </w:instrText>
      </w:r>
      <w:r w:rsidR="00287F96" w:rsidRPr="00E25BC0">
        <w:fldChar w:fldCharType="end"/>
      </w:r>
      <w:r w:rsidR="00287F96" w:rsidRPr="00E25BC0">
        <w:t>.</w:t>
      </w:r>
    </w:p>
    <w:tbl>
      <w:tblPr>
        <w:tblStyle w:val="afa"/>
        <w:tblW w:w="8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2"/>
        <w:gridCol w:w="1556"/>
      </w:tblGrid>
      <w:tr w:rsidR="00287F96" w14:paraId="2A8003D7" w14:textId="77777777" w:rsidTr="009669F6">
        <w:trPr>
          <w:trHeight w:val="889"/>
        </w:trPr>
        <w:tc>
          <w:tcPr>
            <w:tcW w:w="0" w:type="auto"/>
          </w:tcPr>
          <w:p w14:paraId="3385963C" w14:textId="4C51720B" w:rsidR="00287F96" w:rsidRDefault="002D7B00" w:rsidP="00AA63CD">
            <w:pPr>
              <w:spacing w:after="100" w:afterAutospacing="1" w:line="360" w:lineRule="auto"/>
            </w:pPr>
            <m:oMathPara>
              <m:oMath>
                <m:sSub>
                  <m:sSubPr>
                    <m:ctrlPr>
                      <w:rPr>
                        <w:rFonts w:ascii="Cambria Math" w:hAnsi="Cambria Math"/>
                        <w:i/>
                        <w:sz w:val="16"/>
                        <w:szCs w:val="16"/>
                      </w:rPr>
                    </m:ctrlPr>
                  </m:sSubPr>
                  <m:e>
                    <m:r>
                      <w:rPr>
                        <w:rFonts w:ascii="Cambria Math" w:hAnsi="Cambria Math"/>
                        <w:sz w:val="16"/>
                        <w:szCs w:val="16"/>
                      </w:rPr>
                      <m:t>Emissions</m:t>
                    </m:r>
                  </m:e>
                  <m:sub>
                    <m:r>
                      <w:rPr>
                        <w:rFonts w:ascii="Cambria Math" w:hAnsi="Cambria Math"/>
                        <w:sz w:val="16"/>
                        <w:szCs w:val="16"/>
                      </w:rPr>
                      <m:t>postCOVID</m:t>
                    </m:r>
                    <m:r>
                      <m:rPr>
                        <m:sty m:val="p"/>
                      </m:rPr>
                      <w:rPr>
                        <w:rFonts w:ascii="Cambria Math" w:hAnsi="Cambria Math"/>
                        <w:sz w:val="16"/>
                        <w:szCs w:val="16"/>
                      </w:rPr>
                      <w:softHyphen/>
                    </m:r>
                    <m:r>
                      <m:rPr>
                        <m:sty m:val="p"/>
                      </m:rPr>
                      <w:rPr>
                        <w:rFonts w:ascii="Cambria Math" w:hAnsi="Cambria Math"/>
                        <w:sz w:val="16"/>
                        <w:szCs w:val="16"/>
                      </w:rPr>
                      <w:softHyphen/>
                    </m:r>
                    <m:r>
                      <w:rPr>
                        <w:rFonts w:ascii="Cambria Math" w:hAnsi="Cambria Math"/>
                        <w:sz w:val="16"/>
                        <w:szCs w:val="16"/>
                      </w:rPr>
                      <m:t>_calibrated</m:t>
                    </m:r>
                  </m:sub>
                </m:sSub>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Emissions</m:t>
                    </m:r>
                  </m:e>
                  <m:sub>
                    <m:r>
                      <w:rPr>
                        <w:rFonts w:ascii="Cambria Math" w:hAnsi="Cambria Math"/>
                        <w:sz w:val="16"/>
                        <w:szCs w:val="16"/>
                      </w:rPr>
                      <m:t>postCOVID_pre</m:t>
                    </m:r>
                  </m:sub>
                </m:sSub>
                <m:r>
                  <w:rPr>
                    <w:rFonts w:ascii="Cambria Math" w:hAnsi="Cambria Math"/>
                    <w:sz w:val="16"/>
                    <w:szCs w:val="16"/>
                  </w:rPr>
                  <m:t>(t)×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Emissions</m:t>
                        </m:r>
                      </m:e>
                      <m:sub>
                        <m:r>
                          <w:rPr>
                            <w:rFonts w:ascii="Cambria Math" w:hAnsi="Cambria Math"/>
                            <w:sz w:val="16"/>
                            <w:szCs w:val="16"/>
                          </w:rPr>
                          <m:t>COVID_update</m:t>
                        </m:r>
                      </m:sub>
                    </m:sSub>
                    <m:r>
                      <w:rPr>
                        <w:rFonts w:ascii="Cambria Math" w:hAnsi="Cambria Math"/>
                        <w:sz w:val="16"/>
                        <w:szCs w:val="16"/>
                      </w:rPr>
                      <m:t>(2024)</m:t>
                    </m:r>
                  </m:num>
                  <m:den>
                    <m:sSub>
                      <m:sSubPr>
                        <m:ctrlPr>
                          <w:rPr>
                            <w:rFonts w:ascii="Cambria Math" w:hAnsi="Cambria Math"/>
                            <w:i/>
                            <w:sz w:val="16"/>
                            <w:szCs w:val="16"/>
                          </w:rPr>
                        </m:ctrlPr>
                      </m:sSubPr>
                      <m:e>
                        <m:r>
                          <w:rPr>
                            <w:rFonts w:ascii="Cambria Math" w:hAnsi="Cambria Math"/>
                            <w:sz w:val="16"/>
                            <w:szCs w:val="16"/>
                          </w:rPr>
                          <m:t>Emissions</m:t>
                        </m:r>
                      </m:e>
                      <m:sub>
                        <m:r>
                          <w:rPr>
                            <w:rFonts w:ascii="Cambria Math" w:hAnsi="Cambria Math"/>
                            <w:sz w:val="16"/>
                            <w:szCs w:val="16"/>
                          </w:rPr>
                          <m:t>postCOVID_pre</m:t>
                        </m:r>
                      </m:sub>
                    </m:sSub>
                    <m:r>
                      <w:rPr>
                        <w:rFonts w:ascii="Cambria Math" w:hAnsi="Cambria Math"/>
                        <w:sz w:val="16"/>
                        <w:szCs w:val="16"/>
                      </w:rPr>
                      <m:t>(2024)</m:t>
                    </m:r>
                  </m:den>
                </m:f>
              </m:oMath>
            </m:oMathPara>
          </w:p>
        </w:tc>
        <w:tc>
          <w:tcPr>
            <w:tcW w:w="0" w:type="auto"/>
          </w:tcPr>
          <w:p w14:paraId="26E140CF" w14:textId="40D5B499" w:rsidR="00287F96" w:rsidRPr="00287F96" w:rsidRDefault="00287F96" w:rsidP="00287F96">
            <w:pPr>
              <w:spacing w:after="100" w:afterAutospacing="1" w:line="360" w:lineRule="auto"/>
              <w:jc w:val="right"/>
            </w:pPr>
            <w:r>
              <w:rPr>
                <w:i/>
                <w:sz w:val="16"/>
                <w:szCs w:val="16"/>
              </w:rPr>
              <w:t xml:space="preserve">    </w:t>
            </w:r>
            <w:bookmarkStart w:id="26" w:name="_Ref67765350"/>
            <w:r w:rsidRPr="00287F96">
              <w:rPr>
                <w:sz w:val="20"/>
                <w:szCs w:val="20"/>
              </w:rPr>
              <w:t xml:space="preserve">Equation </w:t>
            </w:r>
            <w:r w:rsidRPr="00287F96">
              <w:rPr>
                <w:sz w:val="21"/>
                <w:szCs w:val="21"/>
              </w:rPr>
              <w:fldChar w:fldCharType="begin"/>
            </w:r>
            <w:r w:rsidRPr="00287F96">
              <w:rPr>
                <w:sz w:val="21"/>
                <w:szCs w:val="21"/>
              </w:rPr>
              <w:instrText xml:space="preserve"> SEQ Equation \* ARABIC </w:instrText>
            </w:r>
            <w:r w:rsidRPr="00287F96">
              <w:rPr>
                <w:sz w:val="21"/>
                <w:szCs w:val="21"/>
              </w:rPr>
              <w:fldChar w:fldCharType="separate"/>
            </w:r>
            <w:r w:rsidRPr="00287F96">
              <w:rPr>
                <w:noProof/>
                <w:sz w:val="21"/>
                <w:szCs w:val="21"/>
              </w:rPr>
              <w:t>15</w:t>
            </w:r>
            <w:r w:rsidRPr="00287F96">
              <w:rPr>
                <w:sz w:val="21"/>
                <w:szCs w:val="21"/>
              </w:rPr>
              <w:fldChar w:fldCharType="end"/>
            </w:r>
            <w:bookmarkEnd w:id="26"/>
          </w:p>
        </w:tc>
      </w:tr>
    </w:tbl>
    <w:p w14:paraId="2676F228" w14:textId="3345F55A" w:rsidR="00CC67F8" w:rsidRPr="00085A8B" w:rsidRDefault="00CC67F8" w:rsidP="00AA63CD">
      <w:pPr>
        <w:spacing w:after="100" w:afterAutospacing="1" w:line="360" w:lineRule="auto"/>
      </w:pPr>
    </w:p>
    <w:p w14:paraId="68F8F9D4" w14:textId="790C9E3B" w:rsidR="00DF6F0D" w:rsidRPr="00D50F1D" w:rsidRDefault="00EE352C" w:rsidP="00AA63CD">
      <w:pPr>
        <w:pStyle w:val="3"/>
        <w:numPr>
          <w:ilvl w:val="0"/>
          <w:numId w:val="0"/>
        </w:numPr>
        <w:spacing w:after="100" w:afterAutospacing="1" w:line="360" w:lineRule="auto"/>
        <w:ind w:left="720"/>
      </w:pPr>
      <w:r>
        <w:rPr>
          <w:rFonts w:hint="eastAsia"/>
        </w:rPr>
        <w:t>1</w:t>
      </w:r>
      <w:r w:rsidR="00DF6F0D" w:rsidRPr="00D50F1D">
        <w:t xml:space="preserve">.2.2 </w:t>
      </w:r>
      <w:r w:rsidR="00002090" w:rsidRPr="00D50F1D">
        <w:t>Low-Carbon scenarios</w:t>
      </w:r>
      <w:r w:rsidR="0029142D" w:rsidRPr="00D50F1D">
        <w:t>’ settings</w:t>
      </w:r>
    </w:p>
    <w:p w14:paraId="56A7207F" w14:textId="0133FB53" w:rsidR="000C47DE" w:rsidRDefault="000C47DE" w:rsidP="00AA63CD">
      <w:pPr>
        <w:spacing w:after="100" w:afterAutospacing="1" w:line="360" w:lineRule="auto"/>
      </w:pPr>
      <w:r>
        <w:t>The</w:t>
      </w:r>
      <w:r w:rsidR="00C85E9F">
        <w:t xml:space="preserve"> No-policy scenario represent the </w:t>
      </w:r>
      <w:r w:rsidR="00C71143">
        <w:t>countries follow the historical trend and no extra low-carbon policy or technology will be adopted up to 2040. While the other</w:t>
      </w:r>
      <w:r>
        <w:t xml:space="preserve"> </w:t>
      </w:r>
      <w:r w:rsidR="00C85E9F">
        <w:t>two</w:t>
      </w:r>
      <w:r>
        <w:t xml:space="preserve"> scenario</w:t>
      </w:r>
      <w:r w:rsidR="00C85E9F">
        <w:t xml:space="preserve">s </w:t>
      </w:r>
      <w:r>
        <w:t>of Low-Carbon</w:t>
      </w:r>
      <w:r w:rsidRPr="00197D82">
        <w:t xml:space="preserve"> </w:t>
      </w:r>
      <w:r>
        <w:t xml:space="preserve">represent levels of deployment of </w:t>
      </w:r>
      <w:proofErr w:type="gramStart"/>
      <w:r>
        <w:t>a highly ambitious</w:t>
      </w:r>
      <w:proofErr w:type="gramEnd"/>
      <w:r w:rsidRPr="006B3421">
        <w:t xml:space="preserve"> low-carbon technologies</w:t>
      </w:r>
      <w:r w:rsidR="00C71143">
        <w:t xml:space="preserve"> (LCT)</w:t>
      </w:r>
      <w:r w:rsidRPr="006B3421">
        <w:t xml:space="preserve"> </w:t>
      </w:r>
      <w:r>
        <w:t>scenario.</w:t>
      </w:r>
      <w:r w:rsidRPr="00197D82">
        <w:t xml:space="preserve"> </w:t>
      </w:r>
      <w:r>
        <w:t xml:space="preserve">Specifically, the LC assumes that the new electricity demand after 2025 is linearly covered by renewable energy sources or fossil fuel with </w:t>
      </w:r>
      <w:r w:rsidRPr="006B3421">
        <w:t>carbon capture and storage (CCS</w:t>
      </w:r>
      <w:r>
        <w:t xml:space="preserve">; depending on whether the country’s power sector is currently </w:t>
      </w:r>
      <w:proofErr w:type="gramStart"/>
      <w:r>
        <w:t>thermal-dominate</w:t>
      </w:r>
      <w:r w:rsidR="00C85E9F">
        <w:rPr>
          <w:rFonts w:hint="eastAsia"/>
        </w:rPr>
        <w:t>d</w:t>
      </w:r>
      <w:proofErr w:type="gramEnd"/>
      <w:r w:rsidR="00C85E9F">
        <w:t>, i.e. whether thermal power accounts for over 50% power generation</w:t>
      </w:r>
      <w:r w:rsidRPr="006B3421">
        <w:t>)</w:t>
      </w:r>
      <w:r>
        <w:t xml:space="preserve"> and new vehicles after 2030 are linearly covered by electric vehicles. The most </w:t>
      </w:r>
      <w:r w:rsidR="006A5F17">
        <w:t>optimistic</w:t>
      </w:r>
      <w:r>
        <w:t xml:space="preserve"> scenario, </w:t>
      </w:r>
      <w:proofErr w:type="gramStart"/>
      <w:r>
        <w:t>i.e.</w:t>
      </w:r>
      <w:proofErr w:type="gramEnd"/>
      <w:r>
        <w:t xml:space="preserve"> the </w:t>
      </w:r>
      <w:r w:rsidRPr="00407C2A">
        <w:t>extreme LC</w:t>
      </w:r>
      <w:r>
        <w:t>, assumes</w:t>
      </w:r>
      <w:r w:rsidRPr="006B3421">
        <w:t xml:space="preserve"> </w:t>
      </w:r>
      <w:r>
        <w:t xml:space="preserve">all newly increased electricity demand after 2025 is met either by </w:t>
      </w:r>
      <w:r w:rsidRPr="006B3421">
        <w:t xml:space="preserve">renewable energy </w:t>
      </w:r>
      <w:r>
        <w:t>sources or fossil fuel with CCS feature and</w:t>
      </w:r>
      <w:r w:rsidRPr="006B3421">
        <w:t xml:space="preserve"> </w:t>
      </w:r>
      <w:r>
        <w:t xml:space="preserve">all new vehicles after 2030 are battery </w:t>
      </w:r>
      <w:r w:rsidRPr="006B3421">
        <w:t>electric</w:t>
      </w:r>
      <w:r>
        <w:t>.</w:t>
      </w:r>
      <w:r w:rsidRPr="006B3421">
        <w:t xml:space="preserve"> </w:t>
      </w:r>
      <w:r w:rsidR="00C71143">
        <w:t xml:space="preserve">The scenario </w:t>
      </w:r>
      <w:r w:rsidR="00C71143">
        <w:lastRenderedPageBreak/>
        <w:t xml:space="preserve">settings are listed in </w:t>
      </w:r>
      <w:r w:rsidR="00C71143">
        <w:fldChar w:fldCharType="begin"/>
      </w:r>
      <w:r w:rsidR="00C71143">
        <w:instrText xml:space="preserve"> </w:instrText>
      </w:r>
      <w:r w:rsidR="00C71143">
        <w:rPr>
          <w:rFonts w:hint="eastAsia"/>
        </w:rPr>
        <w:instrText>REF _Ref67747580 \h</w:instrText>
      </w:r>
      <w:r w:rsidR="00C71143">
        <w:instrText xml:space="preserve"> </w:instrText>
      </w:r>
      <w:r w:rsidR="00C71143">
        <w:fldChar w:fldCharType="separate"/>
      </w:r>
      <w:r w:rsidR="00C71143">
        <w:t xml:space="preserve">Table S </w:t>
      </w:r>
      <w:r w:rsidR="00C71143">
        <w:rPr>
          <w:noProof/>
        </w:rPr>
        <w:t>5</w:t>
      </w:r>
      <w:r w:rsidR="00C71143">
        <w:fldChar w:fldCharType="end"/>
      </w:r>
      <w:r w:rsidR="00C71143">
        <w:t>.</w:t>
      </w:r>
    </w:p>
    <w:p w14:paraId="46226E26" w14:textId="4128FD74" w:rsidR="00D16E33" w:rsidRPr="00B26EE8" w:rsidRDefault="00D16E33" w:rsidP="00AA63CD">
      <w:pPr>
        <w:spacing w:after="100" w:afterAutospacing="1" w:line="360" w:lineRule="auto"/>
      </w:pPr>
      <w:r w:rsidRPr="00B26EE8">
        <w:rPr>
          <w:rFonts w:hint="eastAsia"/>
        </w:rPr>
        <w:t>T</w:t>
      </w:r>
      <w:r w:rsidRPr="00B26EE8">
        <w:t xml:space="preserve">he LC and </w:t>
      </w:r>
      <w:r>
        <w:t xml:space="preserve">Extreme </w:t>
      </w:r>
      <w:r w:rsidRPr="00B26EE8">
        <w:t xml:space="preserve">LC scenarios are </w:t>
      </w:r>
      <w:r w:rsidR="005B0851">
        <w:t>developed</w:t>
      </w:r>
      <w:r w:rsidRPr="00B26EE8">
        <w:t xml:space="preserve"> based on the emissions </w:t>
      </w:r>
      <w:r w:rsidR="005B0851">
        <w:t xml:space="preserve">of </w:t>
      </w:r>
      <w:r w:rsidRPr="00B26EE8">
        <w:t xml:space="preserve">SSP2, </w:t>
      </w:r>
      <w:r w:rsidR="00C71143">
        <w:t>No Policy</w:t>
      </w:r>
      <w:r w:rsidRPr="00B26EE8">
        <w:t xml:space="preserve"> scenario</w:t>
      </w:r>
      <w:r w:rsidR="005B0851">
        <w:t xml:space="preserve"> of the GAINS model</w:t>
      </w:r>
      <w:r w:rsidRPr="00B26EE8">
        <w:t xml:space="preserve">. We simulate the application of CCS, renewable power generation and electric vehicle by considering the emission reduction rate of the low-carbon technologies. In the </w:t>
      </w:r>
      <w:r w:rsidR="00C71143">
        <w:t>Low Carbon</w:t>
      </w:r>
      <w:r w:rsidRPr="00B26EE8">
        <w:t xml:space="preserve"> scenario, the low-carbon technologies are assumed to be applied since 2025 (linearly increasing the application, and fully applied in 2040), including carbon capture and storage (CCS), renewable energy for the production of </w:t>
      </w:r>
      <w:proofErr w:type="gramStart"/>
      <w:r w:rsidRPr="00B26EE8">
        <w:t>newly-demanded</w:t>
      </w:r>
      <w:proofErr w:type="gramEnd"/>
      <w:r w:rsidRPr="00B26EE8">
        <w:t xml:space="preserve"> electricity, and electric vehicles replacing the newly-increased oil fueled automobiles since 2030 (linearly increasing from 0 to 100% </w:t>
      </w:r>
      <w:r>
        <w:t>up to</w:t>
      </w:r>
      <w:r w:rsidRPr="00B26EE8">
        <w:t xml:space="preserve"> 2040; the additional electricity demand are provided with LCTs in electricity sector). The low-carbon technologies are modeled by applying the total emission reduction rate of the low-carbon technologies to the </w:t>
      </w:r>
      <w:r w:rsidRPr="00B26EE8">
        <w:rPr>
          <w:rFonts w:hint="eastAsia"/>
        </w:rPr>
        <w:t>corr</w:t>
      </w:r>
      <w:r w:rsidRPr="00B26EE8">
        <w:t>esponding sector’s emissions, assuming other sectors’ emissions remain as the baseline scenario. The total emission reduction rates of the CCS, renewable energy for power generation, and electric vehicle are set as 88%</w:t>
      </w:r>
      <w:r w:rsidRPr="00B26EE8">
        <w:fldChar w:fldCharType="begin"/>
      </w:r>
      <w:r w:rsidR="00C478D6">
        <w:instrText xml:space="preserve"> ADDIN ZOTERO_ITEM CSL_CITATION {"citationID":"5StOtBGL","properties":{"formattedCitation":"\\super 22\\nosupersub{}","plainCitation":"22","noteIndex":0},"citationItems":[{"id":3271,"uris":["http://zotero.org/users/4340498/items/PMXE98KQ"],"uri":["http://zotero.org/users/4340498/items/PMXE98KQ"],"itemData":{"id":3271,"type":"report","event-place":"New York, NY","language":"en","page":"34","publisher-place":"New York, NY","source":"Zotero","title":"IPCC Special Report on Carbon dioxide Capture and Storage: Technical Summary","author":[{"family":"Rubin","given":"Edward"},{"family":"Abanades","given":"Juan Carlos"},{"family":"Akai","given":"Makoto"},{"family":"Benson","given":"Sally"},{"family":"Keith","given":"David"},{"family":"Mazzotti","given":"Marco"},{"family":"Metz","given":"Bert"},{"family":"Osman-Elasha","given":"Balgis"},{"family":"Palmer","given":"Andrew"},{"family":"Smekens","given":"Koen"},{"family":"Soltanieh","given":"Mohammad"}]}}],"schema":"https://github.com/citation-style-language/schema/raw/master/csl-citation.json"} </w:instrText>
      </w:r>
      <w:r w:rsidRPr="00B26EE8">
        <w:fldChar w:fldCharType="separate"/>
      </w:r>
      <w:r w:rsidR="00C478D6" w:rsidRPr="00C478D6">
        <w:rPr>
          <w:kern w:val="0"/>
          <w:szCs w:val="24"/>
          <w:vertAlign w:val="superscript"/>
        </w:rPr>
        <w:t>22</w:t>
      </w:r>
      <w:r w:rsidRPr="00B26EE8">
        <w:fldChar w:fldCharType="end"/>
      </w:r>
      <w:r w:rsidRPr="00B26EE8">
        <w:t>, 80%</w:t>
      </w:r>
      <w:r w:rsidRPr="00B26EE8">
        <w:fldChar w:fldCharType="begin"/>
      </w:r>
      <w:r w:rsidR="00C478D6">
        <w:instrText xml:space="preserve"> ADDIN ZOTERO_ITEM CSL_CITATION {"citationID":"eVVfCRP1","properties":{"formattedCitation":"\\super 23,24\\nosupersub{}","plainCitation":"23,24","noteIndex":0},"citationItems":[{"id":68,"uris":["http://zotero.org/users/4340498/items/U9RJIUVD"],"uri":["http://zotero.org/users/4340498/items/U9RJIUVD"],"itemData":{"id":68,"type":"article-journal","abstract":"Sustainable development requires methods and tools to measure and compare the environmental impacts of human activities for various products (goods and services). Providing society with goods and services contributes to a wide range of environmental impacts. Environmental impacts include emissions into the environment and the consumption of resources as well as other interventions such as land use, etc. Life cycle assessment (LCA) is a technique for assessing environmental loads of a product or a system. The aim of this paper is to review existing energy and CO2 life cycle analyses of renewable sources based electricity generation systems. The paper points out that carbon emission from renewable energy (RE) systems are not nil, as is generally assumed while evaluating carbon credits. Further the range of carbon emissions from RE systems have been found out from existing literature and compared with those from fossil fuel based systems, so as to assist in a rational choice of energy supply systems.","container-title":"Renewable and Sustainable Energy Reviews","DOI":"https://doi.org/10.1016/j.rser.2008.08.004","ISSN":"1364-0321","issue":"5","page":"1067 - 1073","title":"LCA of renewable energy for electricity generation systems—A review","volume":"13","author":[{"literal":"Varun"},{"family":"Bhat","given":"I. K."},{"family":"Prakash","given":"Ravi"}],"issued":{"date-parts":[["2009"]]}}},{"id":70,"uris":["http://zotero.org/users/4340498/items/Q9T5YKQA"],"uri":["http://zotero.org/users/4340498/items/Q9T5YKQA"],"itemData":{"id":70,"type":"article-journal","abstract":"Approximately 40% of global CO\n              2\n              emissions are emitted from electricity generation through the combustion of fossil fuels to generate heat needed to power steam turbines. Burning these fuels results in the production of carbon dioxide (CO\n              2\n              )—the primary heat-trapping, “greenhouse gas” responsible for global warming. Applying smart electric grid technologies can potentially reduce CO\n              2\n              emissions. Electric grid comprises three major sectors: generation, transmission and distribution grid, and consumption. Smart generation includes the use of renewable energy sources (wind, solar, or hydropower). Smart transmission and distribution relies on optimizing the existing assets of overhead transmission lines, underground cables, transformers, and substations such that minimum generating capacities are required in the future. Smart consumption will depend on the use of more efficient equipment like energy-saving lighting lamps, enabling smart homes and hybrid plug-in electric vehicles technologies. A special interest is given to the Egyptian case study. Main opportunities for Egypt include generating electricity from wind and solar energy sources and its geographical location that makes it a perfect center for interconnecting electrical systems from the Nile basin, North Africa, Gulf, and Europe. Challenges include shortage of investments, absence of political will, aging of transmission and distribution infrastructure, and lack of consumer awareness for power utilization.","container-title":"Journal of Engineering","DOI":"10.1155/2013/845051","ISSN":"2314-4904, 2314-4912","journalAbbreviation":"Journal of Engineering","language":"en","page":"1-8","source":"DOI.org (Crossref)","title":"Reducing Carbon Dioxide Emissions from Electricity Sector Using Smart Electric Grid Applications","volume":"2013","author":[{"family":"Abdallah","given":"Lamiaa"},{"family":"El-Shennawy","given":"Tarek"}],"issued":{"date-parts":[["2013"]]}}}],"schema":"https://github.com/citation-style-language/schema/raw/master/csl-citation.json"} </w:instrText>
      </w:r>
      <w:r w:rsidRPr="00B26EE8">
        <w:fldChar w:fldCharType="separate"/>
      </w:r>
      <w:r w:rsidR="00C478D6" w:rsidRPr="00C478D6">
        <w:rPr>
          <w:kern w:val="0"/>
          <w:szCs w:val="24"/>
          <w:vertAlign w:val="superscript"/>
        </w:rPr>
        <w:t>23,24</w:t>
      </w:r>
      <w:r w:rsidRPr="00B26EE8">
        <w:fldChar w:fldCharType="end"/>
      </w:r>
      <w:r w:rsidRPr="00B26EE8">
        <w:t xml:space="preserve"> and 100%</w:t>
      </w:r>
      <w:r w:rsidRPr="00B26EE8">
        <w:fldChar w:fldCharType="begin"/>
      </w:r>
      <w:r w:rsidR="00C478D6">
        <w:instrText xml:space="preserve"> ADDIN ZOTERO_ITEM CSL_CITATION {"citationID":"GZWT9USx","properties":{"formattedCitation":"\\super 25\\nosupersub{}","plainCitation":"25","noteIndex":0},"citationItems":[{"id":3269,"uris":["http://zotero.org/users/4340498/items/2Z2NIGGP"],"uri":["http://zotero.org/users/4340498/items/2Z2NIGGP"],"itemData":{"id":3269,"type":"paper-conference","abstract":"The paper analyses the economic and environmental benefits of charging electric vehicles (EV) at workplaces in the Netherlands using photovoltaic panels (PV). A 10kW EV-PV charging system is used to charge the electric cars directly from photovoltaic panels. The cost of using a gasoline vehicle is compared with that of an electric vehicle that is charged from the grid or from solar panels. It is found that charging EV from PV results in huge savings in fuel cost, taxes and lower CO2 emissions. A comparison is made for solar panels installed on rooftops and as a solar carport and the impact of feed-in tariffs on PV generation revenues is evaluated.","container-title":"2016 IEEE Transportation Electrification Conference and Expo (ITEC)","DOI":"10.1109/ITEC.2016.7520273","event":"2016 IEEE Transportation Electrification Conference and Expo (ITEC)","event-place":"Dearborn, MI, USA","ISBN":"978-1-5090-0403-4","language":"en","page":"1-7","publisher":"IEEE","publisher-place":"Dearborn, MI, USA","source":"DOI.org (Crossref)","title":"Economic and CO2 Emission Benefits of a Solar Powered Electric Vehicle Charging Station for Workplaces in the Netherlands","URL":"http://ieeexplore.ieee.org/document/7520273/","author":[{"family":"Mouli","given":"Gautham Ram Chandra"},{"family":"Leendertse","given":"Mark"},{"family":"Prasanth","given":"Venugopal"},{"family":"Bauer","given":"Pavol"},{"family":"Silvester","given":"Sacha"},{"family":"Geer","given":"Stefan","non-dropping-particle":"van de"},{"family":"Zeman","given":"Miro"}],"accessed":{"date-parts":[["2021",2,5]]},"issued":{"date-parts":[["2016",6]]}}}],"schema":"https://github.com/citation-style-language/schema/raw/master/csl-citation.json"} </w:instrText>
      </w:r>
      <w:r w:rsidRPr="00B26EE8">
        <w:fldChar w:fldCharType="separate"/>
      </w:r>
      <w:r w:rsidR="00C478D6" w:rsidRPr="00C478D6">
        <w:rPr>
          <w:kern w:val="0"/>
          <w:szCs w:val="24"/>
          <w:vertAlign w:val="superscript"/>
        </w:rPr>
        <w:t>25</w:t>
      </w:r>
      <w:r w:rsidRPr="00B26EE8">
        <w:fldChar w:fldCharType="end"/>
      </w:r>
      <w:r w:rsidRPr="00B26EE8">
        <w:t xml:space="preserve"> according to literature, respectively.</w:t>
      </w:r>
    </w:p>
    <w:p w14:paraId="34081EF2" w14:textId="57D12081" w:rsidR="00BD1571" w:rsidRDefault="00B276BF" w:rsidP="00AA63CD">
      <w:pPr>
        <w:pStyle w:val="af6"/>
        <w:spacing w:after="100" w:afterAutospacing="1" w:line="360" w:lineRule="auto"/>
      </w:pPr>
      <w:bookmarkStart w:id="27" w:name="_Ref67747580"/>
      <w:r>
        <w:t xml:space="preserve">Table S </w:t>
      </w:r>
      <w:fldSimple w:instr=" SEQ Table_S \* ARABIC ">
        <w:r w:rsidR="00A80F2F">
          <w:rPr>
            <w:noProof/>
          </w:rPr>
          <w:t>5</w:t>
        </w:r>
      </w:fldSimple>
      <w:bookmarkEnd w:id="27"/>
      <w:r>
        <w:t xml:space="preserve"> Scenario settings of low-carbon pathways over the post-COVID period</w:t>
      </w:r>
      <w:r w:rsidR="00BA0620">
        <w:t xml:space="preserve">. </w:t>
      </w:r>
    </w:p>
    <w:tbl>
      <w:tblPr>
        <w:tblStyle w:val="afa"/>
        <w:tblW w:w="4986" w:type="pct"/>
        <w:tblLook w:val="04A0" w:firstRow="1" w:lastRow="0" w:firstColumn="1" w:lastColumn="0" w:noHBand="0" w:noVBand="1"/>
      </w:tblPr>
      <w:tblGrid>
        <w:gridCol w:w="1128"/>
        <w:gridCol w:w="1539"/>
        <w:gridCol w:w="945"/>
        <w:gridCol w:w="945"/>
        <w:gridCol w:w="1029"/>
        <w:gridCol w:w="1031"/>
        <w:gridCol w:w="827"/>
        <w:gridCol w:w="829"/>
      </w:tblGrid>
      <w:tr w:rsidR="00C85E9F" w14:paraId="47B0A434" w14:textId="77777777" w:rsidTr="00C85E9F">
        <w:trPr>
          <w:trHeight w:val="129"/>
        </w:trPr>
        <w:tc>
          <w:tcPr>
            <w:tcW w:w="1612" w:type="pct"/>
            <w:gridSpan w:val="2"/>
            <w:vAlign w:val="center"/>
          </w:tcPr>
          <w:p w14:paraId="6514ECB8" w14:textId="1B805800" w:rsidR="00B276BF" w:rsidRDefault="00B276BF" w:rsidP="00AA63CD">
            <w:pPr>
              <w:spacing w:after="100" w:afterAutospacing="1" w:line="360" w:lineRule="auto"/>
              <w:jc w:val="center"/>
            </w:pPr>
            <w:r>
              <w:rPr>
                <w:rFonts w:hint="eastAsia"/>
              </w:rPr>
              <w:t>S</w:t>
            </w:r>
            <w:r>
              <w:t>ector</w:t>
            </w:r>
          </w:p>
        </w:tc>
        <w:tc>
          <w:tcPr>
            <w:tcW w:w="2387" w:type="pct"/>
            <w:gridSpan w:val="4"/>
            <w:vAlign w:val="center"/>
          </w:tcPr>
          <w:p w14:paraId="4DC3F8D3" w14:textId="60B3714F" w:rsidR="00B276BF" w:rsidRDefault="00B276BF" w:rsidP="00AA63CD">
            <w:pPr>
              <w:spacing w:after="100" w:afterAutospacing="1" w:line="360" w:lineRule="auto"/>
              <w:jc w:val="center"/>
            </w:pPr>
            <w:r>
              <w:rPr>
                <w:rFonts w:hint="eastAsia"/>
              </w:rPr>
              <w:t>E</w:t>
            </w:r>
            <w:r>
              <w:t>lectricity generation</w:t>
            </w:r>
          </w:p>
        </w:tc>
        <w:tc>
          <w:tcPr>
            <w:tcW w:w="1001" w:type="pct"/>
            <w:gridSpan w:val="2"/>
            <w:vAlign w:val="center"/>
          </w:tcPr>
          <w:p w14:paraId="593B0160" w14:textId="32CCB42C" w:rsidR="00B276BF" w:rsidRDefault="00B276BF" w:rsidP="00AA63CD">
            <w:pPr>
              <w:spacing w:after="100" w:afterAutospacing="1" w:line="360" w:lineRule="auto"/>
              <w:jc w:val="center"/>
            </w:pPr>
            <w:r>
              <w:rPr>
                <w:rFonts w:hint="eastAsia"/>
              </w:rPr>
              <w:t>T</w:t>
            </w:r>
            <w:r>
              <w:t>ransportation</w:t>
            </w:r>
          </w:p>
        </w:tc>
      </w:tr>
      <w:tr w:rsidR="00BA0620" w14:paraId="65C3F217" w14:textId="77777777" w:rsidTr="00C85E9F">
        <w:trPr>
          <w:trHeight w:val="129"/>
        </w:trPr>
        <w:tc>
          <w:tcPr>
            <w:tcW w:w="1612" w:type="pct"/>
            <w:gridSpan w:val="2"/>
            <w:vAlign w:val="center"/>
          </w:tcPr>
          <w:p w14:paraId="76D60784" w14:textId="0BB7B749" w:rsidR="00B276BF" w:rsidRDefault="00B276BF" w:rsidP="00AA63CD">
            <w:pPr>
              <w:spacing w:after="100" w:afterAutospacing="1" w:line="360" w:lineRule="auto"/>
              <w:jc w:val="center"/>
            </w:pPr>
            <w:r>
              <w:rPr>
                <w:rFonts w:hint="eastAsia"/>
              </w:rPr>
              <w:t>C</w:t>
            </w:r>
            <w:r>
              <w:t>ountry</w:t>
            </w:r>
          </w:p>
        </w:tc>
        <w:tc>
          <w:tcPr>
            <w:tcW w:w="1142" w:type="pct"/>
            <w:gridSpan w:val="2"/>
            <w:vAlign w:val="center"/>
          </w:tcPr>
          <w:p w14:paraId="5E77708D" w14:textId="17D906A2" w:rsidR="00B276BF" w:rsidRDefault="00B276BF" w:rsidP="00AA63CD">
            <w:pPr>
              <w:spacing w:after="100" w:afterAutospacing="1" w:line="360" w:lineRule="auto"/>
              <w:jc w:val="center"/>
            </w:pPr>
            <w:proofErr w:type="gramStart"/>
            <w:r>
              <w:rPr>
                <w:rFonts w:hint="eastAsia"/>
              </w:rPr>
              <w:t>T</w:t>
            </w:r>
            <w:r>
              <w:t>hermal-power</w:t>
            </w:r>
            <w:proofErr w:type="gramEnd"/>
            <w:r>
              <w:t xml:space="preserve"> dominated countries</w:t>
            </w:r>
          </w:p>
        </w:tc>
        <w:tc>
          <w:tcPr>
            <w:tcW w:w="1245" w:type="pct"/>
            <w:gridSpan w:val="2"/>
            <w:vAlign w:val="center"/>
          </w:tcPr>
          <w:p w14:paraId="6E7BCFD0" w14:textId="592F9FB1" w:rsidR="00B276BF" w:rsidRDefault="00B276BF" w:rsidP="00AA63CD">
            <w:pPr>
              <w:spacing w:after="100" w:afterAutospacing="1" w:line="360" w:lineRule="auto"/>
              <w:jc w:val="center"/>
            </w:pPr>
            <w:r>
              <w:rPr>
                <w:rFonts w:hint="eastAsia"/>
              </w:rPr>
              <w:t>O</w:t>
            </w:r>
            <w:r>
              <w:t>ther countries</w:t>
            </w:r>
          </w:p>
        </w:tc>
        <w:tc>
          <w:tcPr>
            <w:tcW w:w="1001" w:type="pct"/>
            <w:gridSpan w:val="2"/>
            <w:vAlign w:val="center"/>
          </w:tcPr>
          <w:p w14:paraId="1FDFBF8B" w14:textId="365E44B1" w:rsidR="00B276BF" w:rsidRDefault="00B276BF" w:rsidP="00AA63CD">
            <w:pPr>
              <w:spacing w:after="100" w:afterAutospacing="1" w:line="360" w:lineRule="auto"/>
              <w:jc w:val="center"/>
            </w:pPr>
            <w:r>
              <w:rPr>
                <w:rFonts w:hint="eastAsia"/>
              </w:rPr>
              <w:t>A</w:t>
            </w:r>
            <w:r>
              <w:t>ll countries</w:t>
            </w:r>
          </w:p>
        </w:tc>
      </w:tr>
      <w:tr w:rsidR="00C85E9F" w14:paraId="74E5C3E4" w14:textId="77777777" w:rsidTr="00C85E9F">
        <w:trPr>
          <w:trHeight w:val="129"/>
        </w:trPr>
        <w:tc>
          <w:tcPr>
            <w:tcW w:w="1612" w:type="pct"/>
            <w:gridSpan w:val="2"/>
            <w:vAlign w:val="center"/>
          </w:tcPr>
          <w:p w14:paraId="269D7AB2" w14:textId="77777777" w:rsidR="00BA0620" w:rsidRDefault="00BA0620" w:rsidP="00AA63CD">
            <w:pPr>
              <w:spacing w:after="100" w:afterAutospacing="1" w:line="360" w:lineRule="auto"/>
              <w:jc w:val="center"/>
            </w:pPr>
            <w:r>
              <w:rPr>
                <w:rFonts w:hint="eastAsia"/>
              </w:rPr>
              <w:t>L</w:t>
            </w:r>
            <w:r>
              <w:t>ow-carbon technology</w:t>
            </w:r>
          </w:p>
          <w:p w14:paraId="171E1BCB" w14:textId="4BAA7BC5" w:rsidR="00C85E9F" w:rsidRDefault="00C85E9F" w:rsidP="00AA63CD">
            <w:pPr>
              <w:spacing w:after="100" w:afterAutospacing="1" w:line="360" w:lineRule="auto"/>
              <w:jc w:val="center"/>
            </w:pPr>
            <w:r>
              <w:rPr>
                <w:rFonts w:hint="eastAsia"/>
              </w:rPr>
              <w:t>(</w:t>
            </w:r>
            <w:r>
              <w:t>LCT)</w:t>
            </w:r>
          </w:p>
        </w:tc>
        <w:tc>
          <w:tcPr>
            <w:tcW w:w="1142" w:type="pct"/>
            <w:gridSpan w:val="2"/>
            <w:vAlign w:val="center"/>
          </w:tcPr>
          <w:p w14:paraId="791D0359" w14:textId="5DA0FE63" w:rsidR="00BA0620" w:rsidRDefault="00BA0620" w:rsidP="00AA63CD">
            <w:pPr>
              <w:spacing w:after="100" w:afterAutospacing="1" w:line="360" w:lineRule="auto"/>
              <w:jc w:val="center"/>
            </w:pPr>
            <w:r>
              <w:t xml:space="preserve">New </w:t>
            </w:r>
            <w:r>
              <w:rPr>
                <w:rFonts w:hint="eastAsia"/>
              </w:rPr>
              <w:t>th</w:t>
            </w:r>
            <w:r>
              <w:t>ermal-power generation adopt CCS</w:t>
            </w:r>
          </w:p>
        </w:tc>
        <w:tc>
          <w:tcPr>
            <w:tcW w:w="1245" w:type="pct"/>
            <w:gridSpan w:val="2"/>
            <w:vAlign w:val="center"/>
          </w:tcPr>
          <w:p w14:paraId="69166DE8" w14:textId="756BC01A" w:rsidR="00BA0620" w:rsidRDefault="00BA0620" w:rsidP="00AA63CD">
            <w:pPr>
              <w:spacing w:after="100" w:afterAutospacing="1" w:line="360" w:lineRule="auto"/>
              <w:jc w:val="center"/>
            </w:pPr>
            <w:r>
              <w:t>New electricity generation are from renewable energy</w:t>
            </w:r>
          </w:p>
        </w:tc>
        <w:tc>
          <w:tcPr>
            <w:tcW w:w="1001" w:type="pct"/>
            <w:gridSpan w:val="2"/>
            <w:vAlign w:val="center"/>
          </w:tcPr>
          <w:p w14:paraId="1C8351CC" w14:textId="705BA627" w:rsidR="00BA0620" w:rsidRDefault="00BA0620" w:rsidP="00AA63CD">
            <w:pPr>
              <w:spacing w:after="100" w:afterAutospacing="1" w:line="360" w:lineRule="auto"/>
              <w:jc w:val="center"/>
            </w:pPr>
            <w:r>
              <w:t>New vehicles are electric</w:t>
            </w:r>
          </w:p>
        </w:tc>
      </w:tr>
      <w:tr w:rsidR="00C85E9F" w14:paraId="2AAAC3D9" w14:textId="77777777" w:rsidTr="00C85E9F">
        <w:trPr>
          <w:trHeight w:val="129"/>
        </w:trPr>
        <w:tc>
          <w:tcPr>
            <w:tcW w:w="1612" w:type="pct"/>
            <w:gridSpan w:val="2"/>
            <w:vAlign w:val="center"/>
          </w:tcPr>
          <w:p w14:paraId="1ACBCCE9" w14:textId="59DEC860" w:rsidR="00B276BF" w:rsidRDefault="00B276BF" w:rsidP="00AA63CD">
            <w:pPr>
              <w:spacing w:after="100" w:afterAutospacing="1" w:line="360" w:lineRule="auto"/>
              <w:jc w:val="center"/>
            </w:pPr>
            <w:r>
              <w:rPr>
                <w:rFonts w:hint="eastAsia"/>
              </w:rPr>
              <w:t>Y</w:t>
            </w:r>
            <w:r>
              <w:t>ear</w:t>
            </w:r>
          </w:p>
        </w:tc>
        <w:tc>
          <w:tcPr>
            <w:tcW w:w="571" w:type="pct"/>
            <w:vAlign w:val="center"/>
          </w:tcPr>
          <w:p w14:paraId="1780C506" w14:textId="56453B6F" w:rsidR="00B276BF" w:rsidRDefault="00B276BF" w:rsidP="00AA63CD">
            <w:pPr>
              <w:spacing w:after="100" w:afterAutospacing="1" w:line="360" w:lineRule="auto"/>
              <w:jc w:val="center"/>
            </w:pPr>
            <w:r>
              <w:rPr>
                <w:rFonts w:hint="eastAsia"/>
              </w:rPr>
              <w:t>2</w:t>
            </w:r>
            <w:r>
              <w:t>025</w:t>
            </w:r>
          </w:p>
        </w:tc>
        <w:tc>
          <w:tcPr>
            <w:tcW w:w="571" w:type="pct"/>
            <w:vAlign w:val="center"/>
          </w:tcPr>
          <w:p w14:paraId="4213461E" w14:textId="73D72D1D" w:rsidR="00B276BF" w:rsidRDefault="00B276BF" w:rsidP="00AA63CD">
            <w:pPr>
              <w:spacing w:after="100" w:afterAutospacing="1" w:line="360" w:lineRule="auto"/>
              <w:jc w:val="center"/>
            </w:pPr>
            <w:r>
              <w:rPr>
                <w:rFonts w:hint="eastAsia"/>
              </w:rPr>
              <w:t>2</w:t>
            </w:r>
            <w:r>
              <w:t>040</w:t>
            </w:r>
          </w:p>
        </w:tc>
        <w:tc>
          <w:tcPr>
            <w:tcW w:w="622" w:type="pct"/>
            <w:vAlign w:val="center"/>
          </w:tcPr>
          <w:p w14:paraId="7875C14D" w14:textId="7C201341" w:rsidR="00B276BF" w:rsidRDefault="00B276BF" w:rsidP="00AA63CD">
            <w:pPr>
              <w:spacing w:after="100" w:afterAutospacing="1" w:line="360" w:lineRule="auto"/>
              <w:jc w:val="center"/>
            </w:pPr>
            <w:r>
              <w:rPr>
                <w:rFonts w:hint="eastAsia"/>
              </w:rPr>
              <w:t>2</w:t>
            </w:r>
            <w:r>
              <w:t>025</w:t>
            </w:r>
          </w:p>
        </w:tc>
        <w:tc>
          <w:tcPr>
            <w:tcW w:w="623" w:type="pct"/>
            <w:vAlign w:val="center"/>
          </w:tcPr>
          <w:p w14:paraId="5885ABBF" w14:textId="6401E205" w:rsidR="00B276BF" w:rsidRDefault="00B276BF" w:rsidP="00AA63CD">
            <w:pPr>
              <w:spacing w:after="100" w:afterAutospacing="1" w:line="360" w:lineRule="auto"/>
              <w:jc w:val="center"/>
            </w:pPr>
            <w:r>
              <w:rPr>
                <w:rFonts w:hint="eastAsia"/>
              </w:rPr>
              <w:t>2</w:t>
            </w:r>
            <w:r>
              <w:t>040</w:t>
            </w:r>
          </w:p>
        </w:tc>
        <w:tc>
          <w:tcPr>
            <w:tcW w:w="500" w:type="pct"/>
            <w:vAlign w:val="center"/>
          </w:tcPr>
          <w:p w14:paraId="1B1A9322" w14:textId="3B33558D" w:rsidR="00B276BF" w:rsidRDefault="00B276BF" w:rsidP="00AA63CD">
            <w:pPr>
              <w:spacing w:after="100" w:afterAutospacing="1" w:line="360" w:lineRule="auto"/>
              <w:jc w:val="center"/>
            </w:pPr>
            <w:r>
              <w:rPr>
                <w:rFonts w:hint="eastAsia"/>
              </w:rPr>
              <w:t>2</w:t>
            </w:r>
            <w:r>
              <w:t>030</w:t>
            </w:r>
          </w:p>
        </w:tc>
        <w:tc>
          <w:tcPr>
            <w:tcW w:w="501" w:type="pct"/>
            <w:vAlign w:val="center"/>
          </w:tcPr>
          <w:p w14:paraId="658B4389" w14:textId="3F6C6856" w:rsidR="00B276BF" w:rsidRDefault="00B276BF" w:rsidP="00AA63CD">
            <w:pPr>
              <w:spacing w:after="100" w:afterAutospacing="1" w:line="360" w:lineRule="auto"/>
              <w:jc w:val="center"/>
            </w:pPr>
            <w:r>
              <w:rPr>
                <w:rFonts w:hint="eastAsia"/>
              </w:rPr>
              <w:t>2</w:t>
            </w:r>
            <w:r>
              <w:t>040</w:t>
            </w:r>
          </w:p>
        </w:tc>
      </w:tr>
      <w:tr w:rsidR="00C85E9F" w14:paraId="723D6414" w14:textId="77777777" w:rsidTr="00C85E9F">
        <w:trPr>
          <w:trHeight w:val="129"/>
        </w:trPr>
        <w:tc>
          <w:tcPr>
            <w:tcW w:w="682" w:type="pct"/>
            <w:vMerge w:val="restart"/>
            <w:vAlign w:val="center"/>
          </w:tcPr>
          <w:p w14:paraId="0A3ADB25" w14:textId="2BE7BB7C" w:rsidR="00BA0620" w:rsidRDefault="00C85E9F" w:rsidP="00AA63CD">
            <w:pPr>
              <w:spacing w:after="100" w:afterAutospacing="1" w:line="360" w:lineRule="auto"/>
              <w:jc w:val="center"/>
            </w:pPr>
            <w:r>
              <w:t>LCT</w:t>
            </w:r>
            <w:r w:rsidR="00BA0620">
              <w:t xml:space="preserve"> coverage</w:t>
            </w:r>
            <w:r>
              <w:t xml:space="preserve"> of new </w:t>
            </w:r>
            <w:r>
              <w:lastRenderedPageBreak/>
              <w:t>energy demand</w:t>
            </w:r>
          </w:p>
        </w:tc>
        <w:tc>
          <w:tcPr>
            <w:tcW w:w="930" w:type="pct"/>
            <w:vAlign w:val="center"/>
          </w:tcPr>
          <w:p w14:paraId="5E98410C" w14:textId="1F39CA90" w:rsidR="00BA0620" w:rsidRDefault="00BA0620" w:rsidP="00AA63CD">
            <w:pPr>
              <w:spacing w:after="100" w:afterAutospacing="1" w:line="360" w:lineRule="auto"/>
              <w:jc w:val="center"/>
            </w:pPr>
            <w:r>
              <w:rPr>
                <w:rFonts w:hint="eastAsia"/>
              </w:rPr>
              <w:lastRenderedPageBreak/>
              <w:t>N</w:t>
            </w:r>
            <w:r>
              <w:t>o policy</w:t>
            </w:r>
          </w:p>
        </w:tc>
        <w:tc>
          <w:tcPr>
            <w:tcW w:w="571" w:type="pct"/>
            <w:vAlign w:val="center"/>
          </w:tcPr>
          <w:p w14:paraId="12044141" w14:textId="2007B752" w:rsidR="00BA0620" w:rsidRDefault="00BA0620" w:rsidP="00AA63CD">
            <w:pPr>
              <w:spacing w:after="100" w:afterAutospacing="1" w:line="360" w:lineRule="auto"/>
              <w:jc w:val="center"/>
            </w:pPr>
            <w:r>
              <w:rPr>
                <w:rFonts w:hint="eastAsia"/>
              </w:rPr>
              <w:t>0</w:t>
            </w:r>
            <w:r>
              <w:t>%</w:t>
            </w:r>
          </w:p>
        </w:tc>
        <w:tc>
          <w:tcPr>
            <w:tcW w:w="571" w:type="pct"/>
            <w:vAlign w:val="center"/>
          </w:tcPr>
          <w:p w14:paraId="48481090" w14:textId="0A7533C8" w:rsidR="00BA0620" w:rsidRDefault="00BA0620" w:rsidP="00AA63CD">
            <w:pPr>
              <w:spacing w:after="100" w:afterAutospacing="1" w:line="360" w:lineRule="auto"/>
              <w:jc w:val="center"/>
            </w:pPr>
            <w:r>
              <w:rPr>
                <w:rFonts w:hint="eastAsia"/>
              </w:rPr>
              <w:t>0</w:t>
            </w:r>
            <w:r>
              <w:t>%</w:t>
            </w:r>
          </w:p>
        </w:tc>
        <w:tc>
          <w:tcPr>
            <w:tcW w:w="622" w:type="pct"/>
            <w:vAlign w:val="center"/>
          </w:tcPr>
          <w:p w14:paraId="0FB035C3" w14:textId="1BB4AF46" w:rsidR="00BA0620" w:rsidRDefault="00BA0620" w:rsidP="00AA63CD">
            <w:pPr>
              <w:spacing w:after="100" w:afterAutospacing="1" w:line="360" w:lineRule="auto"/>
              <w:jc w:val="center"/>
            </w:pPr>
            <w:r>
              <w:rPr>
                <w:rFonts w:hint="eastAsia"/>
              </w:rPr>
              <w:t>0</w:t>
            </w:r>
            <w:r>
              <w:t>%</w:t>
            </w:r>
          </w:p>
        </w:tc>
        <w:tc>
          <w:tcPr>
            <w:tcW w:w="623" w:type="pct"/>
            <w:vAlign w:val="center"/>
          </w:tcPr>
          <w:p w14:paraId="760B3E52" w14:textId="098959F0" w:rsidR="00BA0620" w:rsidRDefault="00BA0620" w:rsidP="00AA63CD">
            <w:pPr>
              <w:spacing w:after="100" w:afterAutospacing="1" w:line="360" w:lineRule="auto"/>
              <w:jc w:val="center"/>
            </w:pPr>
            <w:r>
              <w:rPr>
                <w:rFonts w:hint="eastAsia"/>
              </w:rPr>
              <w:t>0</w:t>
            </w:r>
            <w:r>
              <w:t>%</w:t>
            </w:r>
          </w:p>
        </w:tc>
        <w:tc>
          <w:tcPr>
            <w:tcW w:w="500" w:type="pct"/>
            <w:vAlign w:val="center"/>
          </w:tcPr>
          <w:p w14:paraId="2862D0BE" w14:textId="7E937A53" w:rsidR="00BA0620" w:rsidRDefault="00BA0620" w:rsidP="00AA63CD">
            <w:pPr>
              <w:spacing w:after="100" w:afterAutospacing="1" w:line="360" w:lineRule="auto"/>
              <w:jc w:val="center"/>
            </w:pPr>
            <w:r>
              <w:rPr>
                <w:rFonts w:hint="eastAsia"/>
              </w:rPr>
              <w:t>0</w:t>
            </w:r>
            <w:r>
              <w:t>%</w:t>
            </w:r>
          </w:p>
        </w:tc>
        <w:tc>
          <w:tcPr>
            <w:tcW w:w="501" w:type="pct"/>
            <w:vAlign w:val="center"/>
          </w:tcPr>
          <w:p w14:paraId="71EED3B9" w14:textId="021CF716" w:rsidR="00BA0620" w:rsidRDefault="00BA0620" w:rsidP="00AA63CD">
            <w:pPr>
              <w:spacing w:after="100" w:afterAutospacing="1" w:line="360" w:lineRule="auto"/>
              <w:jc w:val="center"/>
            </w:pPr>
            <w:r>
              <w:rPr>
                <w:rFonts w:hint="eastAsia"/>
              </w:rPr>
              <w:t>0</w:t>
            </w:r>
            <w:r>
              <w:t>%</w:t>
            </w:r>
          </w:p>
        </w:tc>
      </w:tr>
      <w:tr w:rsidR="00C85E9F" w14:paraId="7D9C6971" w14:textId="77777777" w:rsidTr="00C85E9F">
        <w:trPr>
          <w:trHeight w:val="129"/>
        </w:trPr>
        <w:tc>
          <w:tcPr>
            <w:tcW w:w="682" w:type="pct"/>
            <w:vMerge/>
            <w:vAlign w:val="center"/>
          </w:tcPr>
          <w:p w14:paraId="08144FB0" w14:textId="77777777" w:rsidR="00BA0620" w:rsidRDefault="00BA0620" w:rsidP="00AA63CD">
            <w:pPr>
              <w:spacing w:after="100" w:afterAutospacing="1" w:line="360" w:lineRule="auto"/>
              <w:jc w:val="center"/>
            </w:pPr>
          </w:p>
        </w:tc>
        <w:tc>
          <w:tcPr>
            <w:tcW w:w="930" w:type="pct"/>
            <w:vAlign w:val="center"/>
          </w:tcPr>
          <w:p w14:paraId="3835477B" w14:textId="5890ECC1" w:rsidR="00BA0620" w:rsidRDefault="00BA0620" w:rsidP="00AA63CD">
            <w:pPr>
              <w:spacing w:after="100" w:afterAutospacing="1" w:line="360" w:lineRule="auto"/>
              <w:jc w:val="center"/>
            </w:pPr>
            <w:r>
              <w:rPr>
                <w:rFonts w:hint="eastAsia"/>
              </w:rPr>
              <w:t>L</w:t>
            </w:r>
            <w:r>
              <w:t>ow carbon</w:t>
            </w:r>
          </w:p>
        </w:tc>
        <w:tc>
          <w:tcPr>
            <w:tcW w:w="571" w:type="pct"/>
            <w:vAlign w:val="center"/>
          </w:tcPr>
          <w:p w14:paraId="6F040908" w14:textId="5328F944" w:rsidR="00BA0620" w:rsidRDefault="00BA0620" w:rsidP="00AA63CD">
            <w:pPr>
              <w:spacing w:after="100" w:afterAutospacing="1" w:line="360" w:lineRule="auto"/>
              <w:jc w:val="center"/>
            </w:pPr>
            <w:r>
              <w:rPr>
                <w:rFonts w:hint="eastAsia"/>
              </w:rPr>
              <w:t>0</w:t>
            </w:r>
            <w:r>
              <w:t>%</w:t>
            </w:r>
          </w:p>
        </w:tc>
        <w:tc>
          <w:tcPr>
            <w:tcW w:w="571" w:type="pct"/>
            <w:vAlign w:val="center"/>
          </w:tcPr>
          <w:p w14:paraId="08DB5F76" w14:textId="4B6ABB0E" w:rsidR="00BA0620" w:rsidRDefault="00BA0620" w:rsidP="00AA63CD">
            <w:pPr>
              <w:spacing w:after="100" w:afterAutospacing="1" w:line="360" w:lineRule="auto"/>
              <w:jc w:val="center"/>
            </w:pPr>
            <w:r>
              <w:rPr>
                <w:rFonts w:hint="eastAsia"/>
              </w:rPr>
              <w:t>1</w:t>
            </w:r>
            <w:r>
              <w:t>00%</w:t>
            </w:r>
          </w:p>
        </w:tc>
        <w:tc>
          <w:tcPr>
            <w:tcW w:w="622" w:type="pct"/>
            <w:vAlign w:val="center"/>
          </w:tcPr>
          <w:p w14:paraId="62E9E68A" w14:textId="65EF7DF7" w:rsidR="00BA0620" w:rsidRDefault="00BA0620" w:rsidP="00AA63CD">
            <w:pPr>
              <w:spacing w:after="100" w:afterAutospacing="1" w:line="360" w:lineRule="auto"/>
              <w:jc w:val="center"/>
            </w:pPr>
            <w:r>
              <w:rPr>
                <w:rFonts w:hint="eastAsia"/>
              </w:rPr>
              <w:t>0</w:t>
            </w:r>
            <w:r>
              <w:t>%</w:t>
            </w:r>
          </w:p>
        </w:tc>
        <w:tc>
          <w:tcPr>
            <w:tcW w:w="623" w:type="pct"/>
            <w:vAlign w:val="center"/>
          </w:tcPr>
          <w:p w14:paraId="423E3092" w14:textId="2484DA8F" w:rsidR="00BA0620" w:rsidRDefault="00BA0620" w:rsidP="00AA63CD">
            <w:pPr>
              <w:spacing w:after="100" w:afterAutospacing="1" w:line="360" w:lineRule="auto"/>
              <w:jc w:val="center"/>
            </w:pPr>
            <w:r>
              <w:rPr>
                <w:rFonts w:hint="eastAsia"/>
              </w:rPr>
              <w:t>1</w:t>
            </w:r>
            <w:r>
              <w:t>00%</w:t>
            </w:r>
          </w:p>
        </w:tc>
        <w:tc>
          <w:tcPr>
            <w:tcW w:w="500" w:type="pct"/>
            <w:vAlign w:val="center"/>
          </w:tcPr>
          <w:p w14:paraId="66DA3537" w14:textId="2FC06BE3" w:rsidR="00BA0620" w:rsidRDefault="00BA0620" w:rsidP="00AA63CD">
            <w:pPr>
              <w:spacing w:after="100" w:afterAutospacing="1" w:line="360" w:lineRule="auto"/>
              <w:jc w:val="center"/>
            </w:pPr>
            <w:r>
              <w:rPr>
                <w:rFonts w:hint="eastAsia"/>
              </w:rPr>
              <w:t>0</w:t>
            </w:r>
            <w:r>
              <w:t>%</w:t>
            </w:r>
          </w:p>
        </w:tc>
        <w:tc>
          <w:tcPr>
            <w:tcW w:w="501" w:type="pct"/>
            <w:vAlign w:val="center"/>
          </w:tcPr>
          <w:p w14:paraId="5C387990" w14:textId="71DAA98A" w:rsidR="00BA0620" w:rsidRDefault="00BA0620" w:rsidP="00AA63CD">
            <w:pPr>
              <w:spacing w:after="100" w:afterAutospacing="1" w:line="360" w:lineRule="auto"/>
              <w:jc w:val="center"/>
            </w:pPr>
            <w:r>
              <w:rPr>
                <w:rFonts w:hint="eastAsia"/>
              </w:rPr>
              <w:t>1</w:t>
            </w:r>
            <w:r>
              <w:t>00%</w:t>
            </w:r>
          </w:p>
        </w:tc>
      </w:tr>
      <w:tr w:rsidR="00C85E9F" w14:paraId="4FA8492D" w14:textId="77777777" w:rsidTr="00C85E9F">
        <w:trPr>
          <w:trHeight w:val="129"/>
        </w:trPr>
        <w:tc>
          <w:tcPr>
            <w:tcW w:w="682" w:type="pct"/>
            <w:vMerge/>
            <w:vAlign w:val="center"/>
          </w:tcPr>
          <w:p w14:paraId="1AF8E84A" w14:textId="77777777" w:rsidR="00BA0620" w:rsidRDefault="00BA0620" w:rsidP="00AA63CD">
            <w:pPr>
              <w:spacing w:after="100" w:afterAutospacing="1" w:line="360" w:lineRule="auto"/>
              <w:jc w:val="center"/>
            </w:pPr>
          </w:p>
        </w:tc>
        <w:tc>
          <w:tcPr>
            <w:tcW w:w="930" w:type="pct"/>
            <w:vAlign w:val="center"/>
          </w:tcPr>
          <w:p w14:paraId="748615F9" w14:textId="7A0D2AF2" w:rsidR="00BA0620" w:rsidRDefault="00BA0620" w:rsidP="00AA63CD">
            <w:pPr>
              <w:spacing w:after="100" w:afterAutospacing="1" w:line="360" w:lineRule="auto"/>
              <w:jc w:val="center"/>
            </w:pPr>
            <w:r>
              <w:rPr>
                <w:rFonts w:hint="eastAsia"/>
              </w:rPr>
              <w:t>E</w:t>
            </w:r>
            <w:r>
              <w:t xml:space="preserve">xtreme low </w:t>
            </w:r>
            <w:r>
              <w:lastRenderedPageBreak/>
              <w:t>carbon</w:t>
            </w:r>
          </w:p>
        </w:tc>
        <w:tc>
          <w:tcPr>
            <w:tcW w:w="571" w:type="pct"/>
            <w:vAlign w:val="center"/>
          </w:tcPr>
          <w:p w14:paraId="5705F076" w14:textId="21412CD9" w:rsidR="00BA0620" w:rsidRDefault="00BA0620" w:rsidP="00AA63CD">
            <w:pPr>
              <w:spacing w:after="100" w:afterAutospacing="1" w:line="360" w:lineRule="auto"/>
              <w:jc w:val="center"/>
            </w:pPr>
            <w:r>
              <w:rPr>
                <w:rFonts w:hint="eastAsia"/>
              </w:rPr>
              <w:lastRenderedPageBreak/>
              <w:t>1</w:t>
            </w:r>
            <w:r>
              <w:t>00%</w:t>
            </w:r>
          </w:p>
        </w:tc>
        <w:tc>
          <w:tcPr>
            <w:tcW w:w="571" w:type="pct"/>
            <w:vAlign w:val="center"/>
          </w:tcPr>
          <w:p w14:paraId="19E6B437" w14:textId="682F2AC5" w:rsidR="00BA0620" w:rsidRDefault="00BA0620" w:rsidP="00AA63CD">
            <w:pPr>
              <w:spacing w:after="100" w:afterAutospacing="1" w:line="360" w:lineRule="auto"/>
              <w:jc w:val="center"/>
            </w:pPr>
            <w:r w:rsidRPr="00EE2E8A">
              <w:rPr>
                <w:rFonts w:hint="eastAsia"/>
              </w:rPr>
              <w:t>1</w:t>
            </w:r>
            <w:r w:rsidRPr="00EE2E8A">
              <w:t>00%</w:t>
            </w:r>
          </w:p>
        </w:tc>
        <w:tc>
          <w:tcPr>
            <w:tcW w:w="622" w:type="pct"/>
            <w:vAlign w:val="center"/>
          </w:tcPr>
          <w:p w14:paraId="429C512F" w14:textId="7488A5D3" w:rsidR="00BA0620" w:rsidRDefault="00BA0620" w:rsidP="00AA63CD">
            <w:pPr>
              <w:spacing w:after="100" w:afterAutospacing="1" w:line="360" w:lineRule="auto"/>
              <w:jc w:val="center"/>
            </w:pPr>
            <w:r w:rsidRPr="00EE2E8A">
              <w:rPr>
                <w:rFonts w:hint="eastAsia"/>
              </w:rPr>
              <w:t>1</w:t>
            </w:r>
            <w:r w:rsidRPr="00EE2E8A">
              <w:t>00%</w:t>
            </w:r>
          </w:p>
        </w:tc>
        <w:tc>
          <w:tcPr>
            <w:tcW w:w="623" w:type="pct"/>
            <w:vAlign w:val="center"/>
          </w:tcPr>
          <w:p w14:paraId="01E3628D" w14:textId="394E7CD3" w:rsidR="00BA0620" w:rsidRDefault="00BA0620" w:rsidP="00AA63CD">
            <w:pPr>
              <w:spacing w:after="100" w:afterAutospacing="1" w:line="360" w:lineRule="auto"/>
              <w:jc w:val="center"/>
            </w:pPr>
            <w:r w:rsidRPr="00EE2E8A">
              <w:rPr>
                <w:rFonts w:hint="eastAsia"/>
              </w:rPr>
              <w:t>1</w:t>
            </w:r>
            <w:r w:rsidRPr="00EE2E8A">
              <w:t>00%</w:t>
            </w:r>
          </w:p>
        </w:tc>
        <w:tc>
          <w:tcPr>
            <w:tcW w:w="500" w:type="pct"/>
            <w:vAlign w:val="center"/>
          </w:tcPr>
          <w:p w14:paraId="0B4872F9" w14:textId="13177728" w:rsidR="00BA0620" w:rsidRDefault="00BA0620" w:rsidP="00AA63CD">
            <w:pPr>
              <w:spacing w:after="100" w:afterAutospacing="1" w:line="360" w:lineRule="auto"/>
              <w:jc w:val="center"/>
            </w:pPr>
            <w:r w:rsidRPr="00EE2E8A">
              <w:rPr>
                <w:rFonts w:hint="eastAsia"/>
              </w:rPr>
              <w:t>1</w:t>
            </w:r>
            <w:r w:rsidRPr="00EE2E8A">
              <w:t>00%</w:t>
            </w:r>
          </w:p>
        </w:tc>
        <w:tc>
          <w:tcPr>
            <w:tcW w:w="501" w:type="pct"/>
            <w:vAlign w:val="center"/>
          </w:tcPr>
          <w:p w14:paraId="756F7354" w14:textId="0642FE78" w:rsidR="00BA0620" w:rsidRDefault="00BA0620" w:rsidP="00AA63CD">
            <w:pPr>
              <w:spacing w:after="100" w:afterAutospacing="1" w:line="360" w:lineRule="auto"/>
              <w:jc w:val="center"/>
            </w:pPr>
            <w:r w:rsidRPr="00EE2E8A">
              <w:rPr>
                <w:rFonts w:hint="eastAsia"/>
              </w:rPr>
              <w:t>1</w:t>
            </w:r>
            <w:r w:rsidRPr="00EE2E8A">
              <w:t>00%</w:t>
            </w:r>
          </w:p>
        </w:tc>
      </w:tr>
    </w:tbl>
    <w:p w14:paraId="7F513206" w14:textId="47A33407" w:rsidR="00DF6F0D" w:rsidRDefault="00BA0620" w:rsidP="00AA63CD">
      <w:pPr>
        <w:spacing w:after="100" w:afterAutospacing="1" w:line="360" w:lineRule="auto"/>
      </w:pPr>
      <w:r>
        <w:t>Note: the percentages in this table are the added rate of low-carbon technologies by scenario assumptions, thus for No Policy the percentages are 0.</w:t>
      </w:r>
    </w:p>
    <w:p w14:paraId="23A45D17" w14:textId="0FBA898A" w:rsidR="00A80F2F" w:rsidRPr="00D50F1D" w:rsidRDefault="00A80F2F" w:rsidP="00A80F2F">
      <w:pPr>
        <w:pStyle w:val="3"/>
        <w:numPr>
          <w:ilvl w:val="0"/>
          <w:numId w:val="0"/>
        </w:numPr>
        <w:spacing w:after="100" w:afterAutospacing="1" w:line="360" w:lineRule="auto"/>
        <w:ind w:left="720"/>
      </w:pPr>
      <w:r>
        <w:rPr>
          <w:rFonts w:hint="eastAsia"/>
        </w:rPr>
        <w:t>1</w:t>
      </w:r>
      <w:r w:rsidRPr="00D50F1D">
        <w:t>.2.</w:t>
      </w:r>
      <w:r>
        <w:t>3</w:t>
      </w:r>
      <w:r w:rsidRPr="00D50F1D">
        <w:t xml:space="preserve"> </w:t>
      </w:r>
      <w:r>
        <w:t xml:space="preserve">Scenario </w:t>
      </w:r>
      <w:r w:rsidRPr="00D50F1D">
        <w:t>settings</w:t>
      </w:r>
      <w:r>
        <w:t xml:space="preserve"> of post-COVID period</w:t>
      </w:r>
    </w:p>
    <w:p w14:paraId="683ED402" w14:textId="737CA323" w:rsidR="00A80F2F" w:rsidRDefault="00A80F2F" w:rsidP="00A80F2F">
      <w:pPr>
        <w:spacing w:after="100" w:afterAutospacing="1" w:line="360" w:lineRule="auto"/>
      </w:pPr>
      <w:r>
        <w:fldChar w:fldCharType="begin"/>
      </w:r>
      <w:r>
        <w:instrText xml:space="preserve"> REF _Ref67753791 \h </w:instrText>
      </w:r>
      <w:r>
        <w:fldChar w:fldCharType="separate"/>
      </w:r>
      <w:r>
        <w:t xml:space="preserve">Table S </w:t>
      </w:r>
      <w:r>
        <w:rPr>
          <w:noProof/>
        </w:rPr>
        <w:t>6</w:t>
      </w:r>
      <w:r>
        <w:fldChar w:fldCharType="end"/>
      </w:r>
      <w:r>
        <w:t xml:space="preserve"> shows the scenario settings of the post-COVID period, with three different low-carbon settings combined with four different lockdown settings for COVID, 12 scenarios in total. The detailed </w:t>
      </w:r>
      <w:r w:rsidR="009669F6" w:rsidRPr="009669F6">
        <w:t>CO</w:t>
      </w:r>
      <w:r w:rsidR="009669F6" w:rsidRPr="009669F6">
        <w:rPr>
          <w:vertAlign w:val="subscript"/>
        </w:rPr>
        <w:t>2</w:t>
      </w:r>
      <w:r>
        <w:t xml:space="preserve"> emissions data under the 12 scenarios are provided in section </w:t>
      </w:r>
      <w:r>
        <w:fldChar w:fldCharType="begin"/>
      </w:r>
      <w:r>
        <w:instrText xml:space="preserve"> REF _Ref67687380 \r \h </w:instrText>
      </w:r>
      <w:r>
        <w:fldChar w:fldCharType="separate"/>
      </w:r>
      <w:r>
        <w:t>3.3</w:t>
      </w:r>
      <w:r>
        <w:fldChar w:fldCharType="end"/>
      </w:r>
      <w:r>
        <w:t>.</w:t>
      </w:r>
    </w:p>
    <w:p w14:paraId="4D5830B6" w14:textId="7C2ABFEB" w:rsidR="00A80F2F" w:rsidRDefault="00A80F2F" w:rsidP="00A80F2F">
      <w:pPr>
        <w:pStyle w:val="af6"/>
      </w:pPr>
      <w:bookmarkStart w:id="28" w:name="_Ref67753791"/>
      <w:bookmarkStart w:id="29" w:name="_Ref67753775"/>
      <w:r>
        <w:t xml:space="preserve">Table S </w:t>
      </w:r>
      <w:fldSimple w:instr=" SEQ Table_S \* ARABIC ">
        <w:r>
          <w:rPr>
            <w:noProof/>
          </w:rPr>
          <w:t>6</w:t>
        </w:r>
      </w:fldSimple>
      <w:bookmarkEnd w:id="28"/>
      <w:r>
        <w:t xml:space="preserve"> Scenario settings of post-COVID period</w:t>
      </w:r>
      <w:bookmarkEnd w:id="29"/>
    </w:p>
    <w:tbl>
      <w:tblPr>
        <w:tblW w:w="4988" w:type="pct"/>
        <w:tblLayout w:type="fixed"/>
        <w:tblLook w:val="04A0" w:firstRow="1" w:lastRow="0" w:firstColumn="1" w:lastColumn="0" w:noHBand="0" w:noVBand="1"/>
      </w:tblPr>
      <w:tblGrid>
        <w:gridCol w:w="2410"/>
        <w:gridCol w:w="1256"/>
        <w:gridCol w:w="1540"/>
        <w:gridCol w:w="1540"/>
        <w:gridCol w:w="1540"/>
      </w:tblGrid>
      <w:tr w:rsidR="00A80F2F" w:rsidRPr="00E309AB" w14:paraId="1F927D31" w14:textId="77777777" w:rsidTr="009669F6">
        <w:trPr>
          <w:trHeight w:val="250"/>
        </w:trPr>
        <w:tc>
          <w:tcPr>
            <w:tcW w:w="1454" w:type="pct"/>
            <w:tcBorders>
              <w:top w:val="single" w:sz="8" w:space="0" w:color="auto"/>
              <w:left w:val="nil"/>
              <w:bottom w:val="nil"/>
              <w:right w:val="nil"/>
              <w:tl2br w:val="single" w:sz="4" w:space="0" w:color="auto"/>
            </w:tcBorders>
            <w:shd w:val="clear" w:color="auto" w:fill="auto"/>
            <w:noWrap/>
            <w:vAlign w:val="center"/>
            <w:hideMark/>
          </w:tcPr>
          <w:p w14:paraId="4B5183BE" w14:textId="77777777" w:rsidR="00A80F2F" w:rsidRDefault="00A80F2F" w:rsidP="009669F6">
            <w:pPr>
              <w:widowControl/>
              <w:spacing w:before="0" w:after="100" w:afterAutospacing="1" w:line="360" w:lineRule="auto"/>
              <w:jc w:val="right"/>
              <w:rPr>
                <w:rFonts w:eastAsia="等线"/>
                <w:kern w:val="0"/>
              </w:rPr>
            </w:pPr>
            <w:r w:rsidRPr="00B27170">
              <w:rPr>
                <w:rFonts w:eastAsia="等线"/>
                <w:kern w:val="0"/>
              </w:rPr>
              <w:t>COVID lockdown</w:t>
            </w:r>
          </w:p>
          <w:p w14:paraId="1137F0C2" w14:textId="77777777" w:rsidR="00A80F2F" w:rsidRPr="005951B5" w:rsidRDefault="00A80F2F" w:rsidP="009669F6">
            <w:pPr>
              <w:widowControl/>
              <w:spacing w:before="0" w:after="100" w:afterAutospacing="1" w:line="360" w:lineRule="auto"/>
              <w:jc w:val="right"/>
              <w:rPr>
                <w:rFonts w:eastAsia="等线"/>
                <w:kern w:val="0"/>
              </w:rPr>
            </w:pPr>
            <w:r w:rsidRPr="00B27170">
              <w:rPr>
                <w:rFonts w:eastAsia="等线"/>
                <w:kern w:val="0"/>
              </w:rPr>
              <w:t>setting</w:t>
            </w:r>
          </w:p>
          <w:p w14:paraId="2A1C0910" w14:textId="77777777" w:rsidR="00A80F2F" w:rsidRPr="00E309AB" w:rsidRDefault="00A80F2F" w:rsidP="009669F6">
            <w:pPr>
              <w:widowControl/>
              <w:spacing w:before="0" w:after="100" w:afterAutospacing="1" w:line="360" w:lineRule="auto"/>
              <w:jc w:val="left"/>
              <w:rPr>
                <w:rFonts w:eastAsia="等线"/>
                <w:kern w:val="0"/>
              </w:rPr>
            </w:pPr>
            <w:r>
              <w:rPr>
                <w:rFonts w:eastAsia="等线"/>
                <w:kern w:val="0"/>
              </w:rPr>
              <w:t>L</w:t>
            </w:r>
            <w:r w:rsidRPr="005951B5">
              <w:rPr>
                <w:rFonts w:eastAsia="等线"/>
                <w:kern w:val="0"/>
              </w:rPr>
              <w:t>ow carbon setting</w:t>
            </w:r>
          </w:p>
        </w:tc>
        <w:tc>
          <w:tcPr>
            <w:tcW w:w="758" w:type="pct"/>
            <w:tcBorders>
              <w:top w:val="single" w:sz="8" w:space="0" w:color="auto"/>
              <w:left w:val="nil"/>
              <w:bottom w:val="nil"/>
              <w:right w:val="nil"/>
            </w:tcBorders>
            <w:shd w:val="clear" w:color="auto" w:fill="auto"/>
            <w:noWrap/>
            <w:vAlign w:val="center"/>
            <w:hideMark/>
          </w:tcPr>
          <w:p w14:paraId="10946256" w14:textId="77777777" w:rsidR="00A80F2F" w:rsidRPr="00E309AB" w:rsidRDefault="00A80F2F" w:rsidP="009669F6">
            <w:pPr>
              <w:widowControl/>
              <w:spacing w:before="0" w:after="100" w:afterAutospacing="1" w:line="360" w:lineRule="auto"/>
              <w:jc w:val="left"/>
              <w:rPr>
                <w:rFonts w:eastAsia="等线"/>
                <w:kern w:val="0"/>
              </w:rPr>
            </w:pPr>
            <w:r w:rsidRPr="00E309AB">
              <w:rPr>
                <w:rFonts w:eastAsia="等线"/>
                <w:kern w:val="0"/>
              </w:rPr>
              <w:t>No COVID</w:t>
            </w:r>
          </w:p>
        </w:tc>
        <w:tc>
          <w:tcPr>
            <w:tcW w:w="929" w:type="pct"/>
            <w:tcBorders>
              <w:top w:val="single" w:sz="8" w:space="0" w:color="auto"/>
              <w:left w:val="nil"/>
              <w:bottom w:val="nil"/>
              <w:right w:val="nil"/>
            </w:tcBorders>
            <w:shd w:val="clear" w:color="auto" w:fill="auto"/>
            <w:noWrap/>
            <w:vAlign w:val="center"/>
            <w:hideMark/>
          </w:tcPr>
          <w:p w14:paraId="278D4793" w14:textId="77777777" w:rsidR="00A80F2F" w:rsidRPr="00E309AB" w:rsidRDefault="00A80F2F" w:rsidP="009669F6">
            <w:pPr>
              <w:widowControl/>
              <w:spacing w:before="0" w:after="100" w:afterAutospacing="1" w:line="360" w:lineRule="auto"/>
              <w:jc w:val="left"/>
              <w:rPr>
                <w:rFonts w:eastAsia="等线"/>
                <w:kern w:val="0"/>
              </w:rPr>
            </w:pPr>
            <w:r w:rsidRPr="00E309AB">
              <w:rPr>
                <w:rFonts w:eastAsia="等线"/>
                <w:kern w:val="0"/>
              </w:rPr>
              <w:t>Mild lockdown for COVID</w:t>
            </w:r>
          </w:p>
        </w:tc>
        <w:tc>
          <w:tcPr>
            <w:tcW w:w="929" w:type="pct"/>
            <w:tcBorders>
              <w:top w:val="single" w:sz="8" w:space="0" w:color="auto"/>
              <w:left w:val="nil"/>
              <w:bottom w:val="nil"/>
              <w:right w:val="nil"/>
            </w:tcBorders>
            <w:shd w:val="clear" w:color="auto" w:fill="auto"/>
            <w:noWrap/>
            <w:vAlign w:val="center"/>
            <w:hideMark/>
          </w:tcPr>
          <w:p w14:paraId="71FF8D12" w14:textId="77777777" w:rsidR="00A80F2F" w:rsidRPr="00E309AB" w:rsidRDefault="00A80F2F" w:rsidP="009669F6">
            <w:pPr>
              <w:widowControl/>
              <w:spacing w:before="0" w:after="100" w:afterAutospacing="1" w:line="360" w:lineRule="auto"/>
              <w:jc w:val="left"/>
              <w:rPr>
                <w:rFonts w:eastAsia="等线"/>
                <w:kern w:val="0"/>
              </w:rPr>
            </w:pPr>
            <w:r w:rsidRPr="00E309AB">
              <w:rPr>
                <w:rFonts w:eastAsia="等线"/>
                <w:kern w:val="0"/>
              </w:rPr>
              <w:t>Default lockdown for COVID</w:t>
            </w:r>
          </w:p>
        </w:tc>
        <w:tc>
          <w:tcPr>
            <w:tcW w:w="929" w:type="pct"/>
            <w:tcBorders>
              <w:top w:val="single" w:sz="8" w:space="0" w:color="auto"/>
              <w:left w:val="nil"/>
              <w:bottom w:val="nil"/>
              <w:right w:val="nil"/>
            </w:tcBorders>
            <w:shd w:val="clear" w:color="auto" w:fill="auto"/>
            <w:noWrap/>
            <w:vAlign w:val="center"/>
            <w:hideMark/>
          </w:tcPr>
          <w:p w14:paraId="73D3CDFE" w14:textId="77777777" w:rsidR="00A80F2F" w:rsidRPr="00E309AB" w:rsidRDefault="00A80F2F" w:rsidP="009669F6">
            <w:pPr>
              <w:widowControl/>
              <w:spacing w:before="0" w:after="100" w:afterAutospacing="1" w:line="360" w:lineRule="auto"/>
              <w:jc w:val="left"/>
              <w:rPr>
                <w:rFonts w:eastAsia="等线"/>
                <w:kern w:val="0"/>
              </w:rPr>
            </w:pPr>
            <w:r w:rsidRPr="00E309AB">
              <w:rPr>
                <w:rFonts w:eastAsia="等线"/>
                <w:kern w:val="0"/>
              </w:rPr>
              <w:t>Severe lockdown for COVID</w:t>
            </w:r>
          </w:p>
        </w:tc>
      </w:tr>
      <w:tr w:rsidR="00A80F2F" w:rsidRPr="00E309AB" w14:paraId="6452BECF" w14:textId="77777777" w:rsidTr="009669F6">
        <w:trPr>
          <w:trHeight w:val="250"/>
        </w:trPr>
        <w:tc>
          <w:tcPr>
            <w:tcW w:w="1454" w:type="pct"/>
            <w:tcBorders>
              <w:top w:val="single" w:sz="4" w:space="0" w:color="auto"/>
              <w:left w:val="nil"/>
              <w:bottom w:val="nil"/>
              <w:right w:val="nil"/>
            </w:tcBorders>
            <w:shd w:val="clear" w:color="auto" w:fill="auto"/>
            <w:noWrap/>
            <w:vAlign w:val="center"/>
            <w:hideMark/>
          </w:tcPr>
          <w:p w14:paraId="51D97447" w14:textId="77777777" w:rsidR="00A80F2F" w:rsidRPr="00E309AB" w:rsidRDefault="00A80F2F" w:rsidP="009669F6">
            <w:pPr>
              <w:widowControl/>
              <w:spacing w:before="0" w:after="100" w:afterAutospacing="1" w:line="360" w:lineRule="auto"/>
              <w:rPr>
                <w:rFonts w:eastAsia="等线"/>
                <w:kern w:val="0"/>
              </w:rPr>
            </w:pPr>
            <w:r w:rsidRPr="00E309AB">
              <w:rPr>
                <w:rFonts w:eastAsia="等线"/>
                <w:kern w:val="0"/>
              </w:rPr>
              <w:t>No policy</w:t>
            </w:r>
          </w:p>
        </w:tc>
        <w:tc>
          <w:tcPr>
            <w:tcW w:w="758" w:type="pct"/>
            <w:tcBorders>
              <w:top w:val="single" w:sz="4" w:space="0" w:color="auto"/>
              <w:left w:val="nil"/>
              <w:bottom w:val="nil"/>
              <w:right w:val="nil"/>
            </w:tcBorders>
            <w:shd w:val="clear" w:color="auto" w:fill="auto"/>
            <w:noWrap/>
            <w:vAlign w:val="center"/>
            <w:hideMark/>
          </w:tcPr>
          <w:p w14:paraId="1E4E9978" w14:textId="77777777" w:rsidR="00A80F2F" w:rsidRPr="00E309AB" w:rsidRDefault="00A80F2F" w:rsidP="009669F6">
            <w:pPr>
              <w:widowControl/>
              <w:spacing w:before="0" w:after="100" w:afterAutospacing="1" w:line="360" w:lineRule="auto"/>
              <w:rPr>
                <w:rFonts w:eastAsia="等线"/>
                <w:kern w:val="0"/>
              </w:rPr>
            </w:pPr>
            <w:r w:rsidRPr="00E309AB">
              <w:rPr>
                <w:rFonts w:eastAsia="等线"/>
                <w:kern w:val="0"/>
              </w:rPr>
              <w:t>Baseline</w:t>
            </w:r>
          </w:p>
        </w:tc>
        <w:tc>
          <w:tcPr>
            <w:tcW w:w="929" w:type="pct"/>
            <w:tcBorders>
              <w:top w:val="single" w:sz="4" w:space="0" w:color="auto"/>
              <w:left w:val="nil"/>
              <w:bottom w:val="nil"/>
              <w:right w:val="nil"/>
            </w:tcBorders>
            <w:shd w:val="clear" w:color="auto" w:fill="auto"/>
            <w:noWrap/>
            <w:vAlign w:val="center"/>
            <w:hideMark/>
          </w:tcPr>
          <w:p w14:paraId="4862439F"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Mild_NP</w:t>
            </w:r>
            <w:proofErr w:type="spellEnd"/>
          </w:p>
        </w:tc>
        <w:tc>
          <w:tcPr>
            <w:tcW w:w="929" w:type="pct"/>
            <w:tcBorders>
              <w:top w:val="single" w:sz="4" w:space="0" w:color="auto"/>
              <w:left w:val="nil"/>
              <w:bottom w:val="nil"/>
              <w:right w:val="nil"/>
            </w:tcBorders>
            <w:shd w:val="clear" w:color="auto" w:fill="auto"/>
            <w:noWrap/>
            <w:vAlign w:val="center"/>
            <w:hideMark/>
          </w:tcPr>
          <w:p w14:paraId="7CC8F8FC"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WeakPolicy</w:t>
            </w:r>
            <w:proofErr w:type="spellEnd"/>
          </w:p>
        </w:tc>
        <w:tc>
          <w:tcPr>
            <w:tcW w:w="929" w:type="pct"/>
            <w:tcBorders>
              <w:top w:val="single" w:sz="4" w:space="0" w:color="auto"/>
              <w:left w:val="nil"/>
              <w:bottom w:val="nil"/>
              <w:right w:val="nil"/>
            </w:tcBorders>
            <w:shd w:val="clear" w:color="auto" w:fill="auto"/>
            <w:noWrap/>
            <w:vAlign w:val="center"/>
            <w:hideMark/>
          </w:tcPr>
          <w:p w14:paraId="4504CDAA"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Severe_NP</w:t>
            </w:r>
            <w:proofErr w:type="spellEnd"/>
          </w:p>
        </w:tc>
      </w:tr>
      <w:tr w:rsidR="00A80F2F" w:rsidRPr="00E309AB" w14:paraId="7EBB16A2" w14:textId="77777777" w:rsidTr="009669F6">
        <w:trPr>
          <w:trHeight w:val="250"/>
        </w:trPr>
        <w:tc>
          <w:tcPr>
            <w:tcW w:w="1454" w:type="pct"/>
            <w:tcBorders>
              <w:top w:val="nil"/>
              <w:left w:val="nil"/>
              <w:bottom w:val="nil"/>
              <w:right w:val="nil"/>
            </w:tcBorders>
            <w:shd w:val="clear" w:color="auto" w:fill="auto"/>
            <w:noWrap/>
            <w:vAlign w:val="center"/>
            <w:hideMark/>
          </w:tcPr>
          <w:p w14:paraId="556EF30D" w14:textId="77777777" w:rsidR="00A80F2F" w:rsidRPr="00E309AB" w:rsidRDefault="00A80F2F" w:rsidP="009669F6">
            <w:pPr>
              <w:widowControl/>
              <w:spacing w:before="0" w:after="100" w:afterAutospacing="1" w:line="360" w:lineRule="auto"/>
              <w:rPr>
                <w:rFonts w:eastAsia="等线"/>
                <w:kern w:val="0"/>
              </w:rPr>
            </w:pPr>
            <w:r w:rsidRPr="00E309AB">
              <w:rPr>
                <w:rFonts w:eastAsia="等线"/>
                <w:kern w:val="0"/>
              </w:rPr>
              <w:t>Low Carbon</w:t>
            </w:r>
          </w:p>
        </w:tc>
        <w:tc>
          <w:tcPr>
            <w:tcW w:w="758" w:type="pct"/>
            <w:tcBorders>
              <w:top w:val="nil"/>
              <w:left w:val="nil"/>
              <w:bottom w:val="nil"/>
              <w:right w:val="nil"/>
            </w:tcBorders>
            <w:shd w:val="clear" w:color="auto" w:fill="auto"/>
            <w:noWrap/>
            <w:vAlign w:val="center"/>
            <w:hideMark/>
          </w:tcPr>
          <w:p w14:paraId="1C6F0A20"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NoC_LC</w:t>
            </w:r>
            <w:proofErr w:type="spellEnd"/>
          </w:p>
        </w:tc>
        <w:tc>
          <w:tcPr>
            <w:tcW w:w="929" w:type="pct"/>
            <w:tcBorders>
              <w:top w:val="nil"/>
              <w:left w:val="nil"/>
              <w:bottom w:val="nil"/>
              <w:right w:val="nil"/>
            </w:tcBorders>
            <w:shd w:val="clear" w:color="auto" w:fill="auto"/>
            <w:noWrap/>
            <w:vAlign w:val="center"/>
            <w:hideMark/>
          </w:tcPr>
          <w:p w14:paraId="6AE41D47"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Mild_LC</w:t>
            </w:r>
            <w:proofErr w:type="spellEnd"/>
          </w:p>
        </w:tc>
        <w:tc>
          <w:tcPr>
            <w:tcW w:w="929" w:type="pct"/>
            <w:tcBorders>
              <w:top w:val="nil"/>
              <w:left w:val="nil"/>
              <w:bottom w:val="nil"/>
              <w:right w:val="nil"/>
            </w:tcBorders>
            <w:shd w:val="clear" w:color="auto" w:fill="auto"/>
            <w:noWrap/>
            <w:vAlign w:val="center"/>
            <w:hideMark/>
          </w:tcPr>
          <w:p w14:paraId="4C441AB6"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LowCarbon</w:t>
            </w:r>
            <w:proofErr w:type="spellEnd"/>
          </w:p>
        </w:tc>
        <w:tc>
          <w:tcPr>
            <w:tcW w:w="929" w:type="pct"/>
            <w:tcBorders>
              <w:top w:val="nil"/>
              <w:left w:val="nil"/>
              <w:bottom w:val="nil"/>
              <w:right w:val="nil"/>
            </w:tcBorders>
            <w:shd w:val="clear" w:color="auto" w:fill="auto"/>
            <w:noWrap/>
            <w:vAlign w:val="center"/>
            <w:hideMark/>
          </w:tcPr>
          <w:p w14:paraId="6BC1A3F0"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Severe_LC</w:t>
            </w:r>
            <w:proofErr w:type="spellEnd"/>
          </w:p>
        </w:tc>
      </w:tr>
      <w:tr w:rsidR="00A80F2F" w:rsidRPr="00E309AB" w14:paraId="1A7B3C3C" w14:textId="77777777" w:rsidTr="009669F6">
        <w:trPr>
          <w:trHeight w:val="250"/>
        </w:trPr>
        <w:tc>
          <w:tcPr>
            <w:tcW w:w="1454" w:type="pct"/>
            <w:tcBorders>
              <w:top w:val="nil"/>
              <w:left w:val="nil"/>
              <w:bottom w:val="single" w:sz="8" w:space="0" w:color="auto"/>
              <w:right w:val="nil"/>
            </w:tcBorders>
            <w:shd w:val="clear" w:color="auto" w:fill="auto"/>
            <w:noWrap/>
            <w:vAlign w:val="center"/>
            <w:hideMark/>
          </w:tcPr>
          <w:p w14:paraId="6A604D25" w14:textId="77777777" w:rsidR="00A80F2F" w:rsidRPr="00E309AB" w:rsidRDefault="00A80F2F" w:rsidP="009669F6">
            <w:pPr>
              <w:widowControl/>
              <w:spacing w:before="0" w:after="100" w:afterAutospacing="1" w:line="360" w:lineRule="auto"/>
              <w:rPr>
                <w:rFonts w:eastAsia="等线"/>
                <w:kern w:val="0"/>
              </w:rPr>
            </w:pPr>
            <w:r w:rsidRPr="00E309AB">
              <w:rPr>
                <w:rFonts w:eastAsia="等线"/>
                <w:kern w:val="0"/>
              </w:rPr>
              <w:t>Extreme Low Carbon</w:t>
            </w:r>
          </w:p>
        </w:tc>
        <w:tc>
          <w:tcPr>
            <w:tcW w:w="758" w:type="pct"/>
            <w:tcBorders>
              <w:top w:val="nil"/>
              <w:left w:val="nil"/>
              <w:bottom w:val="single" w:sz="8" w:space="0" w:color="auto"/>
              <w:right w:val="nil"/>
            </w:tcBorders>
            <w:shd w:val="clear" w:color="auto" w:fill="auto"/>
            <w:noWrap/>
            <w:vAlign w:val="center"/>
            <w:hideMark/>
          </w:tcPr>
          <w:p w14:paraId="0B7C6DDE"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NoC_eLC</w:t>
            </w:r>
            <w:proofErr w:type="spellEnd"/>
          </w:p>
        </w:tc>
        <w:tc>
          <w:tcPr>
            <w:tcW w:w="929" w:type="pct"/>
            <w:tcBorders>
              <w:top w:val="nil"/>
              <w:left w:val="nil"/>
              <w:bottom w:val="single" w:sz="8" w:space="0" w:color="auto"/>
              <w:right w:val="nil"/>
            </w:tcBorders>
            <w:shd w:val="clear" w:color="auto" w:fill="auto"/>
            <w:noWrap/>
            <w:vAlign w:val="center"/>
            <w:hideMark/>
          </w:tcPr>
          <w:p w14:paraId="3F8FA6EE"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Mild_eLC</w:t>
            </w:r>
            <w:proofErr w:type="spellEnd"/>
          </w:p>
        </w:tc>
        <w:tc>
          <w:tcPr>
            <w:tcW w:w="929" w:type="pct"/>
            <w:tcBorders>
              <w:top w:val="nil"/>
              <w:left w:val="nil"/>
              <w:bottom w:val="single" w:sz="8" w:space="0" w:color="auto"/>
              <w:right w:val="nil"/>
            </w:tcBorders>
            <w:shd w:val="clear" w:color="auto" w:fill="auto"/>
            <w:noWrap/>
            <w:vAlign w:val="center"/>
            <w:hideMark/>
          </w:tcPr>
          <w:p w14:paraId="0503C4AB"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ExtremeLC</w:t>
            </w:r>
            <w:proofErr w:type="spellEnd"/>
          </w:p>
        </w:tc>
        <w:tc>
          <w:tcPr>
            <w:tcW w:w="929" w:type="pct"/>
            <w:tcBorders>
              <w:top w:val="nil"/>
              <w:left w:val="nil"/>
              <w:bottom w:val="single" w:sz="8" w:space="0" w:color="auto"/>
              <w:right w:val="nil"/>
            </w:tcBorders>
            <w:shd w:val="clear" w:color="auto" w:fill="auto"/>
            <w:noWrap/>
            <w:vAlign w:val="center"/>
            <w:hideMark/>
          </w:tcPr>
          <w:p w14:paraId="7C9C7D2E" w14:textId="77777777" w:rsidR="00A80F2F" w:rsidRPr="00E309AB" w:rsidRDefault="00A80F2F" w:rsidP="009669F6">
            <w:pPr>
              <w:widowControl/>
              <w:spacing w:before="0" w:after="100" w:afterAutospacing="1" w:line="360" w:lineRule="auto"/>
              <w:rPr>
                <w:rFonts w:eastAsia="等线"/>
                <w:kern w:val="0"/>
              </w:rPr>
            </w:pPr>
            <w:proofErr w:type="spellStart"/>
            <w:r w:rsidRPr="00E309AB">
              <w:rPr>
                <w:rFonts w:eastAsia="等线"/>
                <w:kern w:val="0"/>
              </w:rPr>
              <w:t>Severe_eLC</w:t>
            </w:r>
            <w:proofErr w:type="spellEnd"/>
          </w:p>
        </w:tc>
      </w:tr>
    </w:tbl>
    <w:p w14:paraId="5B0FC7FC" w14:textId="4B3C649C" w:rsidR="00AA63CD" w:rsidRDefault="00AA63CD" w:rsidP="00AA63CD">
      <w:pPr>
        <w:spacing w:after="100" w:afterAutospacing="1" w:line="360" w:lineRule="auto"/>
      </w:pPr>
      <w:r w:rsidRPr="00B26EE8">
        <w:rPr>
          <w:rFonts w:hint="eastAsia"/>
        </w:rPr>
        <w:t>T</w:t>
      </w:r>
      <w:r w:rsidRPr="00B26EE8">
        <w:t>he</w:t>
      </w:r>
      <w:r>
        <w:t xml:space="preserve"> Weak policy,</w:t>
      </w:r>
      <w:r w:rsidRPr="00B26EE8">
        <w:t xml:space="preserve"> L</w:t>
      </w:r>
      <w:r>
        <w:t xml:space="preserve">ow </w:t>
      </w:r>
      <w:r w:rsidRPr="00B26EE8">
        <w:t>C</w:t>
      </w:r>
      <w:r>
        <w:t>arbon</w:t>
      </w:r>
      <w:r w:rsidRPr="00B26EE8">
        <w:t xml:space="preserve"> and </w:t>
      </w:r>
      <w:r>
        <w:t xml:space="preserve">Extreme </w:t>
      </w:r>
      <w:r w:rsidRPr="00B26EE8">
        <w:t>LC scenarios</w:t>
      </w:r>
      <w:r>
        <w:t xml:space="preserve"> that presented in the main text</w:t>
      </w:r>
      <w:r w:rsidRPr="00B26EE8">
        <w:t xml:space="preserve"> are based on the </w:t>
      </w:r>
      <w:r w:rsidR="005248E0">
        <w:t xml:space="preserve">default lockdown scenario for COVID period, and the </w:t>
      </w:r>
      <w:r w:rsidR="00CF5CDD">
        <w:t xml:space="preserve">comparison between the three scenarios </w:t>
      </w:r>
      <w:proofErr w:type="gramStart"/>
      <w:r w:rsidR="00CF5CDD">
        <w:t>can be seen as</w:t>
      </w:r>
      <w:proofErr w:type="gramEnd"/>
      <w:r w:rsidR="00CF5CDD">
        <w:t xml:space="preserve"> </w:t>
      </w:r>
      <w:r w:rsidR="00A80F2F">
        <w:fldChar w:fldCharType="begin"/>
      </w:r>
      <w:r w:rsidR="00A80F2F">
        <w:instrText xml:space="preserve"> REF _Ref67753637 \h </w:instrText>
      </w:r>
      <w:r w:rsidR="00A80F2F">
        <w:fldChar w:fldCharType="separate"/>
      </w:r>
      <w:r w:rsidR="00A80F2F">
        <w:t xml:space="preserve">Figure S </w:t>
      </w:r>
      <w:r w:rsidR="00A80F2F">
        <w:rPr>
          <w:noProof/>
        </w:rPr>
        <w:t>2</w:t>
      </w:r>
      <w:r w:rsidR="00A80F2F">
        <w:fldChar w:fldCharType="end"/>
      </w:r>
      <w:r w:rsidR="00A80F2F">
        <w:rPr>
          <w:rFonts w:hint="eastAsia"/>
        </w:rPr>
        <w:t>.</w:t>
      </w:r>
    </w:p>
    <w:p w14:paraId="11754E97" w14:textId="5A61F353" w:rsidR="005248E0" w:rsidRPr="006A5F17" w:rsidRDefault="00CF5CDD" w:rsidP="00AA63CD">
      <w:pPr>
        <w:spacing w:after="100" w:afterAutospacing="1" w:line="360" w:lineRule="auto"/>
      </w:pPr>
      <w:r>
        <w:rPr>
          <w:noProof/>
        </w:rPr>
        <w:lastRenderedPageBreak/>
        <w:drawing>
          <wp:inline distT="0" distB="0" distL="0" distR="0" wp14:anchorId="26A73008" wp14:editId="3BB32C95">
            <wp:extent cx="3876675" cy="3585136"/>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87677" cy="3595311"/>
                    </a:xfrm>
                    <a:prstGeom prst="rect">
                      <a:avLst/>
                    </a:prstGeom>
                    <a:noFill/>
                    <a:ln>
                      <a:noFill/>
                    </a:ln>
                  </pic:spPr>
                </pic:pic>
              </a:graphicData>
            </a:graphic>
          </wp:inline>
        </w:drawing>
      </w:r>
    </w:p>
    <w:p w14:paraId="731CFAA8" w14:textId="4263F37A" w:rsidR="0029142D" w:rsidRDefault="00CF5CDD" w:rsidP="00CF5CDD">
      <w:pPr>
        <w:pStyle w:val="af6"/>
      </w:pPr>
      <w:bookmarkStart w:id="30" w:name="_Ref67753637"/>
      <w:r>
        <w:t xml:space="preserve">Figure S </w:t>
      </w:r>
      <w:fldSimple w:instr=" SEQ Figure_S \* ARABIC ">
        <w:r w:rsidR="001E11D5">
          <w:rPr>
            <w:noProof/>
          </w:rPr>
          <w:t>2</w:t>
        </w:r>
      </w:fldSimple>
      <w:bookmarkEnd w:id="30"/>
      <w:r>
        <w:t xml:space="preserve"> Comparison between the Weak Policy, Low Carbon (LC), and Extreme LC in terms of the share of electric vehicles (x axis) and low-carbon electricity generation (y </w:t>
      </w:r>
      <w:r>
        <w:rPr>
          <w:rFonts w:hint="eastAsia"/>
        </w:rPr>
        <w:t>axis</w:t>
      </w:r>
      <w:r>
        <w:t xml:space="preserve">). </w:t>
      </w:r>
      <w:r w:rsidR="00BF77C8">
        <w:t>T</w:t>
      </w:r>
      <w:r w:rsidR="00BF77C8">
        <w:rPr>
          <w:rFonts w:hint="eastAsia"/>
        </w:rPr>
        <w:t>h</w:t>
      </w:r>
      <w:r w:rsidR="00BF77C8">
        <w:t xml:space="preserve">e </w:t>
      </w:r>
      <w:r w:rsidR="00BF77C8" w:rsidRPr="00BF77C8">
        <w:t>dark circles</w:t>
      </w:r>
      <w:r w:rsidR="00BF77C8">
        <w:t xml:space="preserve"> show</w:t>
      </w:r>
      <w:r w:rsidR="00BF77C8" w:rsidRPr="00BF77C8">
        <w:t xml:space="preserve"> the median across all 59 countries and the larger lighter ones show the range among all the 59.</w:t>
      </w:r>
    </w:p>
    <w:p w14:paraId="4F725D7D" w14:textId="77777777" w:rsidR="00C478D6" w:rsidRPr="00BF77C8" w:rsidRDefault="00C478D6" w:rsidP="00C478D6"/>
    <w:p w14:paraId="2B7402E1" w14:textId="5DA8DAA2" w:rsidR="00E96E4B" w:rsidRPr="00214EFC" w:rsidRDefault="00DC7A9D" w:rsidP="00AA63CD">
      <w:pPr>
        <w:pStyle w:val="2"/>
        <w:spacing w:after="100" w:afterAutospacing="1" w:line="360" w:lineRule="auto"/>
      </w:pPr>
      <w:r w:rsidRPr="00214EFC">
        <w:t>References for Supporting methods</w:t>
      </w:r>
    </w:p>
    <w:p w14:paraId="74CAF041" w14:textId="77777777" w:rsidR="00C478D6" w:rsidRPr="00C478D6" w:rsidRDefault="00C478D6" w:rsidP="00C478D6">
      <w:pPr>
        <w:pStyle w:val="afd"/>
      </w:pPr>
      <w:r w:rsidRPr="00C478D6">
        <w:t>1.</w:t>
      </w:r>
      <w:r w:rsidRPr="00C478D6">
        <w:tab/>
      </w:r>
      <w:proofErr w:type="spellStart"/>
      <w:r w:rsidRPr="00C478D6">
        <w:t>Koks</w:t>
      </w:r>
      <w:proofErr w:type="spellEnd"/>
      <w:r w:rsidRPr="00C478D6">
        <w:t xml:space="preserve">, E. E. </w:t>
      </w:r>
      <w:r w:rsidRPr="00C478D6">
        <w:rPr>
          <w:i/>
          <w:iCs/>
        </w:rPr>
        <w:t>et al.</w:t>
      </w:r>
      <w:r w:rsidRPr="00C478D6">
        <w:t xml:space="preserve"> Regional disaster impact analysis: comparing input–output and computable general equilibrium models. </w:t>
      </w:r>
      <w:r w:rsidRPr="00C478D6">
        <w:rPr>
          <w:i/>
          <w:iCs/>
        </w:rPr>
        <w:t>Natural Hazards and Earth System Sciences</w:t>
      </w:r>
      <w:r w:rsidRPr="00C478D6">
        <w:t xml:space="preserve"> </w:t>
      </w:r>
      <w:r w:rsidRPr="00C478D6">
        <w:rPr>
          <w:b/>
          <w:bCs/>
        </w:rPr>
        <w:t>16</w:t>
      </w:r>
      <w:r w:rsidRPr="00C478D6">
        <w:t>, (2016).</w:t>
      </w:r>
    </w:p>
    <w:p w14:paraId="286FE9B2" w14:textId="77777777" w:rsidR="00C478D6" w:rsidRPr="00C478D6" w:rsidRDefault="00C478D6" w:rsidP="00C478D6">
      <w:pPr>
        <w:pStyle w:val="afd"/>
      </w:pPr>
      <w:r w:rsidRPr="00C478D6">
        <w:t>2.</w:t>
      </w:r>
      <w:r w:rsidRPr="00C478D6">
        <w:tab/>
      </w:r>
      <w:proofErr w:type="spellStart"/>
      <w:r w:rsidRPr="00C478D6">
        <w:t>Hallegatte</w:t>
      </w:r>
      <w:proofErr w:type="spellEnd"/>
      <w:r w:rsidRPr="00C478D6">
        <w:t xml:space="preserve">, S. An Adaptive Regional Input‐Output Model and its Application to the Assessment of the Economic Cost of Katrina. </w:t>
      </w:r>
      <w:r w:rsidRPr="00C478D6">
        <w:rPr>
          <w:i/>
          <w:iCs/>
        </w:rPr>
        <w:t>Risk Analysis</w:t>
      </w:r>
      <w:r w:rsidRPr="00C478D6">
        <w:t xml:space="preserve"> (2008).</w:t>
      </w:r>
    </w:p>
    <w:p w14:paraId="686523B5" w14:textId="77777777" w:rsidR="00C478D6" w:rsidRPr="00C478D6" w:rsidRDefault="00C478D6" w:rsidP="00C478D6">
      <w:pPr>
        <w:pStyle w:val="afd"/>
      </w:pPr>
      <w:r w:rsidRPr="00C478D6">
        <w:t>3.</w:t>
      </w:r>
      <w:r w:rsidRPr="00C478D6">
        <w:tab/>
      </w:r>
      <w:proofErr w:type="spellStart"/>
      <w:r w:rsidRPr="00C478D6">
        <w:t>Hallegatte</w:t>
      </w:r>
      <w:proofErr w:type="spellEnd"/>
      <w:r w:rsidRPr="00C478D6">
        <w:t xml:space="preserve">, S. Modeling the Role of Inventories and Heterogeneity in the Assessment of the Economic Costs of Natural Disasters. </w:t>
      </w:r>
      <w:r w:rsidRPr="00C478D6">
        <w:rPr>
          <w:i/>
          <w:iCs/>
        </w:rPr>
        <w:t>Risk Analysis</w:t>
      </w:r>
      <w:r w:rsidRPr="00C478D6">
        <w:t xml:space="preserve"> </w:t>
      </w:r>
      <w:r w:rsidRPr="00C478D6">
        <w:rPr>
          <w:b/>
          <w:bCs/>
        </w:rPr>
        <w:t>34</w:t>
      </w:r>
      <w:r w:rsidRPr="00C478D6">
        <w:t>, 152–167 (2014).</w:t>
      </w:r>
    </w:p>
    <w:p w14:paraId="0B17D2FD" w14:textId="77777777" w:rsidR="00C478D6" w:rsidRPr="00C478D6" w:rsidRDefault="00C478D6" w:rsidP="00C478D6">
      <w:pPr>
        <w:pStyle w:val="afd"/>
      </w:pPr>
      <w:r w:rsidRPr="00C478D6">
        <w:t>4.</w:t>
      </w:r>
      <w:r w:rsidRPr="00C478D6">
        <w:tab/>
        <w:t xml:space="preserve">Inoue, H. &amp; </w:t>
      </w:r>
      <w:proofErr w:type="spellStart"/>
      <w:r w:rsidRPr="00C478D6">
        <w:t>Todo</w:t>
      </w:r>
      <w:proofErr w:type="spellEnd"/>
      <w:r w:rsidRPr="00C478D6">
        <w:t xml:space="preserve">, Y. Firm-level propagation of shocks through supply-chain networks. </w:t>
      </w:r>
      <w:r w:rsidRPr="00C478D6">
        <w:rPr>
          <w:i/>
          <w:iCs/>
        </w:rPr>
        <w:t>Nature Sustainability</w:t>
      </w:r>
      <w:r w:rsidRPr="00C478D6">
        <w:t xml:space="preserve"> </w:t>
      </w:r>
      <w:r w:rsidRPr="00C478D6">
        <w:rPr>
          <w:b/>
          <w:bCs/>
        </w:rPr>
        <w:t>2</w:t>
      </w:r>
      <w:r w:rsidRPr="00C478D6">
        <w:t>, 841–847 (2019).</w:t>
      </w:r>
    </w:p>
    <w:p w14:paraId="2C05ED88" w14:textId="77777777" w:rsidR="00C478D6" w:rsidRPr="00C478D6" w:rsidRDefault="00C478D6" w:rsidP="00C478D6">
      <w:pPr>
        <w:pStyle w:val="afd"/>
      </w:pPr>
      <w:r w:rsidRPr="00C478D6">
        <w:lastRenderedPageBreak/>
        <w:t>5.</w:t>
      </w:r>
      <w:r w:rsidRPr="00C478D6">
        <w:tab/>
        <w:t xml:space="preserve">Inoue, H. &amp; </w:t>
      </w:r>
      <w:proofErr w:type="spellStart"/>
      <w:r w:rsidRPr="00C478D6">
        <w:t>Todo</w:t>
      </w:r>
      <w:proofErr w:type="spellEnd"/>
      <w:r w:rsidRPr="00C478D6">
        <w:t xml:space="preserve">, Y. The propagation of economic impacts through supply chains: The case of a mega-city lockdown to prevent the spread of COVID-19. </w:t>
      </w:r>
      <w:r w:rsidRPr="00C478D6">
        <w:rPr>
          <w:i/>
          <w:iCs/>
        </w:rPr>
        <w:t>PLOS ONE</w:t>
      </w:r>
      <w:r w:rsidRPr="00C478D6">
        <w:t xml:space="preserve"> </w:t>
      </w:r>
      <w:r w:rsidRPr="00C478D6">
        <w:rPr>
          <w:b/>
          <w:bCs/>
        </w:rPr>
        <w:t>15</w:t>
      </w:r>
      <w:r w:rsidRPr="00C478D6">
        <w:t>, e0239251 (2020).</w:t>
      </w:r>
    </w:p>
    <w:p w14:paraId="7A764807" w14:textId="77777777" w:rsidR="00C478D6" w:rsidRPr="00C478D6" w:rsidRDefault="00C478D6" w:rsidP="00C478D6">
      <w:pPr>
        <w:pStyle w:val="afd"/>
      </w:pPr>
      <w:r w:rsidRPr="00C478D6">
        <w:t>6.</w:t>
      </w:r>
      <w:r w:rsidRPr="00C478D6">
        <w:tab/>
        <w:t xml:space="preserve">Pichler, A., </w:t>
      </w:r>
      <w:proofErr w:type="spellStart"/>
      <w:r w:rsidRPr="00C478D6">
        <w:t>Pangallo</w:t>
      </w:r>
      <w:proofErr w:type="spellEnd"/>
      <w:r w:rsidRPr="00C478D6">
        <w:t>, M., del Rio-</w:t>
      </w:r>
      <w:proofErr w:type="spellStart"/>
      <w:r w:rsidRPr="00C478D6">
        <w:t>Chanona</w:t>
      </w:r>
      <w:proofErr w:type="spellEnd"/>
      <w:r w:rsidRPr="00C478D6">
        <w:t xml:space="preserve">, R. M., Lafond, F. &amp; Farmer, J. D. </w:t>
      </w:r>
      <w:r w:rsidRPr="00C478D6">
        <w:rPr>
          <w:i/>
          <w:iCs/>
        </w:rPr>
        <w:t>Production Networks and Epidemic Spreading: How to Restart the UK Economy?</w:t>
      </w:r>
      <w:r w:rsidRPr="00C478D6">
        <w:t xml:space="preserve"> https://papers.ssrn.com/abstract=3606984 (2020) doi:10.2139/ssrn.3606984.</w:t>
      </w:r>
    </w:p>
    <w:p w14:paraId="26B63BA4" w14:textId="77777777" w:rsidR="00C478D6" w:rsidRPr="00C478D6" w:rsidRDefault="00C478D6" w:rsidP="00C478D6">
      <w:pPr>
        <w:pStyle w:val="afd"/>
      </w:pPr>
      <w:r w:rsidRPr="00C478D6">
        <w:t>7.</w:t>
      </w:r>
      <w:r w:rsidRPr="00C478D6">
        <w:tab/>
        <w:t xml:space="preserve">Aguiar, A., </w:t>
      </w:r>
      <w:proofErr w:type="spellStart"/>
      <w:r w:rsidRPr="00C478D6">
        <w:t>Chepeliev</w:t>
      </w:r>
      <w:proofErr w:type="spellEnd"/>
      <w:r w:rsidRPr="00C478D6">
        <w:t xml:space="preserve">, M., </w:t>
      </w:r>
      <w:proofErr w:type="spellStart"/>
      <w:r w:rsidRPr="00C478D6">
        <w:t>Corong</w:t>
      </w:r>
      <w:proofErr w:type="spellEnd"/>
      <w:r w:rsidRPr="00C478D6">
        <w:t xml:space="preserve">, E. L., McDougall, R. &amp; </w:t>
      </w:r>
      <w:proofErr w:type="spellStart"/>
      <w:r w:rsidRPr="00C478D6">
        <w:t>Mensbrugghe</w:t>
      </w:r>
      <w:proofErr w:type="spellEnd"/>
      <w:r w:rsidRPr="00C478D6">
        <w:t xml:space="preserve">, D. van der. The GTAP Data Base: Version 10. </w:t>
      </w:r>
      <w:r w:rsidRPr="00C478D6">
        <w:rPr>
          <w:i/>
          <w:iCs/>
        </w:rPr>
        <w:t>Journal of Global Economic Analysis</w:t>
      </w:r>
      <w:r w:rsidRPr="00C478D6">
        <w:t xml:space="preserve"> </w:t>
      </w:r>
      <w:r w:rsidRPr="00C478D6">
        <w:rPr>
          <w:b/>
          <w:bCs/>
        </w:rPr>
        <w:t>4</w:t>
      </w:r>
      <w:r w:rsidRPr="00C478D6">
        <w:t>, 1–27 (2019).</w:t>
      </w:r>
    </w:p>
    <w:p w14:paraId="381AC93C" w14:textId="77777777" w:rsidR="00C478D6" w:rsidRPr="00C478D6" w:rsidRDefault="00C478D6" w:rsidP="00C478D6">
      <w:pPr>
        <w:pStyle w:val="afd"/>
      </w:pPr>
      <w:r w:rsidRPr="00C478D6">
        <w:t>8.</w:t>
      </w:r>
      <w:r w:rsidRPr="00C478D6">
        <w:tab/>
        <w:t xml:space="preserve">Guan, D. </w:t>
      </w:r>
      <w:r w:rsidRPr="00C478D6">
        <w:rPr>
          <w:i/>
          <w:iCs/>
        </w:rPr>
        <w:t>et al.</w:t>
      </w:r>
      <w:r w:rsidRPr="00C478D6">
        <w:t xml:space="preserve"> Global supply-chain effects of COVID-19 control measures. </w:t>
      </w:r>
      <w:r w:rsidRPr="00C478D6">
        <w:rPr>
          <w:i/>
          <w:iCs/>
        </w:rPr>
        <w:t xml:space="preserve">Nature Human </w:t>
      </w:r>
      <w:proofErr w:type="spellStart"/>
      <w:r w:rsidRPr="00C478D6">
        <w:rPr>
          <w:i/>
          <w:iCs/>
        </w:rPr>
        <w:t>Behaviour</w:t>
      </w:r>
      <w:proofErr w:type="spellEnd"/>
      <w:r w:rsidRPr="00C478D6">
        <w:t xml:space="preserve"> </w:t>
      </w:r>
      <w:r w:rsidRPr="00C478D6">
        <w:rPr>
          <w:b/>
          <w:bCs/>
        </w:rPr>
        <w:t>4</w:t>
      </w:r>
      <w:r w:rsidRPr="00C478D6">
        <w:t>, 577–587 (2020).</w:t>
      </w:r>
    </w:p>
    <w:p w14:paraId="76A6E7A6" w14:textId="77777777" w:rsidR="00C478D6" w:rsidRPr="00C478D6" w:rsidRDefault="00C478D6" w:rsidP="00C478D6">
      <w:pPr>
        <w:pStyle w:val="afd"/>
      </w:pPr>
      <w:r w:rsidRPr="00C478D6">
        <w:t>9.</w:t>
      </w:r>
      <w:r w:rsidRPr="00C478D6">
        <w:tab/>
        <w:t xml:space="preserve">Miller, R. E. &amp; Blair, P. D. </w:t>
      </w:r>
      <w:r w:rsidRPr="00C478D6">
        <w:rPr>
          <w:i/>
          <w:iCs/>
        </w:rPr>
        <w:t>Input–Output Analysis Foundations and Extensions</w:t>
      </w:r>
      <w:r w:rsidRPr="00C478D6">
        <w:t>. vol. 64 (Cambridge University Press, 2009).</w:t>
      </w:r>
    </w:p>
    <w:p w14:paraId="7C11B7DF" w14:textId="77777777" w:rsidR="00C478D6" w:rsidRPr="007C103B" w:rsidRDefault="00C478D6" w:rsidP="00C478D6">
      <w:pPr>
        <w:pStyle w:val="afd"/>
        <w:rPr>
          <w:lang w:val="en-GB"/>
        </w:rPr>
      </w:pPr>
      <w:r w:rsidRPr="00C478D6">
        <w:t>10.</w:t>
      </w:r>
      <w:r w:rsidRPr="00C478D6">
        <w:tab/>
        <w:t xml:space="preserve">Li, J., Crawford‐Brown, D., </w:t>
      </w:r>
      <w:proofErr w:type="spellStart"/>
      <w:r w:rsidRPr="00C478D6">
        <w:t>Syddall</w:t>
      </w:r>
      <w:proofErr w:type="spellEnd"/>
      <w:r w:rsidRPr="00C478D6">
        <w:t xml:space="preserve">, M. &amp; Guan, D. Modeling Imbalanced Economic Recovery Following a Natural Disaster Using Input-Output Analysis. </w:t>
      </w:r>
      <w:r w:rsidRPr="00C478D6">
        <w:rPr>
          <w:i/>
          <w:iCs/>
        </w:rPr>
        <w:t>Risk Analysis</w:t>
      </w:r>
      <w:r w:rsidRPr="00C478D6">
        <w:t xml:space="preserve"> </w:t>
      </w:r>
      <w:r w:rsidRPr="00C478D6">
        <w:rPr>
          <w:b/>
          <w:bCs/>
        </w:rPr>
        <w:t>33</w:t>
      </w:r>
      <w:r w:rsidRPr="00C478D6">
        <w:t>, 1908–1923 (2013).</w:t>
      </w:r>
    </w:p>
    <w:p w14:paraId="4EC7EDDB" w14:textId="77777777" w:rsidR="00C478D6" w:rsidRPr="00C478D6" w:rsidRDefault="00C478D6" w:rsidP="00C478D6">
      <w:pPr>
        <w:pStyle w:val="afd"/>
      </w:pPr>
      <w:r w:rsidRPr="00C478D6">
        <w:t>11.</w:t>
      </w:r>
      <w:r w:rsidRPr="00C478D6">
        <w:tab/>
      </w:r>
      <w:proofErr w:type="spellStart"/>
      <w:r w:rsidRPr="00C478D6">
        <w:t>Koks</w:t>
      </w:r>
      <w:proofErr w:type="spellEnd"/>
      <w:r w:rsidRPr="00C478D6">
        <w:t xml:space="preserve">, E. E. &amp; </w:t>
      </w:r>
      <w:proofErr w:type="spellStart"/>
      <w:r w:rsidRPr="00C478D6">
        <w:t>Thissen</w:t>
      </w:r>
      <w:proofErr w:type="spellEnd"/>
      <w:r w:rsidRPr="00C478D6">
        <w:t xml:space="preserve">, M. A Multiregional Impact Assessment Model for disaster analysis. </w:t>
      </w:r>
      <w:r w:rsidRPr="00C478D6">
        <w:rPr>
          <w:i/>
          <w:iCs/>
        </w:rPr>
        <w:t>Economic Systems Research</w:t>
      </w:r>
      <w:r w:rsidRPr="00C478D6">
        <w:t xml:space="preserve"> </w:t>
      </w:r>
      <w:r w:rsidRPr="00C478D6">
        <w:rPr>
          <w:b/>
          <w:bCs/>
        </w:rPr>
        <w:t>28</w:t>
      </w:r>
      <w:r w:rsidRPr="00C478D6">
        <w:t>, 429–449 (2016).</w:t>
      </w:r>
    </w:p>
    <w:p w14:paraId="66FCD089" w14:textId="77777777" w:rsidR="00C478D6" w:rsidRPr="00C478D6" w:rsidRDefault="00C478D6" w:rsidP="00C478D6">
      <w:pPr>
        <w:pStyle w:val="afd"/>
      </w:pPr>
      <w:r w:rsidRPr="00C478D6">
        <w:t>12.</w:t>
      </w:r>
      <w:r w:rsidRPr="00C478D6">
        <w:tab/>
        <w:t>International Institute for Applied Systems Analysis. Greenhouse Gas - Air Pollution Interactions and Synergies (GAINS) - IEA WEO 2019 SPS/SDS scenarios. (2020).</w:t>
      </w:r>
    </w:p>
    <w:p w14:paraId="0BD8F9C7" w14:textId="77777777" w:rsidR="00C478D6" w:rsidRPr="00C478D6" w:rsidRDefault="00C478D6" w:rsidP="00C478D6">
      <w:pPr>
        <w:pStyle w:val="afd"/>
      </w:pPr>
      <w:r w:rsidRPr="00C478D6">
        <w:t>13.</w:t>
      </w:r>
      <w:r w:rsidRPr="00C478D6">
        <w:tab/>
      </w:r>
      <w:proofErr w:type="spellStart"/>
      <w:r w:rsidRPr="00C478D6">
        <w:t>Kavoosi</w:t>
      </w:r>
      <w:proofErr w:type="spellEnd"/>
      <w:r w:rsidRPr="00C478D6">
        <w:t xml:space="preserve">, H. &amp; </w:t>
      </w:r>
      <w:proofErr w:type="spellStart"/>
      <w:r w:rsidRPr="00C478D6">
        <w:t>Kavoosi</w:t>
      </w:r>
      <w:proofErr w:type="spellEnd"/>
      <w:r w:rsidRPr="00C478D6">
        <w:t xml:space="preserve">, M. Forecast Global Carbon Dioxide Emission </w:t>
      </w:r>
      <w:proofErr w:type="gramStart"/>
      <w:r w:rsidRPr="00C478D6">
        <w:t>By</w:t>
      </w:r>
      <w:proofErr w:type="gramEnd"/>
      <w:r w:rsidRPr="00C478D6">
        <w:t xml:space="preserve"> Use of Genetic Algorithm (GA). </w:t>
      </w:r>
      <w:r w:rsidRPr="00C478D6">
        <w:rPr>
          <w:i/>
          <w:iCs/>
        </w:rPr>
        <w:t>International Journal of Computer Science</w:t>
      </w:r>
      <w:r w:rsidRPr="00C478D6">
        <w:t xml:space="preserve"> </w:t>
      </w:r>
      <w:r w:rsidRPr="00C478D6">
        <w:rPr>
          <w:b/>
          <w:bCs/>
        </w:rPr>
        <w:t>9</w:t>
      </w:r>
      <w:r w:rsidRPr="00C478D6">
        <w:t>, 418–427 (2012).</w:t>
      </w:r>
    </w:p>
    <w:p w14:paraId="1DF31140" w14:textId="77777777" w:rsidR="00C478D6" w:rsidRPr="00C478D6" w:rsidRDefault="00C478D6" w:rsidP="00C478D6">
      <w:pPr>
        <w:pStyle w:val="afd"/>
      </w:pPr>
      <w:r w:rsidRPr="00C478D6">
        <w:lastRenderedPageBreak/>
        <w:t>14.</w:t>
      </w:r>
      <w:r w:rsidRPr="00C478D6">
        <w:tab/>
        <w:t xml:space="preserve">Hosseini, S. M., </w:t>
      </w:r>
      <w:proofErr w:type="spellStart"/>
      <w:r w:rsidRPr="00C478D6">
        <w:t>Saifoddin</w:t>
      </w:r>
      <w:proofErr w:type="spellEnd"/>
      <w:r w:rsidRPr="00C478D6">
        <w:t xml:space="preserve">, A., </w:t>
      </w:r>
      <w:proofErr w:type="spellStart"/>
      <w:r w:rsidRPr="00C478D6">
        <w:t>Shirmohammadi</w:t>
      </w:r>
      <w:proofErr w:type="spellEnd"/>
      <w:r w:rsidRPr="00C478D6">
        <w:t xml:space="preserve">, R. &amp; </w:t>
      </w:r>
      <w:proofErr w:type="spellStart"/>
      <w:r w:rsidRPr="00C478D6">
        <w:t>Aslani</w:t>
      </w:r>
      <w:proofErr w:type="spellEnd"/>
      <w:r w:rsidRPr="00C478D6">
        <w:t xml:space="preserve">, A. Forecasting of CO2 emissions in Iran based on time series and regression analysis. </w:t>
      </w:r>
      <w:r w:rsidRPr="00C478D6">
        <w:rPr>
          <w:i/>
          <w:iCs/>
        </w:rPr>
        <w:t>Energy Reports</w:t>
      </w:r>
      <w:r w:rsidRPr="00C478D6">
        <w:t xml:space="preserve"> </w:t>
      </w:r>
      <w:r w:rsidRPr="00C478D6">
        <w:rPr>
          <w:b/>
          <w:bCs/>
        </w:rPr>
        <w:t>5</w:t>
      </w:r>
      <w:r w:rsidRPr="00C478D6">
        <w:t>, 619–631 (2019).</w:t>
      </w:r>
    </w:p>
    <w:p w14:paraId="10E98272" w14:textId="77777777" w:rsidR="00C478D6" w:rsidRPr="00C478D6" w:rsidRDefault="00C478D6" w:rsidP="00C478D6">
      <w:pPr>
        <w:pStyle w:val="afd"/>
      </w:pPr>
      <w:r w:rsidRPr="00C478D6">
        <w:t>15.</w:t>
      </w:r>
      <w:r w:rsidRPr="00C478D6">
        <w:tab/>
        <w:t xml:space="preserve">Mi, Z. </w:t>
      </w:r>
      <w:r w:rsidRPr="00C478D6">
        <w:rPr>
          <w:i/>
          <w:iCs/>
        </w:rPr>
        <w:t>et al.</w:t>
      </w:r>
      <w:r w:rsidRPr="00C478D6">
        <w:t xml:space="preserve"> Socioeconomic impact assessment of China’s CO2emissions peak prior to 2030. </w:t>
      </w:r>
      <w:r w:rsidRPr="00C478D6">
        <w:rPr>
          <w:i/>
          <w:iCs/>
        </w:rPr>
        <w:t>Journal of Cleaner Production</w:t>
      </w:r>
      <w:r w:rsidRPr="00C478D6">
        <w:t xml:space="preserve"> </w:t>
      </w:r>
      <w:r w:rsidRPr="00C478D6">
        <w:rPr>
          <w:b/>
          <w:bCs/>
        </w:rPr>
        <w:t>142</w:t>
      </w:r>
      <w:r w:rsidRPr="00C478D6">
        <w:t>, 2227–2236 (2017).</w:t>
      </w:r>
    </w:p>
    <w:p w14:paraId="693DF9BF" w14:textId="77777777" w:rsidR="00C478D6" w:rsidRPr="00C478D6" w:rsidRDefault="00C478D6" w:rsidP="00C478D6">
      <w:pPr>
        <w:pStyle w:val="afd"/>
      </w:pPr>
      <w:r w:rsidRPr="00C478D6">
        <w:t>16.</w:t>
      </w:r>
      <w:r w:rsidRPr="00C478D6">
        <w:tab/>
        <w:t xml:space="preserve">Mercure, J.-F. </w:t>
      </w:r>
      <w:r w:rsidRPr="00C478D6">
        <w:rPr>
          <w:i/>
          <w:iCs/>
        </w:rPr>
        <w:t>et al.</w:t>
      </w:r>
      <w:r w:rsidRPr="00C478D6">
        <w:t xml:space="preserve"> Environmental impact assessment for climate change policy with the simulation-based integrated assessment model E3ME-FTT-GENIE. </w:t>
      </w:r>
      <w:r w:rsidRPr="00C478D6">
        <w:rPr>
          <w:i/>
          <w:iCs/>
        </w:rPr>
        <w:t>Energy Strategy Reviews</w:t>
      </w:r>
      <w:r w:rsidRPr="00C478D6">
        <w:t xml:space="preserve"> </w:t>
      </w:r>
      <w:r w:rsidRPr="00C478D6">
        <w:rPr>
          <w:b/>
          <w:bCs/>
        </w:rPr>
        <w:t>20</w:t>
      </w:r>
      <w:r w:rsidRPr="00C478D6">
        <w:t>, 195–208 (2018).</w:t>
      </w:r>
    </w:p>
    <w:p w14:paraId="09A30648" w14:textId="77777777" w:rsidR="00C478D6" w:rsidRPr="00C478D6" w:rsidRDefault="00C478D6" w:rsidP="00C478D6">
      <w:pPr>
        <w:pStyle w:val="afd"/>
      </w:pPr>
      <w:r w:rsidRPr="00C478D6">
        <w:t>17.</w:t>
      </w:r>
      <w:r w:rsidRPr="00C478D6">
        <w:tab/>
        <w:t xml:space="preserve">Han, P. </w:t>
      </w:r>
      <w:r w:rsidRPr="00C478D6">
        <w:rPr>
          <w:i/>
          <w:iCs/>
        </w:rPr>
        <w:t>et al.</w:t>
      </w:r>
      <w:r w:rsidRPr="00C478D6">
        <w:t xml:space="preserve"> Assessing the recent impact of COVID-19 on carbon emissions from China using domestic economic data. </w:t>
      </w:r>
      <w:r w:rsidRPr="00C478D6">
        <w:rPr>
          <w:i/>
          <w:iCs/>
        </w:rPr>
        <w:t>Science of The Total Environment</w:t>
      </w:r>
      <w:r w:rsidRPr="00C478D6">
        <w:t xml:space="preserve"> </w:t>
      </w:r>
      <w:r w:rsidRPr="00C478D6">
        <w:rPr>
          <w:b/>
          <w:bCs/>
        </w:rPr>
        <w:t>750</w:t>
      </w:r>
      <w:r w:rsidRPr="00C478D6">
        <w:t>, 141688 (2021).</w:t>
      </w:r>
    </w:p>
    <w:p w14:paraId="4E34AF3A" w14:textId="77777777" w:rsidR="00C478D6" w:rsidRPr="00C478D6" w:rsidRDefault="00C478D6" w:rsidP="00C478D6">
      <w:pPr>
        <w:pStyle w:val="afd"/>
      </w:pPr>
      <w:r w:rsidRPr="00C478D6">
        <w:t>18.</w:t>
      </w:r>
      <w:r w:rsidRPr="00C478D6">
        <w:tab/>
        <w:t xml:space="preserve">IEA. </w:t>
      </w:r>
      <w:r w:rsidRPr="00C478D6">
        <w:rPr>
          <w:i/>
          <w:iCs/>
        </w:rPr>
        <w:t>World Energy Model</w:t>
      </w:r>
      <w:r w:rsidRPr="00C478D6">
        <w:t>. https://www.iea.org/reports/world-energy-model (2019).</w:t>
      </w:r>
    </w:p>
    <w:p w14:paraId="56333151" w14:textId="77777777" w:rsidR="00C478D6" w:rsidRPr="00C478D6" w:rsidRDefault="00C478D6" w:rsidP="00C478D6">
      <w:pPr>
        <w:pStyle w:val="afd"/>
      </w:pPr>
      <w:r w:rsidRPr="00C478D6">
        <w:t>19.</w:t>
      </w:r>
      <w:r w:rsidRPr="00C478D6">
        <w:tab/>
      </w:r>
      <w:proofErr w:type="spellStart"/>
      <w:r w:rsidRPr="00C478D6">
        <w:t>Kissler</w:t>
      </w:r>
      <w:proofErr w:type="spellEnd"/>
      <w:r w:rsidRPr="00C478D6">
        <w:t xml:space="preserve">, S. M., </w:t>
      </w:r>
      <w:proofErr w:type="spellStart"/>
      <w:r w:rsidRPr="00C478D6">
        <w:t>Tedijanto</w:t>
      </w:r>
      <w:proofErr w:type="spellEnd"/>
      <w:r w:rsidRPr="00C478D6">
        <w:t xml:space="preserve">, C., Goldstein, E., Grad, Y. H. &amp; </w:t>
      </w:r>
      <w:proofErr w:type="spellStart"/>
      <w:r w:rsidRPr="00C478D6">
        <w:t>Lipsitch</w:t>
      </w:r>
      <w:proofErr w:type="spellEnd"/>
      <w:r w:rsidRPr="00C478D6">
        <w:t xml:space="preserve">, M. Projecting the transmission dynamics of SARS-CoV-2 through the </w:t>
      </w:r>
      <w:proofErr w:type="spellStart"/>
      <w:r w:rsidRPr="00C478D6">
        <w:t>postpandemic</w:t>
      </w:r>
      <w:proofErr w:type="spellEnd"/>
      <w:r w:rsidRPr="00C478D6">
        <w:t xml:space="preserve"> period. </w:t>
      </w:r>
      <w:r w:rsidRPr="00C478D6">
        <w:rPr>
          <w:i/>
          <w:iCs/>
        </w:rPr>
        <w:t>Science</w:t>
      </w:r>
      <w:r w:rsidRPr="00C478D6">
        <w:t xml:space="preserve"> </w:t>
      </w:r>
      <w:r w:rsidRPr="00C478D6">
        <w:rPr>
          <w:b/>
          <w:bCs/>
        </w:rPr>
        <w:t>368</w:t>
      </w:r>
      <w:r w:rsidRPr="00C478D6">
        <w:t>, 860–868 (2020).</w:t>
      </w:r>
    </w:p>
    <w:p w14:paraId="04F7C3D3" w14:textId="77777777" w:rsidR="00C478D6" w:rsidRPr="00C478D6" w:rsidRDefault="00C478D6" w:rsidP="00C478D6">
      <w:pPr>
        <w:pStyle w:val="afd"/>
      </w:pPr>
      <w:r w:rsidRPr="00C478D6">
        <w:t>20.</w:t>
      </w:r>
      <w:r w:rsidRPr="00C478D6">
        <w:tab/>
        <w:t>Google. Google Community Mobility data. https://www.google.com/covid19/mobility/ (2020).</w:t>
      </w:r>
    </w:p>
    <w:p w14:paraId="30202F80" w14:textId="77777777" w:rsidR="00C478D6" w:rsidRPr="00C478D6" w:rsidRDefault="00C478D6" w:rsidP="00C478D6">
      <w:pPr>
        <w:pStyle w:val="afd"/>
      </w:pPr>
      <w:r w:rsidRPr="00C478D6">
        <w:t>21.</w:t>
      </w:r>
      <w:r w:rsidRPr="00C478D6">
        <w:tab/>
        <w:t>Baidu. Daily inter-city travel data. https://qianxi.baidu.com/2020/ (2020).</w:t>
      </w:r>
    </w:p>
    <w:p w14:paraId="5EEB0AD3" w14:textId="678C43EF" w:rsidR="00894129" w:rsidRPr="00C478D6" w:rsidRDefault="00894129" w:rsidP="00AA63CD">
      <w:pPr>
        <w:spacing w:after="100" w:afterAutospacing="1" w:line="360" w:lineRule="auto"/>
        <w:sectPr w:rsidR="00894129" w:rsidRPr="00C478D6">
          <w:pgSz w:w="11906" w:h="16838"/>
          <w:pgMar w:top="1440" w:right="1800" w:bottom="1440" w:left="1800" w:header="851" w:footer="992" w:gutter="0"/>
          <w:cols w:space="425"/>
          <w:docGrid w:type="lines" w:linePitch="312"/>
        </w:sectPr>
      </w:pPr>
    </w:p>
    <w:p w14:paraId="40B9810E" w14:textId="3E8DF87B" w:rsidR="00052B68" w:rsidRPr="00E309AB" w:rsidRDefault="00D50F1D" w:rsidP="00AA63CD">
      <w:pPr>
        <w:pStyle w:val="1"/>
        <w:numPr>
          <w:ilvl w:val="0"/>
          <w:numId w:val="47"/>
        </w:numPr>
        <w:spacing w:after="100" w:afterAutospacing="1" w:line="360" w:lineRule="auto"/>
        <w:ind w:firstLine="0"/>
        <w:rPr>
          <w:rStyle w:val="addressChar"/>
          <w:rFonts w:eastAsiaTheme="minorEastAsia" w:cs="Times New Roman"/>
          <w:b/>
          <w:sz w:val="24"/>
        </w:rPr>
      </w:pPr>
      <w:r w:rsidRPr="00E309AB">
        <w:rPr>
          <w:rStyle w:val="addressChar"/>
          <w:rFonts w:eastAsiaTheme="minorEastAsia" w:cs="Times New Roman"/>
          <w:b/>
          <w:sz w:val="24"/>
        </w:rPr>
        <w:lastRenderedPageBreak/>
        <w:t>Supplementary</w:t>
      </w:r>
      <w:r w:rsidR="00052B68" w:rsidRPr="00E309AB">
        <w:rPr>
          <w:rStyle w:val="addressChar"/>
          <w:rFonts w:eastAsiaTheme="minorEastAsia" w:cs="Times New Roman"/>
          <w:b/>
          <w:sz w:val="24"/>
        </w:rPr>
        <w:t xml:space="preserve"> Results</w:t>
      </w:r>
    </w:p>
    <w:p w14:paraId="2798C00B" w14:textId="3ECB2DB0" w:rsidR="00052B68" w:rsidRPr="00214EFC" w:rsidRDefault="00052B68" w:rsidP="00AA63CD">
      <w:pPr>
        <w:pStyle w:val="2"/>
        <w:numPr>
          <w:ilvl w:val="1"/>
          <w:numId w:val="47"/>
        </w:numPr>
        <w:spacing w:after="100" w:afterAutospacing="1" w:line="360" w:lineRule="auto"/>
        <w:ind w:firstLine="0"/>
      </w:pPr>
      <w:r w:rsidRPr="00214EFC">
        <w:t xml:space="preserve">Overview of countries with fast-growing </w:t>
      </w:r>
      <w:r w:rsidR="009669F6" w:rsidRPr="009669F6">
        <w:t>CO</w:t>
      </w:r>
      <w:r w:rsidR="009669F6" w:rsidRPr="009669F6">
        <w:rPr>
          <w:vertAlign w:val="subscript"/>
        </w:rPr>
        <w:t>2</w:t>
      </w:r>
      <w:r w:rsidRPr="00214EFC">
        <w:t xml:space="preserve"> emissions</w:t>
      </w:r>
    </w:p>
    <w:p w14:paraId="27A1C5A6" w14:textId="28BA0F55" w:rsidR="00052B68" w:rsidRPr="00214EFC" w:rsidRDefault="00EE352C" w:rsidP="00AA63CD">
      <w:pPr>
        <w:pStyle w:val="3"/>
        <w:numPr>
          <w:ilvl w:val="0"/>
          <w:numId w:val="0"/>
        </w:numPr>
        <w:spacing w:after="100" w:afterAutospacing="1" w:line="360" w:lineRule="auto"/>
        <w:ind w:left="720"/>
      </w:pPr>
      <w:r>
        <w:rPr>
          <w:rFonts w:hint="eastAsia"/>
        </w:rPr>
        <w:t>2</w:t>
      </w:r>
      <w:r w:rsidR="00052B68" w:rsidRPr="00214EFC">
        <w:t>.1.</w:t>
      </w:r>
      <w:r w:rsidR="001C1BF1">
        <w:t>1</w:t>
      </w:r>
      <w:r w:rsidR="001C1BF1" w:rsidRPr="00214EFC">
        <w:t xml:space="preserve"> </w:t>
      </w:r>
      <w:r w:rsidR="009669F6" w:rsidRPr="009669F6">
        <w:t>CO</w:t>
      </w:r>
      <w:r w:rsidR="009669F6" w:rsidRPr="009669F6">
        <w:rPr>
          <w:vertAlign w:val="subscript"/>
        </w:rPr>
        <w:t>2</w:t>
      </w:r>
      <w:r w:rsidR="00052B68" w:rsidRPr="00214EFC">
        <w:t xml:space="preserve"> emissions by energy and industry</w:t>
      </w:r>
    </w:p>
    <w:p w14:paraId="04282B27" w14:textId="07DEAFE0" w:rsidR="00052B68" w:rsidRPr="00214EFC" w:rsidRDefault="00052B68" w:rsidP="00AA63CD">
      <w:pPr>
        <w:spacing w:after="100" w:afterAutospacing="1" w:line="360" w:lineRule="auto"/>
      </w:pPr>
      <w:bookmarkStart w:id="31" w:name="OLE_LINK23"/>
      <w:bookmarkStart w:id="32" w:name="OLE_LINK24"/>
      <w:r w:rsidRPr="00214EFC">
        <w:t xml:space="preserve">Energy-related drivers contributed largely to the emissions growth of the </w:t>
      </w:r>
      <w:r w:rsidR="001C1BF1">
        <w:t>emerging emitters</w:t>
      </w:r>
      <w:r w:rsidRPr="00214EFC">
        <w:t xml:space="preserve">. The </w:t>
      </w:r>
      <w:r w:rsidR="009669F6" w:rsidRPr="009669F6">
        <w:t>CO</w:t>
      </w:r>
      <w:r w:rsidR="009669F6" w:rsidRPr="009669F6">
        <w:rPr>
          <w:vertAlign w:val="subscript"/>
        </w:rPr>
        <w:t>2</w:t>
      </w:r>
      <w:r w:rsidRPr="00214EFC">
        <w:t xml:space="preserve"> emissions by fuel type and industry from 2010 to 2018 are shown in </w:t>
      </w:r>
      <w:r w:rsidRPr="00214EFC">
        <w:fldChar w:fldCharType="begin"/>
      </w:r>
      <w:r w:rsidRPr="00214EFC">
        <w:instrText xml:space="preserve"> REF _Ref56360858 \h  \* MERGEFORMAT </w:instrText>
      </w:r>
      <w:r w:rsidRPr="00214EFC">
        <w:fldChar w:fldCharType="separate"/>
      </w:r>
      <w:r w:rsidR="00E309AB" w:rsidRPr="00CD3D2B">
        <w:t xml:space="preserve">Figure S </w:t>
      </w:r>
      <w:r w:rsidR="00E309AB" w:rsidRPr="00CD3D2B">
        <w:rPr>
          <w:noProof/>
        </w:rPr>
        <w:t>2</w:t>
      </w:r>
      <w:r w:rsidRPr="00214EFC">
        <w:fldChar w:fldCharType="end"/>
      </w:r>
      <w:r w:rsidRPr="00214EFC">
        <w:t xml:space="preserve"> (absolute emissions)</w:t>
      </w:r>
      <w:bookmarkEnd w:id="31"/>
      <w:bookmarkEnd w:id="32"/>
      <w:r w:rsidRPr="00214EFC">
        <w:t xml:space="preserve">. Over 2010-2018, among the 34 countries that use coal, 23 countries show a rising share of coal-related </w:t>
      </w:r>
      <w:r w:rsidR="009669F6" w:rsidRPr="009669F6">
        <w:t>CO</w:t>
      </w:r>
      <w:r w:rsidR="009669F6" w:rsidRPr="009669F6">
        <w:rPr>
          <w:vertAlign w:val="subscript"/>
        </w:rPr>
        <w:t>2</w:t>
      </w:r>
      <w:r w:rsidRPr="00214EFC">
        <w:t xml:space="preserve"> emissions, and 29 countries increased the absolute emissions from coal consumption. The carbonizing energy mix of the countries should be not</w:t>
      </w:r>
      <w:r w:rsidR="00E23717">
        <w:t>ic</w:t>
      </w:r>
      <w:r w:rsidRPr="00214EFC">
        <w:t>ed since it would continue contributing large emissions in the future, if there is no thorough transition into renewable energy.</w:t>
      </w:r>
    </w:p>
    <w:p w14:paraId="140C3357" w14:textId="392B5D24" w:rsidR="00052B68" w:rsidRPr="00214EFC" w:rsidRDefault="00DF3142" w:rsidP="00AA63CD">
      <w:pPr>
        <w:spacing w:after="100" w:afterAutospacing="1" w:line="360" w:lineRule="auto"/>
      </w:pPr>
      <w:r>
        <w:rPr>
          <w:noProof/>
        </w:rPr>
        <w:lastRenderedPageBreak/>
        <w:drawing>
          <wp:inline distT="0" distB="0" distL="0" distR="0" wp14:anchorId="48CD59D0" wp14:editId="30FEC72A">
            <wp:extent cx="5274310" cy="70078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7007860"/>
                    </a:xfrm>
                    <a:prstGeom prst="rect">
                      <a:avLst/>
                    </a:prstGeom>
                    <a:noFill/>
                    <a:ln>
                      <a:noFill/>
                    </a:ln>
                  </pic:spPr>
                </pic:pic>
              </a:graphicData>
            </a:graphic>
          </wp:inline>
        </w:drawing>
      </w:r>
    </w:p>
    <w:p w14:paraId="331A3E9D" w14:textId="02071660" w:rsidR="00052B68" w:rsidRDefault="00052B68" w:rsidP="00AA63CD">
      <w:pPr>
        <w:pStyle w:val="af6"/>
        <w:spacing w:after="100" w:afterAutospacing="1" w:line="360" w:lineRule="auto"/>
      </w:pPr>
      <w:bookmarkStart w:id="33" w:name="_Ref56360858"/>
      <w:r w:rsidRPr="007E515B">
        <w:t xml:space="preserve">Figure S </w:t>
      </w:r>
      <w:fldSimple w:instr=" SEQ Figure_S \* ARABIC ">
        <w:r w:rsidR="001E11D5">
          <w:rPr>
            <w:noProof/>
          </w:rPr>
          <w:t>3</w:t>
        </w:r>
      </w:fldSimple>
      <w:bookmarkEnd w:id="33"/>
      <w:r w:rsidRPr="007E515B">
        <w:t xml:space="preserve"> </w:t>
      </w:r>
      <w:r w:rsidR="009669F6" w:rsidRPr="009669F6">
        <w:t>CO</w:t>
      </w:r>
      <w:r w:rsidR="009669F6" w:rsidRPr="009669F6">
        <w:rPr>
          <w:vertAlign w:val="subscript"/>
        </w:rPr>
        <w:t>2</w:t>
      </w:r>
      <w:r w:rsidRPr="007E515B">
        <w:t xml:space="preserve"> emissions by fuel type and industry from 2010 to 2018, in million tons.</w:t>
      </w:r>
      <w:r w:rsidR="00A97B57" w:rsidRPr="007E515B">
        <w:t xml:space="preserve"> The </w:t>
      </w:r>
      <w:r w:rsidR="004C0924" w:rsidRPr="007E515B">
        <w:t>emissions</w:t>
      </w:r>
      <w:r w:rsidR="004C0924">
        <w:t xml:space="preserve"> from coal, </w:t>
      </w:r>
      <w:r w:rsidR="007E72ED">
        <w:t>oil, natural gas</w:t>
      </w:r>
      <w:r w:rsidR="003004CC">
        <w:t xml:space="preserve"> (NG)</w:t>
      </w:r>
      <w:r w:rsidR="007E72ED">
        <w:t xml:space="preserve"> and other energy types are</w:t>
      </w:r>
      <w:r w:rsidR="004C0924">
        <w:t xml:space="preserve"> show</w:t>
      </w:r>
      <w:r w:rsidR="007E72ED">
        <w:t xml:space="preserve">n in oranges, blues, </w:t>
      </w:r>
      <w:proofErr w:type="gramStart"/>
      <w:r w:rsidR="007E72ED">
        <w:t>purples</w:t>
      </w:r>
      <w:proofErr w:type="gramEnd"/>
      <w:r w:rsidR="007E72ED">
        <w:t xml:space="preserve"> and greys, respectively</w:t>
      </w:r>
      <w:r w:rsidR="003004CC">
        <w:t>; the light to the dark show the emissions from agriculture (</w:t>
      </w:r>
      <w:proofErr w:type="spellStart"/>
      <w:r w:rsidR="003004CC">
        <w:t>Agr</w:t>
      </w:r>
      <w:proofErr w:type="spellEnd"/>
      <w:r w:rsidR="003004CC">
        <w:t>), industry (Ind), and services (Ser).</w:t>
      </w:r>
      <w:r w:rsidR="004C0924">
        <w:t xml:space="preserve"> </w:t>
      </w:r>
    </w:p>
    <w:p w14:paraId="6DF1FCC7" w14:textId="36F7E761" w:rsidR="001C1BF1" w:rsidRDefault="001C1BF1" w:rsidP="00AA63CD">
      <w:pPr>
        <w:pStyle w:val="3"/>
        <w:numPr>
          <w:ilvl w:val="0"/>
          <w:numId w:val="0"/>
        </w:numPr>
        <w:spacing w:after="100" w:afterAutospacing="1" w:line="360" w:lineRule="auto"/>
        <w:ind w:left="720"/>
      </w:pPr>
      <w:r>
        <w:rPr>
          <w:rFonts w:hint="eastAsia"/>
        </w:rPr>
        <w:lastRenderedPageBreak/>
        <w:t>2</w:t>
      </w:r>
      <w:r w:rsidRPr="00214EFC">
        <w:t>.1.</w:t>
      </w:r>
      <w:r>
        <w:t>2</w:t>
      </w:r>
      <w:r w:rsidRPr="00214EFC">
        <w:t xml:space="preserve"> </w:t>
      </w:r>
      <w:r w:rsidR="009669F6" w:rsidRPr="009669F6">
        <w:t>CO</w:t>
      </w:r>
      <w:r w:rsidR="009669F6" w:rsidRPr="009669F6">
        <w:rPr>
          <w:vertAlign w:val="subscript"/>
        </w:rPr>
        <w:t>2</w:t>
      </w:r>
      <w:r w:rsidRPr="00214EFC">
        <w:t xml:space="preserve"> emissions by </w:t>
      </w:r>
      <w:r>
        <w:t>sector</w:t>
      </w:r>
    </w:p>
    <w:p w14:paraId="5D1E5E6D" w14:textId="08C50AE5" w:rsidR="001C1BF1" w:rsidRPr="00214EFC" w:rsidRDefault="001C1BF1" w:rsidP="00AA63CD">
      <w:pPr>
        <w:spacing w:after="100" w:afterAutospacing="1" w:line="360" w:lineRule="auto"/>
      </w:pPr>
      <w:r>
        <w:t>Economic and industry-related</w:t>
      </w:r>
      <w:r w:rsidRPr="00214EFC">
        <w:t xml:space="preserve"> drivers contributed largely to the emissions growth of the </w:t>
      </w:r>
      <w:r>
        <w:t>emerging emitters</w:t>
      </w:r>
      <w:r w:rsidRPr="00214EFC">
        <w:t xml:space="preserve">. The </w:t>
      </w:r>
      <w:r w:rsidR="009669F6" w:rsidRPr="009669F6">
        <w:t>CO</w:t>
      </w:r>
      <w:r w:rsidR="009669F6" w:rsidRPr="009669F6">
        <w:rPr>
          <w:vertAlign w:val="subscript"/>
        </w:rPr>
        <w:t>2</w:t>
      </w:r>
      <w:r w:rsidRPr="00214EFC">
        <w:t xml:space="preserve"> emissions by </w:t>
      </w:r>
      <w:r>
        <w:t>sector</w:t>
      </w:r>
      <w:r w:rsidRPr="00214EFC">
        <w:t xml:space="preserve"> from 2010 to 2018 are shown in </w:t>
      </w:r>
      <w:r>
        <w:fldChar w:fldCharType="begin"/>
      </w:r>
      <w:r>
        <w:instrText xml:space="preserve"> REF _Ref56360865 \h </w:instrText>
      </w:r>
      <w:r>
        <w:fldChar w:fldCharType="separate"/>
      </w:r>
      <w:r w:rsidR="00E309AB" w:rsidRPr="00214EFC">
        <w:t xml:space="preserve">Figure S </w:t>
      </w:r>
      <w:r w:rsidR="00E309AB">
        <w:rPr>
          <w:noProof/>
        </w:rPr>
        <w:t>3</w:t>
      </w:r>
      <w:r>
        <w:fldChar w:fldCharType="end"/>
      </w:r>
      <w:r>
        <w:t xml:space="preserve"> </w:t>
      </w:r>
      <w:r w:rsidRPr="00214EFC">
        <w:t>(</w:t>
      </w:r>
      <w:r>
        <w:t>in percentage)</w:t>
      </w:r>
      <w:r w:rsidRPr="00214EFC">
        <w:t xml:space="preserve">. Over 2010-2018, </w:t>
      </w:r>
      <w:r>
        <w:t>the emerging emitters show great shares of the electricity generation sector (</w:t>
      </w:r>
      <w:r w:rsidR="00E23717">
        <w:t>orange color in</w:t>
      </w:r>
      <w:r>
        <w:t xml:space="preserve"> </w:t>
      </w:r>
      <w:r>
        <w:fldChar w:fldCharType="begin"/>
      </w:r>
      <w:r>
        <w:instrText xml:space="preserve"> REF _Ref56360865 \h </w:instrText>
      </w:r>
      <w:r>
        <w:fldChar w:fldCharType="separate"/>
      </w:r>
      <w:r w:rsidR="00E309AB" w:rsidRPr="00214EFC">
        <w:t xml:space="preserve">Figure S </w:t>
      </w:r>
      <w:r w:rsidR="00E309AB">
        <w:rPr>
          <w:noProof/>
        </w:rPr>
        <w:t>3</w:t>
      </w:r>
      <w:r>
        <w:fldChar w:fldCharType="end"/>
      </w:r>
      <w:r>
        <w:t>) and the transportation sector (</w:t>
      </w:r>
      <w:proofErr w:type="gramStart"/>
      <w:r>
        <w:t>e.g.</w:t>
      </w:r>
      <w:proofErr w:type="gramEnd"/>
      <w:r>
        <w:t xml:space="preserve"> dark blue for road transportation in </w:t>
      </w:r>
      <w:r>
        <w:fldChar w:fldCharType="begin"/>
      </w:r>
      <w:r>
        <w:instrText xml:space="preserve"> REF _Ref56360865 \h </w:instrText>
      </w:r>
      <w:r>
        <w:fldChar w:fldCharType="separate"/>
      </w:r>
      <w:r w:rsidR="00E309AB" w:rsidRPr="00214EFC">
        <w:t xml:space="preserve">Figure S </w:t>
      </w:r>
      <w:r w:rsidR="00E309AB">
        <w:rPr>
          <w:noProof/>
        </w:rPr>
        <w:t>3</w:t>
      </w:r>
      <w:r>
        <w:fldChar w:fldCharType="end"/>
      </w:r>
      <w:r>
        <w:t xml:space="preserve">). </w:t>
      </w:r>
      <w:r w:rsidR="00E23717">
        <w:t>However, it may be worse for the climate since t</w:t>
      </w:r>
      <w:r w:rsidRPr="00214EFC">
        <w:t xml:space="preserve">he </w:t>
      </w:r>
      <w:r w:rsidR="00E23717">
        <w:t xml:space="preserve">ongoing construction of the infrastructure </w:t>
      </w:r>
      <w:r w:rsidRPr="00214EFC">
        <w:t xml:space="preserve">of the </w:t>
      </w:r>
      <w:r w:rsidR="00E23717">
        <w:t>emerging emitters</w:t>
      </w:r>
      <w:r w:rsidRPr="00214EFC">
        <w:t xml:space="preserve"> would contribut</w:t>
      </w:r>
      <w:r w:rsidR="00E23717">
        <w:t>e</w:t>
      </w:r>
      <w:r w:rsidRPr="00214EFC">
        <w:t xml:space="preserve"> large</w:t>
      </w:r>
      <w:r w:rsidR="00E23717">
        <w:t>r</w:t>
      </w:r>
      <w:r w:rsidRPr="00214EFC">
        <w:t xml:space="preserve"> emissions in the future, </w:t>
      </w:r>
      <w:r w:rsidR="00E23717">
        <w:t xml:space="preserve">especially power plants and the rising demand of oil-fueled vehicles. </w:t>
      </w:r>
    </w:p>
    <w:p w14:paraId="10E0D4BF" w14:textId="20A1A45C" w:rsidR="00052B68" w:rsidRPr="00214EFC" w:rsidRDefault="00C71143" w:rsidP="00AA63CD">
      <w:pPr>
        <w:pStyle w:val="af6"/>
        <w:spacing w:after="100" w:afterAutospacing="1" w:line="360" w:lineRule="auto"/>
      </w:pPr>
      <w:r>
        <w:rPr>
          <w:noProof/>
        </w:rPr>
        <w:lastRenderedPageBreak/>
        <w:drawing>
          <wp:inline distT="0" distB="0" distL="0" distR="0" wp14:anchorId="41713222" wp14:editId="35C6A480">
            <wp:extent cx="5266690" cy="75857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690" cy="7585710"/>
                    </a:xfrm>
                    <a:prstGeom prst="rect">
                      <a:avLst/>
                    </a:prstGeom>
                    <a:noFill/>
                    <a:ln>
                      <a:noFill/>
                    </a:ln>
                  </pic:spPr>
                </pic:pic>
              </a:graphicData>
            </a:graphic>
          </wp:inline>
        </w:drawing>
      </w:r>
    </w:p>
    <w:p w14:paraId="1C4E5059" w14:textId="460F499F" w:rsidR="00052B68" w:rsidRPr="00214EFC" w:rsidRDefault="00052B68" w:rsidP="00AA63CD">
      <w:pPr>
        <w:pStyle w:val="af6"/>
        <w:spacing w:after="100" w:afterAutospacing="1" w:line="360" w:lineRule="auto"/>
      </w:pPr>
      <w:bookmarkStart w:id="34" w:name="_Ref56360865"/>
      <w:r w:rsidRPr="00214EFC">
        <w:t xml:space="preserve">Figure S </w:t>
      </w:r>
      <w:fldSimple w:instr=" SEQ Figure_S \* ARABIC ">
        <w:r w:rsidR="001E11D5">
          <w:rPr>
            <w:noProof/>
          </w:rPr>
          <w:t>4</w:t>
        </w:r>
      </w:fldSimple>
      <w:bookmarkEnd w:id="34"/>
      <w:r w:rsidRPr="00214EFC">
        <w:rPr>
          <w:i w:val="0"/>
          <w:iCs w:val="0"/>
          <w:sz w:val="24"/>
          <w:szCs w:val="22"/>
        </w:rPr>
        <w:t xml:space="preserve"> </w:t>
      </w:r>
      <w:r w:rsidRPr="00214EFC">
        <w:t xml:space="preserve">Shares of </w:t>
      </w:r>
      <w:r w:rsidR="009669F6" w:rsidRPr="009669F6">
        <w:t>CO</w:t>
      </w:r>
      <w:r w:rsidR="009669F6" w:rsidRPr="009669F6">
        <w:rPr>
          <w:vertAlign w:val="subscript"/>
        </w:rPr>
        <w:t>2</w:t>
      </w:r>
      <w:r w:rsidRPr="00214EFC">
        <w:t xml:space="preserve"> emissions by </w:t>
      </w:r>
      <w:r w:rsidR="00DB312E">
        <w:t>sector</w:t>
      </w:r>
      <w:r w:rsidRPr="00214EFC">
        <w:t xml:space="preserve"> from 2010 to 2018, by percentage.</w:t>
      </w:r>
      <w:r w:rsidR="003004CC" w:rsidRPr="003004CC">
        <w:t xml:space="preserve"> </w:t>
      </w:r>
      <w:r w:rsidR="003004CC">
        <w:t>The</w:t>
      </w:r>
      <w:r w:rsidR="00454DF4" w:rsidRPr="00454DF4">
        <w:t xml:space="preserve"> </w:t>
      </w:r>
      <w:r w:rsidR="00454DF4">
        <w:t>emissions from</w:t>
      </w:r>
      <w:r w:rsidR="00475A75">
        <w:t xml:space="preserve"> each sector</w:t>
      </w:r>
      <w:r w:rsidR="00454DF4" w:rsidRPr="00454DF4">
        <w:t xml:space="preserve"> </w:t>
      </w:r>
      <w:r w:rsidR="00454DF4" w:rsidRPr="00214EFC">
        <w:t>in 2010, 2014 and 2018</w:t>
      </w:r>
      <w:r w:rsidR="00475A75">
        <w:t xml:space="preserve"> are shown</w:t>
      </w:r>
      <w:r w:rsidR="00454DF4" w:rsidRPr="00214EFC">
        <w:t xml:space="preserve"> from the inner circle to outer ones</w:t>
      </w:r>
      <w:r w:rsidR="00475A75">
        <w:t>.</w:t>
      </w:r>
    </w:p>
    <w:p w14:paraId="4F6562D0" w14:textId="7C7E390E" w:rsidR="006E3A1B" w:rsidRDefault="006E3A1B" w:rsidP="00AA63CD">
      <w:pPr>
        <w:pStyle w:val="2"/>
        <w:numPr>
          <w:ilvl w:val="1"/>
          <w:numId w:val="47"/>
        </w:numPr>
        <w:spacing w:after="100" w:afterAutospacing="1" w:line="360" w:lineRule="auto"/>
        <w:ind w:firstLine="0"/>
      </w:pPr>
      <w:r>
        <w:lastRenderedPageBreak/>
        <w:t>D</w:t>
      </w:r>
      <w:r>
        <w:rPr>
          <w:rFonts w:hint="eastAsia"/>
        </w:rPr>
        <w:t>ri</w:t>
      </w:r>
      <w:r>
        <w:t>vers</w:t>
      </w:r>
      <w:r w:rsidR="00534FD0">
        <w:t xml:space="preserve"> of emission surges in the </w:t>
      </w:r>
      <w:r w:rsidR="00DC2FE6">
        <w:t>emerging emitters</w:t>
      </w:r>
      <w:r w:rsidRPr="00214EFC">
        <w:t>.</w:t>
      </w:r>
    </w:p>
    <w:p w14:paraId="77D2719F" w14:textId="14105CF2" w:rsidR="00A84F23" w:rsidRDefault="00EE352C" w:rsidP="00AA63CD">
      <w:pPr>
        <w:pStyle w:val="3"/>
        <w:numPr>
          <w:ilvl w:val="0"/>
          <w:numId w:val="0"/>
        </w:numPr>
        <w:spacing w:after="100" w:afterAutospacing="1" w:line="360" w:lineRule="auto"/>
        <w:ind w:left="720"/>
      </w:pPr>
      <w:r>
        <w:rPr>
          <w:rFonts w:hint="eastAsia"/>
        </w:rPr>
        <w:t>2</w:t>
      </w:r>
      <w:r w:rsidR="00A84F23">
        <w:t>.2.1</w:t>
      </w:r>
      <w:r w:rsidR="00DC2FE6">
        <w:t xml:space="preserve"> Drivers of emission surges in the 59 emerging emitters</w:t>
      </w:r>
    </w:p>
    <w:p w14:paraId="7AF757DF" w14:textId="4FA10179" w:rsidR="00822349" w:rsidRDefault="00A849A3" w:rsidP="00AA63CD">
      <w:pPr>
        <w:spacing w:after="100" w:afterAutospacing="1" w:line="360" w:lineRule="auto"/>
      </w:pPr>
      <w:r>
        <w:t xml:space="preserve">Here we present the driving forces of emission change in the </w:t>
      </w:r>
      <w:r w:rsidR="002C6203">
        <w:t xml:space="preserve">emerging emitters including </w:t>
      </w:r>
      <w:r w:rsidR="00A22B42">
        <w:t>the</w:t>
      </w:r>
      <w:r w:rsidR="00F42BC0">
        <w:t xml:space="preserve"> 20 countries already presented in </w:t>
      </w:r>
      <w:r w:rsidR="00AC62B1">
        <w:t xml:space="preserve">the </w:t>
      </w:r>
      <w:r w:rsidR="00F42BC0">
        <w:t>main text</w:t>
      </w:r>
      <w:r w:rsidR="00AC62B1">
        <w:t xml:space="preserve"> Figure 2</w:t>
      </w:r>
      <w:r w:rsidR="00A22B42">
        <w:t xml:space="preserve">, with </w:t>
      </w:r>
      <w:r w:rsidR="000358E9">
        <w:t>the contributions of major driving forces</w:t>
      </w:r>
      <w:r w:rsidR="004B4CE7">
        <w:t xml:space="preserve"> to the emission changes,</w:t>
      </w:r>
      <w:r w:rsidR="000358E9">
        <w:t xml:space="preserve"> </w:t>
      </w:r>
      <w:r w:rsidR="004B4CE7">
        <w:t>labeled in Mt</w:t>
      </w:r>
      <w:r w:rsidR="00F42BC0">
        <w:t>.</w:t>
      </w:r>
      <w:r w:rsidR="002E0E2A">
        <w:t xml:space="preserve"> </w:t>
      </w:r>
    </w:p>
    <w:p w14:paraId="437AA3D4" w14:textId="6A2D890F" w:rsidR="002E0E2A" w:rsidRDefault="002E0E2A" w:rsidP="00AA63CD">
      <w:pPr>
        <w:spacing w:after="100" w:afterAutospacing="1" w:line="360" w:lineRule="auto"/>
      </w:pPr>
      <w:r>
        <w:rPr>
          <w:noProof/>
        </w:rPr>
        <w:drawing>
          <wp:inline distT="0" distB="0" distL="0" distR="0" wp14:anchorId="3744C01B" wp14:editId="1C21C9D3">
            <wp:extent cx="5270500" cy="6165850"/>
            <wp:effectExtent l="0" t="0" r="635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6165850"/>
                    </a:xfrm>
                    <a:prstGeom prst="rect">
                      <a:avLst/>
                    </a:prstGeom>
                    <a:noFill/>
                    <a:ln>
                      <a:noFill/>
                    </a:ln>
                  </pic:spPr>
                </pic:pic>
              </a:graphicData>
            </a:graphic>
          </wp:inline>
        </w:drawing>
      </w:r>
    </w:p>
    <w:p w14:paraId="302ADAA4" w14:textId="457C05BF" w:rsidR="004B4CE7" w:rsidRDefault="004B4CE7" w:rsidP="00AA63CD">
      <w:pPr>
        <w:pStyle w:val="af6"/>
        <w:spacing w:after="100" w:afterAutospacing="1" w:line="360" w:lineRule="auto"/>
      </w:pPr>
      <w:r>
        <w:t xml:space="preserve">Figure S </w:t>
      </w:r>
      <w:fldSimple w:instr=" SEQ Figure_S \* ARABIC ">
        <w:r w:rsidR="001E11D5">
          <w:rPr>
            <w:noProof/>
          </w:rPr>
          <w:t>5</w:t>
        </w:r>
      </w:fldSimple>
      <w:r w:rsidR="00E54135">
        <w:t xml:space="preserve"> </w:t>
      </w:r>
      <w:bookmarkStart w:id="35" w:name="OLE_LINK44"/>
      <w:bookmarkStart w:id="36" w:name="OLE_LINK45"/>
      <w:r w:rsidR="00F44EC8">
        <w:t>Driving forces of emission changes of the emerging emitters</w:t>
      </w:r>
      <w:r w:rsidR="002E0E2A">
        <w:t xml:space="preserve"> in Africa</w:t>
      </w:r>
      <w:r w:rsidR="00F44EC8">
        <w:t>. Numbers</w:t>
      </w:r>
      <w:r w:rsidR="00822349">
        <w:t xml:space="preserve"> are the </w:t>
      </w:r>
      <w:r w:rsidR="00822349">
        <w:lastRenderedPageBreak/>
        <w:t>emissions or emission changes from each driver, in Mt.</w:t>
      </w:r>
      <w:bookmarkEnd w:id="35"/>
      <w:bookmarkEnd w:id="36"/>
      <w:r w:rsidR="002E0E2A">
        <w:t xml:space="preserve"> Note: the driving force decomposition of Eritrea is unavailable due to lack of data.</w:t>
      </w:r>
    </w:p>
    <w:p w14:paraId="524E2386" w14:textId="1AB5B675" w:rsidR="002E0E2A" w:rsidRDefault="002E0E2A" w:rsidP="00AA63CD">
      <w:pPr>
        <w:spacing w:after="100" w:afterAutospacing="1" w:line="360" w:lineRule="auto"/>
      </w:pPr>
    </w:p>
    <w:p w14:paraId="482553C3" w14:textId="470C56E3" w:rsidR="002E0E2A" w:rsidRDefault="00637CAA" w:rsidP="00AA63CD">
      <w:pPr>
        <w:spacing w:after="100" w:afterAutospacing="1" w:line="360" w:lineRule="auto"/>
      </w:pPr>
      <w:r>
        <w:rPr>
          <w:noProof/>
        </w:rPr>
        <w:drawing>
          <wp:inline distT="0" distB="0" distL="0" distR="0" wp14:anchorId="48BD7DAB" wp14:editId="25A7DEA7">
            <wp:extent cx="5270500" cy="248285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2482850"/>
                    </a:xfrm>
                    <a:prstGeom prst="rect">
                      <a:avLst/>
                    </a:prstGeom>
                    <a:noFill/>
                    <a:ln>
                      <a:noFill/>
                    </a:ln>
                  </pic:spPr>
                </pic:pic>
              </a:graphicData>
            </a:graphic>
          </wp:inline>
        </w:drawing>
      </w:r>
    </w:p>
    <w:p w14:paraId="57072D06" w14:textId="3FA4A0CC" w:rsidR="002E0E2A" w:rsidRDefault="002E0E2A" w:rsidP="00AA63CD">
      <w:pPr>
        <w:pStyle w:val="af6"/>
        <w:spacing w:after="100" w:afterAutospacing="1" w:line="360" w:lineRule="auto"/>
      </w:pPr>
      <w:r>
        <w:t xml:space="preserve">Figure S </w:t>
      </w:r>
      <w:fldSimple w:instr=" SEQ Figure_S \* ARABIC ">
        <w:r w:rsidR="001E11D5">
          <w:rPr>
            <w:noProof/>
          </w:rPr>
          <w:t>6</w:t>
        </w:r>
      </w:fldSimple>
      <w:r w:rsidRPr="002E0E2A">
        <w:t xml:space="preserve"> </w:t>
      </w:r>
      <w:r>
        <w:t>Driving forces of emission changes of the emerging emitters in Latin America. Numbers are the emissions or emission changes from each driver, in Mt.</w:t>
      </w:r>
    </w:p>
    <w:p w14:paraId="2E08C71B" w14:textId="21CB1560" w:rsidR="00637CAA" w:rsidRDefault="00637CAA" w:rsidP="00AA63CD">
      <w:pPr>
        <w:spacing w:after="100" w:afterAutospacing="1" w:line="360" w:lineRule="auto"/>
      </w:pPr>
    </w:p>
    <w:p w14:paraId="06FFD10E" w14:textId="79B4D13F" w:rsidR="00637CAA" w:rsidRDefault="00637CAA" w:rsidP="00AA63CD">
      <w:pPr>
        <w:spacing w:after="100" w:afterAutospacing="1" w:line="360" w:lineRule="auto"/>
      </w:pPr>
      <w:r>
        <w:rPr>
          <w:noProof/>
        </w:rPr>
        <w:drawing>
          <wp:inline distT="0" distB="0" distL="0" distR="0" wp14:anchorId="239EC4D1" wp14:editId="0C099E30">
            <wp:extent cx="5276850" cy="24638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2463800"/>
                    </a:xfrm>
                    <a:prstGeom prst="rect">
                      <a:avLst/>
                    </a:prstGeom>
                    <a:noFill/>
                    <a:ln>
                      <a:noFill/>
                    </a:ln>
                  </pic:spPr>
                </pic:pic>
              </a:graphicData>
            </a:graphic>
          </wp:inline>
        </w:drawing>
      </w:r>
    </w:p>
    <w:p w14:paraId="38E25E12" w14:textId="00D4591F" w:rsidR="00637CAA" w:rsidRDefault="00637CAA" w:rsidP="00AA63CD">
      <w:pPr>
        <w:pStyle w:val="af6"/>
        <w:spacing w:after="100" w:afterAutospacing="1" w:line="360" w:lineRule="auto"/>
      </w:pPr>
      <w:r>
        <w:t xml:space="preserve">Figure S </w:t>
      </w:r>
      <w:fldSimple w:instr=" SEQ Figure_S \* ARABIC ">
        <w:r w:rsidR="001E11D5">
          <w:rPr>
            <w:noProof/>
          </w:rPr>
          <w:t>7</w:t>
        </w:r>
      </w:fldSimple>
      <w:r w:rsidRPr="00637CAA">
        <w:t xml:space="preserve"> </w:t>
      </w:r>
      <w:r>
        <w:t>Driving forces of emission changes of the emerging emitters in South and Southeast Asia. Numbers are the emissions or emission changes from each driver, in Mt.</w:t>
      </w:r>
    </w:p>
    <w:p w14:paraId="3A24653E" w14:textId="5F3FAB7C" w:rsidR="00637CAA" w:rsidRPr="00E309AB" w:rsidRDefault="00637CAA" w:rsidP="00AA63CD">
      <w:pPr>
        <w:pStyle w:val="af6"/>
        <w:spacing w:after="100" w:afterAutospacing="1" w:line="360" w:lineRule="auto"/>
      </w:pPr>
    </w:p>
    <w:p w14:paraId="2CC0EDFE" w14:textId="77654323" w:rsidR="002E0E2A" w:rsidRDefault="002E0E2A" w:rsidP="00AA63CD">
      <w:pPr>
        <w:spacing w:after="100" w:afterAutospacing="1" w:line="360" w:lineRule="auto"/>
      </w:pPr>
      <w:r>
        <w:rPr>
          <w:noProof/>
        </w:rPr>
        <w:drawing>
          <wp:inline distT="0" distB="0" distL="0" distR="0" wp14:anchorId="129E2175" wp14:editId="7A41FD6B">
            <wp:extent cx="5270500" cy="3822700"/>
            <wp:effectExtent l="0" t="0" r="635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3822700"/>
                    </a:xfrm>
                    <a:prstGeom prst="rect">
                      <a:avLst/>
                    </a:prstGeom>
                    <a:noFill/>
                    <a:ln>
                      <a:noFill/>
                    </a:ln>
                  </pic:spPr>
                </pic:pic>
              </a:graphicData>
            </a:graphic>
          </wp:inline>
        </w:drawing>
      </w:r>
    </w:p>
    <w:p w14:paraId="6C4174EF" w14:textId="5BC917FD" w:rsidR="002E0E2A" w:rsidRDefault="002E0E2A" w:rsidP="00AA63CD">
      <w:pPr>
        <w:pStyle w:val="af6"/>
        <w:spacing w:after="100" w:afterAutospacing="1" w:line="360" w:lineRule="auto"/>
      </w:pPr>
      <w:r>
        <w:t xml:space="preserve">Figure S </w:t>
      </w:r>
      <w:fldSimple w:instr=" SEQ Figure_S \* ARABIC ">
        <w:r w:rsidR="001E11D5">
          <w:rPr>
            <w:noProof/>
          </w:rPr>
          <w:t>8</w:t>
        </w:r>
      </w:fldSimple>
      <w:r>
        <w:t xml:space="preserve"> </w:t>
      </w:r>
      <w:r w:rsidRPr="00E9089A">
        <w:t xml:space="preserve">Driving forces of emission changes of the emerging emitters in </w:t>
      </w:r>
      <w:r>
        <w:t>Other Asian regions</w:t>
      </w:r>
      <w:r w:rsidRPr="00E9089A">
        <w:t>. Numbers are the emissions or emission changes from each driver, in Mt.</w:t>
      </w:r>
    </w:p>
    <w:p w14:paraId="3C41FFF0" w14:textId="77777777" w:rsidR="002E0E2A" w:rsidRPr="00E309AB" w:rsidRDefault="002E0E2A" w:rsidP="00AA63CD">
      <w:pPr>
        <w:spacing w:after="100" w:afterAutospacing="1" w:line="360" w:lineRule="auto"/>
      </w:pPr>
    </w:p>
    <w:p w14:paraId="036D1936" w14:textId="6E81629F" w:rsidR="00052B68" w:rsidRPr="00214EFC" w:rsidRDefault="00EE352C" w:rsidP="00AA63CD">
      <w:pPr>
        <w:pStyle w:val="3"/>
        <w:numPr>
          <w:ilvl w:val="0"/>
          <w:numId w:val="0"/>
        </w:numPr>
        <w:spacing w:after="100" w:afterAutospacing="1" w:line="360" w:lineRule="auto"/>
        <w:ind w:left="720"/>
      </w:pPr>
      <w:r>
        <w:rPr>
          <w:rFonts w:hint="eastAsia"/>
        </w:rPr>
        <w:t>2</w:t>
      </w:r>
      <w:r w:rsidR="00DC2FE6">
        <w:t xml:space="preserve">.2.2 </w:t>
      </w:r>
      <w:r w:rsidR="00052B68" w:rsidRPr="00214EFC">
        <w:t>Detail</w:t>
      </w:r>
      <w:r w:rsidR="00CD6A0D">
        <w:t>ed descriptions</w:t>
      </w:r>
      <w:r w:rsidR="00052B68" w:rsidRPr="00214EFC">
        <w:t xml:space="preserve"> about the </w:t>
      </w:r>
      <w:r w:rsidR="009C4DDD">
        <w:rPr>
          <w:rFonts w:hint="eastAsia"/>
        </w:rPr>
        <w:t>six</w:t>
      </w:r>
      <w:r w:rsidR="009C4DDD">
        <w:t xml:space="preserve"> </w:t>
      </w:r>
      <w:r w:rsidR="00052B68" w:rsidRPr="00214EFC">
        <w:t>case countries</w:t>
      </w:r>
      <w:r w:rsidR="00A40648">
        <w:rPr>
          <w:rFonts w:hint="eastAsia"/>
        </w:rPr>
        <w:t>:</w:t>
      </w:r>
      <w:r w:rsidR="00A40648">
        <w:t xml:space="preserve"> Myanmar, Ethiopia, </w:t>
      </w:r>
      <w:r w:rsidR="009669F6">
        <w:t>Vietnam</w:t>
      </w:r>
      <w:r w:rsidR="00A40648">
        <w:t xml:space="preserve">, Uganda, </w:t>
      </w:r>
      <w:proofErr w:type="gramStart"/>
      <w:r w:rsidR="00A40648">
        <w:t>Mongolia</w:t>
      </w:r>
      <w:proofErr w:type="gramEnd"/>
      <w:r w:rsidR="00A40648">
        <w:t xml:space="preserve"> and Peru</w:t>
      </w:r>
      <w:r w:rsidR="00052B68" w:rsidRPr="00214EFC">
        <w:t>.</w:t>
      </w:r>
    </w:p>
    <w:p w14:paraId="6A044BCE" w14:textId="11808A0B" w:rsidR="0091605F" w:rsidRPr="00F8140D" w:rsidRDefault="0091605F" w:rsidP="00AA63CD">
      <w:pPr>
        <w:snapToGrid w:val="0"/>
        <w:spacing w:after="100" w:afterAutospacing="1" w:line="360" w:lineRule="auto"/>
      </w:pPr>
      <w:r w:rsidRPr="00F8140D">
        <w:rPr>
          <w:b/>
          <w:bCs/>
        </w:rPr>
        <w:t xml:space="preserve">Myanmar </w:t>
      </w:r>
      <w:r w:rsidRPr="00F8140D">
        <w:t xml:space="preserve">(Figure 2 </w:t>
      </w:r>
      <w:r w:rsidR="00E23717">
        <w:t>k</w:t>
      </w:r>
      <w:r w:rsidRPr="00F8140D">
        <w:t xml:space="preserve">): Benefiting from political and economic reform after 2011, Myanmar finally stepped into political stability and was able to focus on domestic economic development: from 2011 to 2018, Myanmar’s GDP keeps an increasing ratio staying around 7% and reached 71.2 billion dollars in 2018. However, along with the economic development, </w:t>
      </w:r>
      <w:r w:rsidR="009669F6" w:rsidRPr="009669F6">
        <w:t>CO</w:t>
      </w:r>
      <w:r w:rsidR="009669F6" w:rsidRPr="009669F6">
        <w:rPr>
          <w:vertAlign w:val="subscript"/>
        </w:rPr>
        <w:t>2</w:t>
      </w:r>
      <w:r w:rsidRPr="00F8140D">
        <w:t xml:space="preserve"> emission was also seen with an increment of up to 300% from 2010 to 2018 level. Therefore, the booming economic development after 2011 has also been seen with an environmental sacrifice to some extent. Comparing with 2010, Myanmar has released 22.5 Mt </w:t>
      </w:r>
      <w:r w:rsidR="009669F6" w:rsidRPr="009669F6">
        <w:t>CO</w:t>
      </w:r>
      <w:r w:rsidR="009669F6" w:rsidRPr="009669F6">
        <w:rPr>
          <w:vertAlign w:val="subscript"/>
        </w:rPr>
        <w:t>2</w:t>
      </w:r>
      <w:r w:rsidRPr="00F8140D">
        <w:t xml:space="preserve"> more in the year of 2018, with per capita GDP, oil consumption, and energy intensity as the top three contributors. Generally, the GDP development is the largest driving force of emission increment, due to the </w:t>
      </w:r>
      <w:r w:rsidRPr="00F8140D">
        <w:lastRenderedPageBreak/>
        <w:t xml:space="preserve">market booming brought by reform. Next, the oil-based emission implies the energy structure of Myanmar become oil-oriented, especially in construction, power generation, manufacturing, and household sectors. Besides, the industry is also of great importance to drive up </w:t>
      </w:r>
      <w:r w:rsidR="009669F6" w:rsidRPr="009669F6">
        <w:t>CO</w:t>
      </w:r>
      <w:r w:rsidR="009669F6" w:rsidRPr="009669F6">
        <w:rPr>
          <w:vertAlign w:val="subscript"/>
        </w:rPr>
        <w:t>2</w:t>
      </w:r>
      <w:r w:rsidRPr="00F8140D">
        <w:t xml:space="preserve"> emission, indicating that Myanmar is in its industrialization and its economic development has been found fundamentally contributed by the manufactory industry. As one of the countries with the fastest-growing </w:t>
      </w:r>
      <w:r w:rsidR="009669F6" w:rsidRPr="009669F6">
        <w:t>CO</w:t>
      </w:r>
      <w:r w:rsidR="009669F6" w:rsidRPr="009669F6">
        <w:rPr>
          <w:vertAlign w:val="subscript"/>
        </w:rPr>
        <w:t>2</w:t>
      </w:r>
      <w:r w:rsidRPr="00F8140D">
        <w:t xml:space="preserve"> emission, Myanmar still has great growth potential in its future emission as well as pressure in climate change mitigation. </w:t>
      </w:r>
    </w:p>
    <w:p w14:paraId="657D1387" w14:textId="77642D12" w:rsidR="004E320A" w:rsidRPr="00214EFC" w:rsidRDefault="004E320A" w:rsidP="00AA63CD">
      <w:pPr>
        <w:spacing w:after="100" w:afterAutospacing="1" w:line="360" w:lineRule="auto"/>
      </w:pPr>
      <w:r w:rsidRPr="00214EFC">
        <w:t>(</w:t>
      </w:r>
      <w:r w:rsidR="009B21BD" w:rsidRPr="00214EFC">
        <w:fldChar w:fldCharType="begin"/>
      </w:r>
      <w:r w:rsidR="009B21BD" w:rsidRPr="00214EFC">
        <w:instrText xml:space="preserve"> REF _Ref56691431 \h </w:instrText>
      </w:r>
      <w:r w:rsidR="00214EFC">
        <w:instrText xml:space="preserve"> \* MERGEFORMAT </w:instrText>
      </w:r>
      <w:r w:rsidR="009B21BD" w:rsidRPr="00214EFC">
        <w:fldChar w:fldCharType="separate"/>
      </w:r>
      <w:r w:rsidR="00AD1226" w:rsidRPr="00214EFC">
        <w:t xml:space="preserve">Figure S </w:t>
      </w:r>
      <w:r w:rsidR="00AD1226">
        <w:rPr>
          <w:noProof/>
        </w:rPr>
        <w:t>9</w:t>
      </w:r>
      <w:r w:rsidR="009B21BD" w:rsidRPr="00214EFC">
        <w:fldChar w:fldCharType="end"/>
      </w:r>
      <w:r w:rsidRPr="00214EFC">
        <w:t xml:space="preserve">a) </w:t>
      </w:r>
      <w:r w:rsidR="009669F6" w:rsidRPr="009669F6">
        <w:t>CO</w:t>
      </w:r>
      <w:r w:rsidR="009669F6" w:rsidRPr="009669F6">
        <w:rPr>
          <w:vertAlign w:val="subscript"/>
        </w:rPr>
        <w:t>2</w:t>
      </w:r>
      <w:r w:rsidRPr="00214EFC">
        <w:t xml:space="preserve"> emissions and GDP</w:t>
      </w:r>
    </w:p>
    <w:p w14:paraId="246D9707" w14:textId="07F0D8C4" w:rsidR="00F74095" w:rsidRPr="00214EFC" w:rsidRDefault="00F74095" w:rsidP="00AA63CD">
      <w:pPr>
        <w:spacing w:after="100" w:afterAutospacing="1" w:line="360" w:lineRule="auto"/>
      </w:pPr>
      <w:bookmarkStart w:id="37" w:name="OLE_LINK5"/>
      <w:bookmarkStart w:id="38" w:name="OLE_LINK6"/>
      <w:r w:rsidRPr="00214EFC">
        <w:t xml:space="preserve">Benefiting from political and economic reform after 2011, Myanmar </w:t>
      </w:r>
      <w:r w:rsidR="004E320A" w:rsidRPr="00214EFC">
        <w:t>stepped</w:t>
      </w:r>
      <w:r w:rsidRPr="00214EFC">
        <w:t xml:space="preserve"> into political stability and focus</w:t>
      </w:r>
      <w:r w:rsidR="004E320A" w:rsidRPr="00214EFC">
        <w:t xml:space="preserve">ed </w:t>
      </w:r>
      <w:r w:rsidRPr="00214EFC">
        <w:t>on domestic economic development. From 2011 to 201</w:t>
      </w:r>
      <w:r w:rsidR="00A66D2D" w:rsidRPr="00214EFC">
        <w:t>8</w:t>
      </w:r>
      <w:r w:rsidRPr="00214EFC">
        <w:t xml:space="preserve">, Myanmar keeps an GDP increasing ratio staying around 7%, and domestic industry is being ushered in unprecedented opportunities for development. In the year of 2016, Myanmar has been witnessed with a 90.9% and 74.2% increment on Aircraft, spacecraft, boats and Electrical equip parts, respectively. Here, Myanmar's aviation industry booms largely drive up the corresponding export to Sweden, Singapore, </w:t>
      </w:r>
      <w:r w:rsidR="009669F6">
        <w:t>Vietnam</w:t>
      </w:r>
      <w:r w:rsidRPr="00214EFC">
        <w:t xml:space="preserve">, Ireland, etc. However, along with the economic development, </w:t>
      </w:r>
      <w:r w:rsidR="009669F6" w:rsidRPr="009669F6">
        <w:t>CO</w:t>
      </w:r>
      <w:r w:rsidR="009669F6" w:rsidRPr="009669F6">
        <w:rPr>
          <w:vertAlign w:val="subscript"/>
        </w:rPr>
        <w:t>2</w:t>
      </w:r>
      <w:r w:rsidRPr="00214EFC">
        <w:t xml:space="preserve"> emission in Figure*-a was also seen with an increment up to 300% from 2010 to 201</w:t>
      </w:r>
      <w:r w:rsidR="00A66D2D" w:rsidRPr="00214EFC">
        <w:t>8</w:t>
      </w:r>
      <w:r w:rsidRPr="00214EFC">
        <w:t xml:space="preserve"> level. Therefore, the booming economic development after 2011 also been seen with environmental sacrifice to some extent.</w:t>
      </w:r>
    </w:p>
    <w:p w14:paraId="6F3C75F7" w14:textId="4F193B8C" w:rsidR="009C0539" w:rsidRPr="00214EFC" w:rsidRDefault="009C0539" w:rsidP="00AA63CD">
      <w:pPr>
        <w:spacing w:after="100" w:afterAutospacing="1" w:line="360" w:lineRule="auto"/>
      </w:pPr>
      <w:r w:rsidRPr="00214EFC">
        <w:t>(</w:t>
      </w:r>
      <w:r w:rsidRPr="00214EFC">
        <w:fldChar w:fldCharType="begin"/>
      </w:r>
      <w:r w:rsidRPr="00214EFC">
        <w:instrText xml:space="preserve"> REF _Ref56691431 \h </w:instrText>
      </w:r>
      <w:r>
        <w:instrText xml:space="preserve"> \* MERGEFORMAT </w:instrText>
      </w:r>
      <w:r w:rsidRPr="00214EFC">
        <w:fldChar w:fldCharType="separate"/>
      </w:r>
      <w:r w:rsidR="00AD1226" w:rsidRPr="00214EFC">
        <w:t xml:space="preserve">Figure S </w:t>
      </w:r>
      <w:r w:rsidR="00AD1226">
        <w:rPr>
          <w:noProof/>
        </w:rPr>
        <w:t>9</w:t>
      </w:r>
      <w:r w:rsidRPr="00214EFC">
        <w:fldChar w:fldCharType="end"/>
      </w:r>
      <w:r>
        <w:t>b</w:t>
      </w:r>
      <w:r w:rsidRPr="00214EFC">
        <w:t xml:space="preserve">) </w:t>
      </w:r>
      <w:r>
        <w:t>Emission drivers</w:t>
      </w:r>
    </w:p>
    <w:p w14:paraId="67B0B1FC" w14:textId="3FBFB35F" w:rsidR="009C0539" w:rsidRPr="009C0539" w:rsidRDefault="00AA63CD" w:rsidP="00AA63CD">
      <w:pPr>
        <w:spacing w:after="100" w:afterAutospacing="1" w:line="360" w:lineRule="auto"/>
      </w:pPr>
      <w:r w:rsidRPr="00C5101B">
        <w:t xml:space="preserve">Benefiting from political and economic reform after 2011, Myanmar finally stepped into political stability and was able to focus on domestic economic development: from 2011 to 2018, Myanmar’s GDP keeps an increasing ratio staying around 7% and reached 71.2 billion dollars in 2018. However, along with the economic development, </w:t>
      </w:r>
      <w:r w:rsidR="009669F6" w:rsidRPr="009669F6">
        <w:t>CO</w:t>
      </w:r>
      <w:r w:rsidR="009669F6" w:rsidRPr="009669F6">
        <w:rPr>
          <w:vertAlign w:val="subscript"/>
        </w:rPr>
        <w:t>2</w:t>
      </w:r>
      <w:r w:rsidRPr="00C5101B">
        <w:t xml:space="preserve"> emission was also seen with an increment of up to 300% from 2010 to 2018 level. Therefore, the booming economic development after 2011 has also been seen with an environmental sacrifice to some extent. Comparing with 2010, Myanmar has released 22.5 Mt </w:t>
      </w:r>
      <w:r w:rsidR="009669F6" w:rsidRPr="009669F6">
        <w:t>CO</w:t>
      </w:r>
      <w:r w:rsidR="009669F6" w:rsidRPr="009669F6">
        <w:rPr>
          <w:vertAlign w:val="subscript"/>
        </w:rPr>
        <w:t>2</w:t>
      </w:r>
      <w:r w:rsidRPr="00C5101B">
        <w:t xml:space="preserve"> more in the year of 2018, with per capita GDP, oil consumption, and energy intensity as the top three contributors. Generally, the GDP development is the largest driving force of emission increment, due to the market booming </w:t>
      </w:r>
      <w:r w:rsidRPr="00C5101B">
        <w:lastRenderedPageBreak/>
        <w:t xml:space="preserve">brought by reform. Next, the oil-based emission implies the energy structure of Myanmar become oil-oriented, especially in construction, power generation, manufacturing, and household sectors. Besides, the industry is also of great importance to drive up </w:t>
      </w:r>
      <w:r w:rsidR="009669F6" w:rsidRPr="009669F6">
        <w:t>CO</w:t>
      </w:r>
      <w:r w:rsidR="009669F6" w:rsidRPr="009669F6">
        <w:rPr>
          <w:vertAlign w:val="subscript"/>
        </w:rPr>
        <w:t>2</w:t>
      </w:r>
      <w:r w:rsidRPr="00C5101B">
        <w:t xml:space="preserve"> emission, indicating that Myanmar is in its industrialization and its economic development has been found fundamentally contributed by the manufactory industry. As one of the countries with the fastest-growing </w:t>
      </w:r>
      <w:r w:rsidR="009669F6" w:rsidRPr="009669F6">
        <w:t>CO</w:t>
      </w:r>
      <w:r w:rsidR="009669F6" w:rsidRPr="009669F6">
        <w:rPr>
          <w:vertAlign w:val="subscript"/>
        </w:rPr>
        <w:t>2</w:t>
      </w:r>
      <w:r w:rsidRPr="00C5101B">
        <w:t xml:space="preserve"> emission, Myanmar still has great growth potential in its future emission as well as pressure in climate change mitigation.</w:t>
      </w:r>
    </w:p>
    <w:p w14:paraId="15C1DD05" w14:textId="53C5A33B" w:rsidR="004E320A" w:rsidRPr="00214EFC" w:rsidRDefault="004E320A" w:rsidP="00AA63CD">
      <w:pPr>
        <w:spacing w:after="100" w:afterAutospacing="1" w:line="360" w:lineRule="auto"/>
      </w:pPr>
      <w:r w:rsidRPr="00214EFC">
        <w:t>(</w:t>
      </w:r>
      <w:r w:rsidR="00FA4663" w:rsidRPr="00214EFC">
        <w:fldChar w:fldCharType="begin"/>
      </w:r>
      <w:r w:rsidR="00FA4663" w:rsidRPr="00214EFC">
        <w:instrText xml:space="preserve"> REF _Ref56691431 \h </w:instrText>
      </w:r>
      <w:r w:rsidR="00214EFC">
        <w:instrText xml:space="preserve"> \* MERGEFORMAT </w:instrText>
      </w:r>
      <w:r w:rsidR="00FA4663" w:rsidRPr="00214EFC">
        <w:fldChar w:fldCharType="separate"/>
      </w:r>
      <w:r w:rsidR="00AD1226" w:rsidRPr="00214EFC">
        <w:t xml:space="preserve">Figure S </w:t>
      </w:r>
      <w:r w:rsidR="00AD1226">
        <w:rPr>
          <w:noProof/>
        </w:rPr>
        <w:t>9</w:t>
      </w:r>
      <w:r w:rsidR="00FA4663" w:rsidRPr="00214EFC">
        <w:fldChar w:fldCharType="end"/>
      </w:r>
      <w:r w:rsidR="003860E6">
        <w:t>c</w:t>
      </w:r>
      <w:r w:rsidRPr="00214EFC">
        <w:t>)</w:t>
      </w:r>
      <w:r w:rsidR="003B13D6" w:rsidRPr="00214EFC">
        <w:t xml:space="preserve"> </w:t>
      </w:r>
      <w:r w:rsidR="003860E6">
        <w:t>Emission</w:t>
      </w:r>
      <w:r w:rsidR="009C0539">
        <w:t>s</w:t>
      </w:r>
      <w:r w:rsidR="003860E6">
        <w:t xml:space="preserve"> by sector</w:t>
      </w:r>
    </w:p>
    <w:bookmarkEnd w:id="37"/>
    <w:bookmarkEnd w:id="38"/>
    <w:p w14:paraId="1B47B5D8" w14:textId="524285A0" w:rsidR="00F74095" w:rsidRPr="00214EFC" w:rsidRDefault="00FA4663" w:rsidP="00AA63CD">
      <w:pPr>
        <w:spacing w:after="100" w:afterAutospacing="1" w:line="360" w:lineRule="auto"/>
      </w:pPr>
      <w:r w:rsidRPr="00214EFC">
        <w:fldChar w:fldCharType="begin"/>
      </w:r>
      <w:r w:rsidRPr="00214EFC">
        <w:instrText xml:space="preserve"> REF _Ref56691431 \h </w:instrText>
      </w:r>
      <w:r w:rsidR="00214EFC">
        <w:instrText xml:space="preserve"> \* MERGEFORMAT </w:instrText>
      </w:r>
      <w:r w:rsidRPr="00214EFC">
        <w:fldChar w:fldCharType="separate"/>
      </w:r>
      <w:r w:rsidR="00E309AB" w:rsidRPr="00214EFC">
        <w:t xml:space="preserve">Figure S </w:t>
      </w:r>
      <w:r w:rsidR="00E309AB">
        <w:rPr>
          <w:noProof/>
        </w:rPr>
        <w:t>8</w:t>
      </w:r>
      <w:r w:rsidRPr="00214EFC">
        <w:fldChar w:fldCharType="end"/>
      </w:r>
      <w:r w:rsidR="009C0539">
        <w:t>c</w:t>
      </w:r>
      <w:r w:rsidR="00F74095" w:rsidRPr="00214EFC">
        <w:t xml:space="preserve"> gives out sectoral emission ratio by the year of 2010, 2014 and 201</w:t>
      </w:r>
      <w:r w:rsidR="00A66D2D" w:rsidRPr="00214EFC">
        <w:t>8</w:t>
      </w:r>
      <w:r w:rsidR="00F74095" w:rsidRPr="00214EFC">
        <w:t xml:space="preserve">. Interestingly, </w:t>
      </w:r>
      <w:r w:rsidR="009669F6" w:rsidRPr="009669F6">
        <w:t>CO</w:t>
      </w:r>
      <w:r w:rsidR="009669F6" w:rsidRPr="009669F6">
        <w:rPr>
          <w:vertAlign w:val="subscript"/>
        </w:rPr>
        <w:t>2</w:t>
      </w:r>
      <w:r w:rsidR="00F74095" w:rsidRPr="00214EFC">
        <w:t xml:space="preserve"> emission from agricultural has enlarged its ratio from </w:t>
      </w:r>
      <w:r w:rsidR="00760564" w:rsidRPr="00214EFC">
        <w:t>4.6</w:t>
      </w:r>
      <w:r w:rsidR="00F74095" w:rsidRPr="00214EFC">
        <w:t xml:space="preserve">% (2010) to </w:t>
      </w:r>
      <w:r w:rsidR="00760564" w:rsidRPr="00214EFC">
        <w:t>13.8</w:t>
      </w:r>
      <w:r w:rsidR="00F74095" w:rsidRPr="00214EFC">
        <w:t>% (201</w:t>
      </w:r>
      <w:r w:rsidR="00A66D2D" w:rsidRPr="00214EFC">
        <w:t>8</w:t>
      </w:r>
      <w:r w:rsidR="00F74095" w:rsidRPr="00214EFC">
        <w:t>). This part has been found as the comprehensive consequence of opening agriculture market and promoted agriculture mechanization. Since the economic opening of 2011, the main rice growing zones of the Delta and Dry Zone of Myanmar were the first to begin to mechanize, with mechanization subsequently spilling over into areas of the Dry Zone growing non-rice crops, and to upland areas (Belton, 2019). Numbers of agricultural machinery supply outlets was seen with a rapid growth took place from 2014-201</w:t>
      </w:r>
      <w:r w:rsidR="00A66D2D" w:rsidRPr="00214EFC">
        <w:t>8</w:t>
      </w:r>
      <w:r w:rsidR="00F74095" w:rsidRPr="00214EFC">
        <w:t xml:space="preserve">, during which 61% of all stores were established. Agriculture mechanization was not triggered by direct financial incentive, as well as the consequence of rural-urban migration, which is found up to 80% in 2015 and simultaneously brought labor shortage in rural area. However, the articulation machine promoting such as Two-wheel tractors, Four-wheel tractors and water pump also have stimulated the energy demand to agriculture machine operation especially for oil product, which bring new concern to corresponding </w:t>
      </w:r>
      <w:r w:rsidR="009669F6" w:rsidRPr="009669F6">
        <w:t>CO</w:t>
      </w:r>
      <w:r w:rsidR="009669F6" w:rsidRPr="009669F6">
        <w:rPr>
          <w:vertAlign w:val="subscript"/>
        </w:rPr>
        <w:t>2</w:t>
      </w:r>
      <w:r w:rsidR="00F74095" w:rsidRPr="00214EFC">
        <w:t xml:space="preserve"> emission.</w:t>
      </w:r>
    </w:p>
    <w:p w14:paraId="58D0A74E" w14:textId="5FA9E97A" w:rsidR="003B13D6" w:rsidRPr="00214EFC" w:rsidRDefault="003B13D6" w:rsidP="00AA63CD">
      <w:pPr>
        <w:spacing w:after="100" w:afterAutospacing="1" w:line="360" w:lineRule="auto"/>
      </w:pPr>
      <w:r w:rsidRPr="00214EFC">
        <w:t>(</w:t>
      </w:r>
      <w:r w:rsidR="00FA4663" w:rsidRPr="00214EFC">
        <w:fldChar w:fldCharType="begin"/>
      </w:r>
      <w:r w:rsidR="00FA4663" w:rsidRPr="00214EFC">
        <w:instrText xml:space="preserve"> REF _Ref56691431 \h </w:instrText>
      </w:r>
      <w:r w:rsidR="00214EFC">
        <w:instrText xml:space="preserve"> \* MERGEFORMAT </w:instrText>
      </w:r>
      <w:r w:rsidR="00FA4663" w:rsidRPr="00214EFC">
        <w:fldChar w:fldCharType="separate"/>
      </w:r>
      <w:r w:rsidR="00AD1226" w:rsidRPr="00214EFC">
        <w:t xml:space="preserve">Figure S </w:t>
      </w:r>
      <w:r w:rsidR="00AD1226">
        <w:rPr>
          <w:noProof/>
        </w:rPr>
        <w:t>9</w:t>
      </w:r>
      <w:r w:rsidR="00FA4663" w:rsidRPr="00214EFC">
        <w:fldChar w:fldCharType="end"/>
      </w:r>
      <w:r w:rsidR="009C0539">
        <w:t>d</w:t>
      </w:r>
      <w:r w:rsidRPr="00214EFC">
        <w:t xml:space="preserve">) </w:t>
      </w:r>
      <w:r w:rsidR="009C0539">
        <w:t>Emissions by fuel type and industry</w:t>
      </w:r>
    </w:p>
    <w:p w14:paraId="2917F231" w14:textId="0A225444" w:rsidR="00F74095" w:rsidRPr="00214EFC" w:rsidRDefault="003B13D6" w:rsidP="00AA63CD">
      <w:pPr>
        <w:spacing w:after="100" w:afterAutospacing="1" w:line="360" w:lineRule="auto"/>
      </w:pPr>
      <w:r w:rsidRPr="00214EFC">
        <w:t xml:space="preserve">In Myanmar, </w:t>
      </w:r>
      <w:r w:rsidR="00F74095" w:rsidRPr="00214EFC">
        <w:t>the absolute coal-based emission always stays stable although slightly increment can be observed around 201</w:t>
      </w:r>
      <w:r w:rsidR="00A66D2D" w:rsidRPr="00214EFC">
        <w:t>8</w:t>
      </w:r>
      <w:r w:rsidR="00F74095" w:rsidRPr="00214EFC">
        <w:t>, while the structural ratio of coal-based emission decreased dramatically from 2010 to 201</w:t>
      </w:r>
      <w:r w:rsidR="00A66D2D" w:rsidRPr="00214EFC">
        <w:t>8</w:t>
      </w:r>
      <w:r w:rsidR="00F74095" w:rsidRPr="00214EFC">
        <w:t xml:space="preserve">. In the contrary, the natural gas and oil-based emission have increased largely. For example, oil-based emission has increased by </w:t>
      </w:r>
      <w:r w:rsidR="007827DF" w:rsidRPr="00214EFC">
        <w:t>47.6</w:t>
      </w:r>
      <w:r w:rsidR="00F74095" w:rsidRPr="00214EFC">
        <w:t xml:space="preserve">%, from the level of </w:t>
      </w:r>
      <w:r w:rsidR="00F74095" w:rsidRPr="00214EFC">
        <w:lastRenderedPageBreak/>
        <w:t>2010 to 201</w:t>
      </w:r>
      <w:r w:rsidR="00A66D2D" w:rsidRPr="00214EFC">
        <w:t>8</w:t>
      </w:r>
      <w:r w:rsidR="00F74095" w:rsidRPr="00214EFC">
        <w:t>. In the year of</w:t>
      </w:r>
      <w:r w:rsidR="00A66D2D" w:rsidRPr="00214EFC">
        <w:t xml:space="preserve"> </w:t>
      </w:r>
      <w:r w:rsidR="00F74095" w:rsidRPr="00214EFC">
        <w:t xml:space="preserve">2018, the oil-based emission was up to </w:t>
      </w:r>
      <w:r w:rsidR="007827DF" w:rsidRPr="00214EFC">
        <w:t>61</w:t>
      </w:r>
      <w:r w:rsidR="00F74095" w:rsidRPr="00214EFC">
        <w:t xml:space="preserve">% </w:t>
      </w:r>
      <w:r w:rsidR="009B71AB" w:rsidRPr="00214EFC">
        <w:t>of the total 30</w:t>
      </w:r>
      <w:r w:rsidR="00F74095" w:rsidRPr="00214EFC">
        <w:t xml:space="preserve"> Mt-</w:t>
      </w:r>
      <w:r w:rsidR="009669F6" w:rsidRPr="009669F6">
        <w:t>CO</w:t>
      </w:r>
      <w:r w:rsidR="009669F6" w:rsidRPr="009669F6">
        <w:rPr>
          <w:vertAlign w:val="subscript"/>
        </w:rPr>
        <w:t>2</w:t>
      </w:r>
      <w:r w:rsidR="00F74095" w:rsidRPr="00214EFC">
        <w:t xml:space="preserve">. Therefore, it is not hard to define that Myanmar’s economic development is majorly powered by oil consumption, rather than the substantial </w:t>
      </w:r>
      <w:r w:rsidR="00CE6C88" w:rsidRPr="00214EFC">
        <w:t>natural</w:t>
      </w:r>
      <w:r w:rsidR="00F74095" w:rsidRPr="00214EFC">
        <w:t xml:space="preserve"> gas produced domestically. From the sectoral perspective, Myanmar’s </w:t>
      </w:r>
      <w:r w:rsidR="009669F6" w:rsidRPr="009669F6">
        <w:t>CO</w:t>
      </w:r>
      <w:r w:rsidR="009669F6" w:rsidRPr="009669F6">
        <w:rPr>
          <w:vertAlign w:val="subscript"/>
        </w:rPr>
        <w:t>2</w:t>
      </w:r>
      <w:r w:rsidR="00F74095" w:rsidRPr="00214EFC">
        <w:t xml:space="preserve"> emission is emitted by second industry mostly, which can be inferred than Myanmar is still lead by manufacturer industry, rather than the service industry. </w:t>
      </w:r>
    </w:p>
    <w:p w14:paraId="38A443FF" w14:textId="7E71402E" w:rsidR="004E320A" w:rsidRPr="00214EFC" w:rsidRDefault="003B13D6" w:rsidP="00AA63CD">
      <w:pPr>
        <w:spacing w:after="100" w:afterAutospacing="1" w:line="360" w:lineRule="auto"/>
      </w:pPr>
      <w:r w:rsidRPr="00214EFC">
        <w:t>(</w:t>
      </w:r>
      <w:r w:rsidR="00FA4663" w:rsidRPr="00214EFC">
        <w:fldChar w:fldCharType="begin"/>
      </w:r>
      <w:r w:rsidR="00FA4663" w:rsidRPr="00214EFC">
        <w:instrText xml:space="preserve"> REF _Ref56691431 \h </w:instrText>
      </w:r>
      <w:r w:rsidR="00214EFC">
        <w:instrText xml:space="preserve"> \* MERGEFORMAT </w:instrText>
      </w:r>
      <w:r w:rsidR="00FA4663" w:rsidRPr="00214EFC">
        <w:fldChar w:fldCharType="separate"/>
      </w:r>
      <w:r w:rsidR="00AD1226" w:rsidRPr="00214EFC">
        <w:t xml:space="preserve">Figure S </w:t>
      </w:r>
      <w:r w:rsidR="00AD1226">
        <w:rPr>
          <w:noProof/>
        </w:rPr>
        <w:t>9</w:t>
      </w:r>
      <w:r w:rsidR="00FA4663" w:rsidRPr="00214EFC">
        <w:fldChar w:fldCharType="end"/>
      </w:r>
      <w:r w:rsidR="009C0539">
        <w:t>e</w:t>
      </w:r>
      <w:r w:rsidRPr="00214EFC">
        <w:t>) Trade pattern</w:t>
      </w:r>
    </w:p>
    <w:p w14:paraId="6D865349" w14:textId="471F1A0C" w:rsidR="00F74095" w:rsidRPr="00214EFC" w:rsidRDefault="00F74095" w:rsidP="00AA63CD">
      <w:pPr>
        <w:spacing w:after="100" w:afterAutospacing="1" w:line="360" w:lineRule="auto"/>
      </w:pPr>
      <w:r w:rsidRPr="00214EFC">
        <w:t xml:space="preserve">In retrospect of selected period, Myanmar’s economic has largely boomed by the reform the benefit a lot from the stable political environment. </w:t>
      </w:r>
      <w:r w:rsidR="003B13D6" w:rsidRPr="00214EFC">
        <w:t xml:space="preserve">For example, the opening of demotic agriculture market largely stimulates the import of seed, equipment and fertilizer that contributing to market booming, which contributes the import ratio of Agriculture, </w:t>
      </w:r>
      <w:proofErr w:type="gramStart"/>
      <w:r w:rsidR="003B13D6" w:rsidRPr="00214EFC">
        <w:t>forest</w:t>
      </w:r>
      <w:proofErr w:type="gramEnd"/>
      <w:r w:rsidR="003B13D6" w:rsidRPr="00214EFC">
        <w:t xml:space="preserve"> and fishing industry to roar up to 75% around 2012 than previous year. </w:t>
      </w:r>
      <w:r w:rsidRPr="00214EFC">
        <w:t xml:space="preserve">Myanmar’s major trade pattern has expanded from Asian countries to European counties, such as Sweden and Ireland have built a series of new connections in terms of aircraft and shipping manufactory. Although Myanmar is abundant in natural gas resource, the natural gas product is majorly used for export, rather than domestic consumption. Except traditional agricultural products like rice and beans, the clothing industry also become another important trigger of economic development as well as major export product. To the import, the mechanism and other chemical product are always found as the major products for meeting domestic demand. </w:t>
      </w:r>
    </w:p>
    <w:p w14:paraId="2A57D33B" w14:textId="2DE60DA8" w:rsidR="00052B68" w:rsidRPr="00214EFC" w:rsidRDefault="003860E6" w:rsidP="00AA63CD">
      <w:pPr>
        <w:spacing w:after="100" w:afterAutospacing="1" w:line="360" w:lineRule="auto"/>
      </w:pPr>
      <w:r>
        <w:rPr>
          <w:noProof/>
        </w:rPr>
        <w:lastRenderedPageBreak/>
        <w:drawing>
          <wp:inline distT="0" distB="0" distL="0" distR="0" wp14:anchorId="1CCAE965" wp14:editId="22839B35">
            <wp:extent cx="5270500" cy="307086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3070860"/>
                    </a:xfrm>
                    <a:prstGeom prst="rect">
                      <a:avLst/>
                    </a:prstGeom>
                    <a:noFill/>
                    <a:ln>
                      <a:noFill/>
                    </a:ln>
                  </pic:spPr>
                </pic:pic>
              </a:graphicData>
            </a:graphic>
          </wp:inline>
        </w:drawing>
      </w:r>
    </w:p>
    <w:p w14:paraId="064F3D4D" w14:textId="51068074" w:rsidR="00052B68" w:rsidRPr="00214EFC" w:rsidRDefault="00052B68" w:rsidP="00AA63CD">
      <w:pPr>
        <w:pStyle w:val="af6"/>
        <w:spacing w:after="100" w:afterAutospacing="1" w:line="360" w:lineRule="auto"/>
      </w:pPr>
      <w:bookmarkStart w:id="39" w:name="_Ref56691431"/>
      <w:r w:rsidRPr="00214EFC">
        <w:t xml:space="preserve">Figure S </w:t>
      </w:r>
      <w:fldSimple w:instr=" SEQ Figure_S \* ARABIC ">
        <w:r w:rsidR="001E11D5">
          <w:rPr>
            <w:noProof/>
          </w:rPr>
          <w:t>9</w:t>
        </w:r>
      </w:fldSimple>
      <w:bookmarkEnd w:id="39"/>
      <w:r w:rsidRPr="00214EFC">
        <w:t xml:space="preserve"> Relative increase of </w:t>
      </w:r>
      <w:r w:rsidR="009669F6" w:rsidRPr="009669F6">
        <w:t>CO</w:t>
      </w:r>
      <w:r w:rsidR="009669F6" w:rsidRPr="009669F6">
        <w:rPr>
          <w:vertAlign w:val="subscript"/>
        </w:rPr>
        <w:t>2</w:t>
      </w:r>
      <w:r w:rsidRPr="00214EFC">
        <w:t xml:space="preserve"> emissions and GDP (a),</w:t>
      </w:r>
      <w:r w:rsidR="00382DB3">
        <w:t xml:space="preserve"> emissions change of main drivers (b, in Mt),</w:t>
      </w:r>
      <w:r w:rsidRPr="00214EFC">
        <w:t xml:space="preserve"> emissions by sector (</w:t>
      </w:r>
      <w:r w:rsidR="00382DB3">
        <w:t>c</w:t>
      </w:r>
      <w:r w:rsidRPr="00214EFC">
        <w:t xml:space="preserve">, </w:t>
      </w:r>
      <w:bookmarkStart w:id="40" w:name="OLE_LINK34"/>
      <w:bookmarkStart w:id="41" w:name="OLE_LINK35"/>
      <w:r w:rsidRPr="00214EFC">
        <w:t>in 2010, 2014 and 2018 from the inner circle to outer ones</w:t>
      </w:r>
      <w:bookmarkEnd w:id="40"/>
      <w:bookmarkEnd w:id="41"/>
      <w:r w:rsidRPr="00214EFC">
        <w:t>), emissions by energy and industry (</w:t>
      </w:r>
      <w:r w:rsidR="00382DB3">
        <w:t>d</w:t>
      </w:r>
      <w:r w:rsidRPr="00214EFC">
        <w:t>), and international trade</w:t>
      </w:r>
      <w:r w:rsidR="00382DB3">
        <w:t xml:space="preserve"> changes</w:t>
      </w:r>
      <w:r w:rsidRPr="00214EFC">
        <w:t xml:space="preserve"> (</w:t>
      </w:r>
      <w:r w:rsidR="00382DB3">
        <w:t>e</w:t>
      </w:r>
      <w:r w:rsidRPr="00214EFC">
        <w:t xml:space="preserve">) of Myanmar. </w:t>
      </w:r>
    </w:p>
    <w:p w14:paraId="261E092C" w14:textId="05990C8E" w:rsidR="0091605F" w:rsidRPr="00F8140D" w:rsidRDefault="0091605F" w:rsidP="00AA63CD">
      <w:pPr>
        <w:snapToGrid w:val="0"/>
        <w:spacing w:after="100" w:afterAutospacing="1" w:line="360" w:lineRule="auto"/>
      </w:pPr>
      <w:r w:rsidRPr="00F8140D">
        <w:rPr>
          <w:b/>
          <w:bCs/>
        </w:rPr>
        <w:t>Ethiopia</w:t>
      </w:r>
      <w:r w:rsidRPr="00F8140D">
        <w:t xml:space="preserve"> (Figure 2</w:t>
      </w:r>
      <w:r w:rsidR="00E23717">
        <w:t>e</w:t>
      </w:r>
      <w:r w:rsidRPr="00F8140D">
        <w:t xml:space="preserve">): Over 2010-2018, Ethiopia enjoyed an economic boom with an annual growth rate of 10% (84.4 billion dollars in 2018) while at a cost of </w:t>
      </w:r>
      <w:r w:rsidR="009669F6" w:rsidRPr="009669F6">
        <w:t>CO</w:t>
      </w:r>
      <w:r w:rsidR="009669F6" w:rsidRPr="009669F6">
        <w:rPr>
          <w:vertAlign w:val="subscript"/>
        </w:rPr>
        <w:t>2</w:t>
      </w:r>
      <w:r w:rsidRPr="00F8140D">
        <w:t xml:space="preserve"> emissions rising by 11% each year. From 2010, Ethiopia experienced the Growth and Transformation Plan (GTP), which encouraged the large-scale foreign investment in agriculture and industry and stimulated economic growth and industrialization. Therefore, with the extraction of minerals (gold, salt, precious stones, fuels, etc.) and the infrastructure development under the GTP, the booming industry and growing GDP per capita became the largest drivers to the emission growth (</w:t>
      </w:r>
      <w:r>
        <w:t xml:space="preserve">summed </w:t>
      </w:r>
      <w:r w:rsidRPr="00F8140D">
        <w:t xml:space="preserve">7.3 Mt increment). As the road and rail transport and power generation were highlighted in the GTP targets, the expanded use of oil in transport and the higher use of coal in manufacture contributed 3.7 Mt emissions. Population growth also drove the emission growth, as the population growth rate of Ethiopia reached 2.7% per year. The upsurge of population leads to the growing demands for resources, products, and services, and therefore stimulates energy consumption and </w:t>
      </w:r>
      <w:r w:rsidR="009669F6" w:rsidRPr="009669F6">
        <w:t>CO</w:t>
      </w:r>
      <w:r w:rsidR="009669F6" w:rsidRPr="009669F6">
        <w:rPr>
          <w:vertAlign w:val="subscript"/>
        </w:rPr>
        <w:t>2</w:t>
      </w:r>
      <w:r w:rsidRPr="00F8140D">
        <w:t xml:space="preserve"> emissions. Energy intensity decline, </w:t>
      </w:r>
      <w:proofErr w:type="gramStart"/>
      <w:r w:rsidRPr="00F8140D">
        <w:t>as a result of</w:t>
      </w:r>
      <w:proofErr w:type="gramEnd"/>
      <w:r w:rsidRPr="00F8140D">
        <w:t xml:space="preserve"> electrification in commerce and household, led to a 5.3 Mt emission reduction over the period.</w:t>
      </w:r>
    </w:p>
    <w:p w14:paraId="3630723E" w14:textId="1898D5A1" w:rsidR="004E320A" w:rsidRPr="00214EFC" w:rsidRDefault="004E320A" w:rsidP="00AA63CD">
      <w:pPr>
        <w:spacing w:after="100" w:afterAutospacing="1" w:line="360" w:lineRule="auto"/>
      </w:pPr>
      <w:r w:rsidRPr="00214EFC">
        <w:t>(</w:t>
      </w:r>
      <w:r w:rsidR="000B6EF1" w:rsidRPr="00214EFC">
        <w:fldChar w:fldCharType="begin"/>
      </w:r>
      <w:r w:rsidR="000B6EF1" w:rsidRPr="00214EFC">
        <w:instrText xml:space="preserve"> REF _Ref56362391 \h </w:instrText>
      </w:r>
      <w:r w:rsidR="00214EFC">
        <w:instrText xml:space="preserve"> \* MERGEFORMAT </w:instrText>
      </w:r>
      <w:r w:rsidR="000B6EF1" w:rsidRPr="00214EFC">
        <w:fldChar w:fldCharType="separate"/>
      </w:r>
      <w:r w:rsidR="00AD1226" w:rsidRPr="00214EFC">
        <w:t xml:space="preserve">Figure S </w:t>
      </w:r>
      <w:r w:rsidR="00AD1226">
        <w:rPr>
          <w:noProof/>
        </w:rPr>
        <w:t>10</w:t>
      </w:r>
      <w:r w:rsidR="000B6EF1" w:rsidRPr="00214EFC">
        <w:fldChar w:fldCharType="end"/>
      </w:r>
      <w:r w:rsidRPr="00214EFC">
        <w:t xml:space="preserve">a) </w:t>
      </w:r>
      <w:r w:rsidR="009669F6" w:rsidRPr="009669F6">
        <w:t>CO</w:t>
      </w:r>
      <w:r w:rsidR="009669F6" w:rsidRPr="009669F6">
        <w:rPr>
          <w:vertAlign w:val="subscript"/>
        </w:rPr>
        <w:t>2</w:t>
      </w:r>
      <w:r w:rsidRPr="00214EFC">
        <w:t xml:space="preserve"> emissions and GDP</w:t>
      </w:r>
    </w:p>
    <w:p w14:paraId="69F85DD7" w14:textId="66FD783E" w:rsidR="0091453C" w:rsidRPr="00214EFC" w:rsidRDefault="0091453C" w:rsidP="00AA63CD">
      <w:pPr>
        <w:spacing w:after="100" w:afterAutospacing="1" w:line="360" w:lineRule="auto"/>
      </w:pPr>
      <w:r w:rsidRPr="00214EFC">
        <w:t xml:space="preserve">The growth trends of GDP and </w:t>
      </w:r>
      <w:r w:rsidR="009669F6" w:rsidRPr="009669F6">
        <w:t>CO</w:t>
      </w:r>
      <w:r w:rsidR="009669F6" w:rsidRPr="009669F6">
        <w:rPr>
          <w:vertAlign w:val="subscript"/>
        </w:rPr>
        <w:t>2</w:t>
      </w:r>
      <w:r w:rsidRPr="00214EFC">
        <w:t xml:space="preserve"> emissions are shown in </w:t>
      </w:r>
      <w:r w:rsidR="000B6EF1" w:rsidRPr="00214EFC">
        <w:fldChar w:fldCharType="begin"/>
      </w:r>
      <w:r w:rsidR="000B6EF1" w:rsidRPr="00214EFC">
        <w:instrText xml:space="preserve"> REF _Ref56362391 \h </w:instrText>
      </w:r>
      <w:r w:rsidR="00214EFC">
        <w:instrText xml:space="preserve"> \* MERGEFORMAT </w:instrText>
      </w:r>
      <w:r w:rsidR="000B6EF1" w:rsidRPr="00214EFC">
        <w:fldChar w:fldCharType="separate"/>
      </w:r>
      <w:r w:rsidR="00E309AB" w:rsidRPr="00214EFC">
        <w:t xml:space="preserve">Figure S </w:t>
      </w:r>
      <w:r w:rsidR="00E309AB">
        <w:rPr>
          <w:noProof/>
        </w:rPr>
        <w:t>9</w:t>
      </w:r>
      <w:r w:rsidR="000B6EF1" w:rsidRPr="00214EFC">
        <w:fldChar w:fldCharType="end"/>
      </w:r>
      <w:r w:rsidRPr="00214EFC">
        <w:t xml:space="preserve">a. During the last two </w:t>
      </w:r>
      <w:r w:rsidRPr="00214EFC">
        <w:lastRenderedPageBreak/>
        <w:t>decades, Ethiopia has undergone huge structural and economic changes. The share of industry in the gross domestic product increased significantly from 9.44% in 2010 to 27.31% in 2018. With a shift from agriculture to manufacturing in recent years, especially following policies which include the Growth and Transformation Plan (GTP), Ethiopia has experienced high economic growth, averaging 9.8% a year from 2010-2018.</w:t>
      </w:r>
      <w:r w:rsidR="00763922">
        <w:t xml:space="preserve"> </w:t>
      </w:r>
      <w:r w:rsidRPr="00214EFC">
        <w:t xml:space="preserve">Rapid economic growth was also underpinned by high levels of foreign direct investment, which stood at $3.6bn in 2017 compared to $109m a decade earlier. In step with economic development, Ethiopia's </w:t>
      </w:r>
      <w:r w:rsidR="009669F6" w:rsidRPr="009669F6">
        <w:t>CO</w:t>
      </w:r>
      <w:r w:rsidR="009669F6" w:rsidRPr="009669F6">
        <w:rPr>
          <w:vertAlign w:val="subscript"/>
        </w:rPr>
        <w:t>2</w:t>
      </w:r>
      <w:r w:rsidRPr="00214EFC">
        <w:t xml:space="preserve"> emissions have been growing at a slightly faster pace compared to GDP since 2013, with an average growth rate of 10.8%, indicating the process of industrialization and higher emission intensity</w:t>
      </w:r>
      <w:r w:rsidR="00763922">
        <w:fldChar w:fldCharType="begin"/>
      </w:r>
      <w:r w:rsidR="00C478D6">
        <w:instrText xml:space="preserve"> ADDIN ZOTERO_ITEM CSL_CITATION {"citationID":"E36bx40L","properties":{"formattedCitation":"\\super 26\\nosupersub{}","plainCitation":"26","noteIndex":0},"citationItems":[{"id":3368,"uris":["http://zotero.org/users/4340498/items/SH69A8ZJ"],"uri":["http://zotero.org/users/4340498/items/SH69A8ZJ"],"itemData":{"id":3368,"type":"article-journal","abstract":"The energy sector of Ethiopia continues to largely rely on traditional biomass energy due to limited access to modern energy sources to meet growing demand. Long-term energy demand forecasting is essential to guide the country's plans to expand the energy supply system. This study provides a general overview of Ethiopia's current energy demand and forecasts sector-wise energy demand out to 2030 for alternative policy scenarios using the Long-range Energy Alternative Planning (LEAP) model. The reference scenario assumes a continuation of recent energy consumption trends and takes account of current energy and economic dynamics. Three alternative scenarios on improved cookstoves, efficient lighting, and universal electrification scenario were identified as key priorities of the government of Ethiopia and modeled. Results from the model can assist energy planners in ensuring that the country's capacity for supply meets projected growth in demand for energy. They also shed light on the tradeoffs implicit in alternative policy priorities and investments in terms of economic development and environmental sustainability. Most importantly, the results suggest that alternative investments can conserve energy, improve environmental sustainability, enhance energy equity and improve the country's development indicators.","container-title":"Energy","DOI":"10.1016/j.energy.2018.02.067","ISSN":"0360-5442","journalAbbreviation":"Energy","language":"en","page":"161-172","source":"ScienceDirect","title":"Ethiopian energy status and demand scenarios: Prospects to improve energy efficiency and mitigate GHG emissions","title-short":"Ethiopian energy status and demand scenarios","volume":"149","author":[{"family":"Mondal","given":"Md Alam Hossain"},{"family":"Bryan","given":"Elizabeth"},{"family":"Ringler","given":"Claudia"},{"family":"Mekonnen","given":"Dawit"},{"family":"Rosegrant","given":"Mark"}],"issued":{"date-parts":[["2018",4,15]]}}}],"schema":"https://github.com/citation-style-language/schema/raw/master/csl-citation.json"} </w:instrText>
      </w:r>
      <w:r w:rsidR="00763922">
        <w:fldChar w:fldCharType="separate"/>
      </w:r>
      <w:r w:rsidR="00C478D6" w:rsidRPr="00C478D6">
        <w:rPr>
          <w:kern w:val="0"/>
          <w:szCs w:val="24"/>
          <w:vertAlign w:val="superscript"/>
        </w:rPr>
        <w:t>26</w:t>
      </w:r>
      <w:r w:rsidR="00763922">
        <w:fldChar w:fldCharType="end"/>
      </w:r>
      <w:r w:rsidRPr="00214EFC">
        <w:t xml:space="preserve">.  </w:t>
      </w:r>
    </w:p>
    <w:p w14:paraId="74B585EF" w14:textId="393EA0AF" w:rsidR="009C0539" w:rsidRDefault="000E0826" w:rsidP="00AA63CD">
      <w:pPr>
        <w:spacing w:after="100" w:afterAutospacing="1" w:line="360" w:lineRule="auto"/>
      </w:pPr>
      <w:r w:rsidRPr="00214EFC">
        <w:t>(</w:t>
      </w:r>
      <w:r w:rsidR="000B6EF1" w:rsidRPr="00214EFC">
        <w:fldChar w:fldCharType="begin"/>
      </w:r>
      <w:r w:rsidR="000B6EF1" w:rsidRPr="00214EFC">
        <w:instrText xml:space="preserve"> REF _Ref56362391 \h </w:instrText>
      </w:r>
      <w:r w:rsidR="00214EFC">
        <w:instrText xml:space="preserve"> \* MERGEFORMAT </w:instrText>
      </w:r>
      <w:r w:rsidR="000B6EF1" w:rsidRPr="00214EFC">
        <w:fldChar w:fldCharType="separate"/>
      </w:r>
      <w:r w:rsidR="00AD1226" w:rsidRPr="00214EFC">
        <w:t xml:space="preserve">Figure S </w:t>
      </w:r>
      <w:r w:rsidR="00AD1226">
        <w:rPr>
          <w:noProof/>
        </w:rPr>
        <w:t>10</w:t>
      </w:r>
      <w:r w:rsidR="000B6EF1" w:rsidRPr="00214EFC">
        <w:fldChar w:fldCharType="end"/>
      </w:r>
      <w:r w:rsidRPr="00214EFC">
        <w:t>b)</w:t>
      </w:r>
      <w:r w:rsidR="009C0539">
        <w:t xml:space="preserve"> Emission drivers</w:t>
      </w:r>
    </w:p>
    <w:p w14:paraId="4946FC97" w14:textId="50A16A8E" w:rsidR="00AA63CD" w:rsidRPr="00C5101B" w:rsidRDefault="00AA63CD" w:rsidP="00AA63CD">
      <w:pPr>
        <w:spacing w:after="100" w:afterAutospacing="1" w:line="360" w:lineRule="auto"/>
      </w:pPr>
      <w:r w:rsidRPr="00C5101B">
        <w:t xml:space="preserve">Over 2010-2018, Ethiopia enjoyed an economic boom with an annual growth rate of 10% (84.4 billion dollars in 2018) while at a cost of </w:t>
      </w:r>
      <w:r w:rsidR="009669F6" w:rsidRPr="009669F6">
        <w:t>CO</w:t>
      </w:r>
      <w:r w:rsidR="009669F6" w:rsidRPr="009669F6">
        <w:rPr>
          <w:vertAlign w:val="subscript"/>
        </w:rPr>
        <w:t>2</w:t>
      </w:r>
      <w:r w:rsidRPr="00C5101B">
        <w:t xml:space="preserve"> emissions rising by 11% each year. From 2010, Ethiopia experienced the Growth and Transformation Plan (GTP), which encouraged the large-scale foreign investment in agriculture and industry and stimulated economic growth and industrialization. Therefore, with the extraction of minerals (gold, salt, precious stones, fuels, etc.) and the infrastructure development under the GTP, the booming industry and growing GDP per capita became the largest drivers to the emission growth (7.3 Mt increment). As the road and rail transport and power generation were highlighted in the GTP targets, the expanded use of oil in transport and the higher use of coal in manufacture contributed 3.7 Mt emissions. Population growth also drove the emission growth, as the population growth rate of Ethiopia reached 2.7% per year. The upsurge of population leads to the growing demands for resources, products, and services, and therefore stimulates energy consumption and </w:t>
      </w:r>
      <w:r w:rsidR="009669F6" w:rsidRPr="009669F6">
        <w:t>CO</w:t>
      </w:r>
      <w:r w:rsidR="009669F6" w:rsidRPr="009669F6">
        <w:rPr>
          <w:vertAlign w:val="subscript"/>
        </w:rPr>
        <w:t>2</w:t>
      </w:r>
      <w:r w:rsidRPr="00C5101B">
        <w:t xml:space="preserve"> emissions. Energy intensity decline, </w:t>
      </w:r>
      <w:proofErr w:type="gramStart"/>
      <w:r w:rsidRPr="00C5101B">
        <w:t>as a result of</w:t>
      </w:r>
      <w:proofErr w:type="gramEnd"/>
      <w:r w:rsidRPr="00C5101B">
        <w:t xml:space="preserve"> electrification in commerce and household, led to a 5.3 Mt emission reduction over the period.</w:t>
      </w:r>
    </w:p>
    <w:p w14:paraId="18A8D062" w14:textId="589A18C4" w:rsidR="000E0826" w:rsidRPr="00214EFC" w:rsidRDefault="009C0539" w:rsidP="00AA63CD">
      <w:pPr>
        <w:spacing w:after="100" w:afterAutospacing="1" w:line="360" w:lineRule="auto"/>
      </w:pPr>
      <w:r w:rsidRPr="00214EFC">
        <w:t>(</w:t>
      </w:r>
      <w:r w:rsidRPr="00214EFC">
        <w:fldChar w:fldCharType="begin"/>
      </w:r>
      <w:r w:rsidRPr="00214EFC">
        <w:instrText xml:space="preserve"> REF _Ref56362391 \h </w:instrText>
      </w:r>
      <w:r>
        <w:instrText xml:space="preserve"> \* MERGEFORMAT </w:instrText>
      </w:r>
      <w:r w:rsidRPr="00214EFC">
        <w:fldChar w:fldCharType="separate"/>
      </w:r>
      <w:r w:rsidR="00AD1226" w:rsidRPr="00214EFC">
        <w:t xml:space="preserve">Figure S </w:t>
      </w:r>
      <w:r w:rsidR="00AD1226">
        <w:rPr>
          <w:noProof/>
        </w:rPr>
        <w:t>10</w:t>
      </w:r>
      <w:r w:rsidRPr="00214EFC">
        <w:fldChar w:fldCharType="end"/>
      </w:r>
      <w:r>
        <w:t>c</w:t>
      </w:r>
      <w:r w:rsidRPr="00214EFC">
        <w:t>)</w:t>
      </w:r>
      <w:r w:rsidR="000E0826" w:rsidRPr="00214EFC">
        <w:t xml:space="preserve"> </w:t>
      </w:r>
      <w:r>
        <w:t>Emissions by sector</w:t>
      </w:r>
    </w:p>
    <w:p w14:paraId="74EC6F18" w14:textId="19BD435F" w:rsidR="008F1F91" w:rsidRPr="00214EFC" w:rsidRDefault="0091453C" w:rsidP="00AA63CD">
      <w:pPr>
        <w:spacing w:after="100" w:afterAutospacing="1" w:line="360" w:lineRule="auto"/>
      </w:pPr>
      <w:r w:rsidRPr="00214EFC">
        <w:t xml:space="preserve">Transportation accounted for the largest share of emissions, about 50 percent, while nonmetal </w:t>
      </w:r>
      <w:r w:rsidRPr="00214EFC">
        <w:lastRenderedPageBreak/>
        <w:t xml:space="preserve">manufacturing has fastest growth trend. According to the GTP, the government had been renewing focus on natural resource and raw material industries such as gold, oil, gas, potash, and gemstones from 2010, resulting in a huge increase in non-metallic. The export of salt, </w:t>
      </w:r>
      <w:proofErr w:type="spellStart"/>
      <w:r w:rsidRPr="00214EFC">
        <w:t>sulphur</w:t>
      </w:r>
      <w:proofErr w:type="spellEnd"/>
      <w:r w:rsidRPr="00214EFC">
        <w:t xml:space="preserve">, earth &amp; </w:t>
      </w:r>
      <w:proofErr w:type="gramStart"/>
      <w:r w:rsidRPr="00214EFC">
        <w:t>stone</w:t>
      </w:r>
      <w:proofErr w:type="gramEnd"/>
      <w:r w:rsidRPr="00214EFC">
        <w:t xml:space="preserve"> and plaster increased over 100 times from 984,446$ (in 2010) to 11,283,813$ (in 2018). Improved cook-stoves, universal electrification, and efficient lighting as measures put in place by Ethiopia, have gone a long way to improve household energy efficiency in recent years. Also, extreme drought since 2015 threw millions of people into famine and other </w:t>
      </w:r>
      <w:r w:rsidR="008F1F91" w:rsidRPr="00214EFC">
        <w:t>crisis</w:t>
      </w:r>
      <w:r w:rsidRPr="00214EFC">
        <w:t>, which led to the sharp decrease in residential consumption and emissions.</w:t>
      </w:r>
      <w:r w:rsidR="008F1F91" w:rsidRPr="00214EFC">
        <w:t xml:space="preserve"> </w:t>
      </w:r>
      <w:r w:rsidR="009669F6" w:rsidRPr="009669F6">
        <w:t>CO</w:t>
      </w:r>
      <w:r w:rsidR="009669F6" w:rsidRPr="009669F6">
        <w:rPr>
          <w:vertAlign w:val="subscript"/>
        </w:rPr>
        <w:t>2</w:t>
      </w:r>
      <w:r w:rsidRPr="00214EFC">
        <w:t xml:space="preserve"> emissions in the power and heat sector have declined </w:t>
      </w:r>
      <w:proofErr w:type="gramStart"/>
      <w:r w:rsidRPr="00214EFC">
        <w:t>as a result of</w:t>
      </w:r>
      <w:proofErr w:type="gramEnd"/>
      <w:r w:rsidRPr="00214EFC">
        <w:t xml:space="preserve"> the rapid development of hydropower and the improvement of energy conversion efficiency. Electricity generation by hydro grew from 4931GWh in 2010 to 13018GWh in 2018, and the share of </w:t>
      </w:r>
      <w:r w:rsidR="008F1F91" w:rsidRPr="00214EFC">
        <w:t>renewables (</w:t>
      </w:r>
      <w:r w:rsidRPr="00214EFC">
        <w:t>hydro, wind and solar) in power generation has reached 100% since 2012. Emission shares of agriculture &amp; forestry and commerce remained stable over time.</w:t>
      </w:r>
    </w:p>
    <w:p w14:paraId="2FB9FB7D" w14:textId="51B730BF" w:rsidR="003D42B0" w:rsidRPr="00214EFC" w:rsidRDefault="003D42B0" w:rsidP="00AA63CD">
      <w:pPr>
        <w:spacing w:after="100" w:afterAutospacing="1" w:line="360" w:lineRule="auto"/>
      </w:pPr>
      <w:r w:rsidRPr="00214EFC">
        <w:t>(</w:t>
      </w:r>
      <w:r w:rsidR="000B6EF1" w:rsidRPr="00214EFC">
        <w:fldChar w:fldCharType="begin"/>
      </w:r>
      <w:r w:rsidR="000B6EF1" w:rsidRPr="00214EFC">
        <w:instrText xml:space="preserve"> REF _Ref56362391 \h </w:instrText>
      </w:r>
      <w:r w:rsidR="00214EFC">
        <w:instrText xml:space="preserve"> \* MERGEFORMAT </w:instrText>
      </w:r>
      <w:r w:rsidR="000B6EF1" w:rsidRPr="00214EFC">
        <w:fldChar w:fldCharType="separate"/>
      </w:r>
      <w:r w:rsidR="00AD1226" w:rsidRPr="00214EFC">
        <w:t xml:space="preserve">Figure S </w:t>
      </w:r>
      <w:r w:rsidR="00AD1226">
        <w:rPr>
          <w:noProof/>
        </w:rPr>
        <w:t>10</w:t>
      </w:r>
      <w:r w:rsidR="000B6EF1" w:rsidRPr="00214EFC">
        <w:fldChar w:fldCharType="end"/>
      </w:r>
      <w:r w:rsidR="009C0539">
        <w:t>d</w:t>
      </w:r>
      <w:r w:rsidRPr="00214EFC">
        <w:t xml:space="preserve">) </w:t>
      </w:r>
      <w:r w:rsidR="009C0539">
        <w:t>Emissions by fuel type and industry</w:t>
      </w:r>
    </w:p>
    <w:p w14:paraId="3A418DAD" w14:textId="5C90A974" w:rsidR="00207A5D" w:rsidRPr="00214EFC" w:rsidRDefault="008F1F91" w:rsidP="00AA63CD">
      <w:pPr>
        <w:spacing w:after="100" w:afterAutospacing="1" w:line="360" w:lineRule="auto"/>
      </w:pPr>
      <w:r w:rsidRPr="00214EFC">
        <w:t>Ethiopia’s main energy supply is oil products and coal products, of which oil products are the main source of energy.</w:t>
      </w:r>
      <w:r w:rsidR="00662F7F" w:rsidRPr="00214EFC">
        <w:t xml:space="preserve"> The main part of Ethiopia's economic plan is to strengthen infrastructure construction. </w:t>
      </w:r>
      <w:r w:rsidR="00C10E2C" w:rsidRPr="00214EFC">
        <w:t xml:space="preserve">With the rapid development of infrastructure construction in Ethiopia, the industrialization process is constantly advancing, and the demand for cement is increasing. This caused </w:t>
      </w:r>
      <w:r w:rsidR="00662F7F" w:rsidRPr="00214EFC">
        <w:t xml:space="preserve">the </w:t>
      </w:r>
      <w:r w:rsidR="009669F6" w:rsidRPr="009669F6">
        <w:t>CO</w:t>
      </w:r>
      <w:r w:rsidR="009669F6" w:rsidRPr="009669F6">
        <w:rPr>
          <w:vertAlign w:val="subscript"/>
        </w:rPr>
        <w:t>2</w:t>
      </w:r>
      <w:r w:rsidR="00662F7F" w:rsidRPr="00214EFC">
        <w:t xml:space="preserve"> emissions from non-metallic sector has the fast growth</w:t>
      </w:r>
      <w:r w:rsidR="00C10E2C" w:rsidRPr="00214EFC">
        <w:t>.</w:t>
      </w:r>
      <w:r w:rsidR="00662F7F" w:rsidRPr="00214EFC">
        <w:t xml:space="preserve"> In addition, because Ethiopia is a land locked country, most of the transportation is completed by rod transportation, which lead road transportation has the largest proportion of </w:t>
      </w:r>
      <w:r w:rsidR="009669F6" w:rsidRPr="009669F6">
        <w:t>CO</w:t>
      </w:r>
      <w:r w:rsidR="009669F6" w:rsidRPr="009669F6">
        <w:rPr>
          <w:vertAlign w:val="subscript"/>
        </w:rPr>
        <w:t>2</w:t>
      </w:r>
      <w:r w:rsidR="00662F7F" w:rsidRPr="00214EFC">
        <w:t xml:space="preserve"> emissions</w:t>
      </w:r>
      <w:r w:rsidRPr="00214EFC">
        <w:t xml:space="preserve">. </w:t>
      </w:r>
    </w:p>
    <w:p w14:paraId="10CA0240" w14:textId="17196D5B" w:rsidR="00207A5D" w:rsidRPr="00214EFC" w:rsidRDefault="00207A5D" w:rsidP="00AA63CD">
      <w:pPr>
        <w:spacing w:after="100" w:afterAutospacing="1" w:line="360" w:lineRule="auto"/>
      </w:pPr>
      <w:r w:rsidRPr="00214EFC">
        <w:t>(</w:t>
      </w:r>
      <w:r w:rsidR="000B6EF1" w:rsidRPr="00214EFC">
        <w:fldChar w:fldCharType="begin"/>
      </w:r>
      <w:r w:rsidR="000B6EF1" w:rsidRPr="00214EFC">
        <w:instrText xml:space="preserve"> REF _Ref56362391 \h </w:instrText>
      </w:r>
      <w:r w:rsidR="00214EFC">
        <w:instrText xml:space="preserve"> \* MERGEFORMAT </w:instrText>
      </w:r>
      <w:r w:rsidR="000B6EF1" w:rsidRPr="00214EFC">
        <w:fldChar w:fldCharType="separate"/>
      </w:r>
      <w:r w:rsidR="00AD1226" w:rsidRPr="00214EFC">
        <w:t xml:space="preserve">Figure S </w:t>
      </w:r>
      <w:r w:rsidR="00AD1226">
        <w:rPr>
          <w:noProof/>
        </w:rPr>
        <w:t>10</w:t>
      </w:r>
      <w:r w:rsidR="000B6EF1" w:rsidRPr="00214EFC">
        <w:fldChar w:fldCharType="end"/>
      </w:r>
      <w:r w:rsidR="009C0539">
        <w:t>e</w:t>
      </w:r>
      <w:r w:rsidRPr="00214EFC">
        <w:t>) Trade pattern</w:t>
      </w:r>
    </w:p>
    <w:p w14:paraId="710C8D9C" w14:textId="09928E67" w:rsidR="008F1F91" w:rsidRPr="00214EFC" w:rsidRDefault="000B6EF1" w:rsidP="00AA63CD">
      <w:pPr>
        <w:spacing w:after="100" w:afterAutospacing="1" w:line="360" w:lineRule="auto"/>
      </w:pPr>
      <w:r w:rsidRPr="00214EFC">
        <w:fldChar w:fldCharType="begin"/>
      </w:r>
      <w:r w:rsidRPr="00214EFC">
        <w:instrText xml:space="preserve"> REF _Ref56362391 \h </w:instrText>
      </w:r>
      <w:r w:rsidR="00214EFC">
        <w:instrText xml:space="preserve"> \* MERGEFORMAT </w:instrText>
      </w:r>
      <w:r w:rsidRPr="00214EFC">
        <w:fldChar w:fldCharType="separate"/>
      </w:r>
      <w:r w:rsidR="00E309AB" w:rsidRPr="00214EFC">
        <w:t xml:space="preserve">Figure S </w:t>
      </w:r>
      <w:r w:rsidR="00E309AB">
        <w:rPr>
          <w:noProof/>
        </w:rPr>
        <w:t>9</w:t>
      </w:r>
      <w:r w:rsidRPr="00214EFC">
        <w:fldChar w:fldCharType="end"/>
      </w:r>
      <w:r w:rsidR="008F1F91" w:rsidRPr="00214EFC">
        <w:t xml:space="preserve">d shows the time series of the trade volume of the sectors with the largest change ratio of import and export in Ethiopia from 2010 to 2018. Ethiopia earns most of its foreign exchange from primary industries, such as coffee, oily </w:t>
      </w:r>
      <w:proofErr w:type="gramStart"/>
      <w:r w:rsidR="008F1F91" w:rsidRPr="00214EFC">
        <w:t>seeds</w:t>
      </w:r>
      <w:proofErr w:type="gramEnd"/>
      <w:r w:rsidR="008F1F91" w:rsidRPr="00214EFC">
        <w:t xml:space="preserve"> and manufacturing products, among which rubber and plastic products saw an apparent increase. Exports of transport services have been growing steadily since 2010. The national airline serves destinations in </w:t>
      </w:r>
      <w:r w:rsidR="008F1F91" w:rsidRPr="00214EFC">
        <w:lastRenderedPageBreak/>
        <w:t xml:space="preserve">Ethiopia and throughout the African continent, as well as nonstop service to all over the world. We could see a sharp increase in imports of transportation equipment and industrial products, including aircraft or spacecraft from Germany and United States, railway/tramway locomotive from Belgium, as well as other industrial products such as petroleum oils, fertilizers, nuclear </w:t>
      </w:r>
      <w:proofErr w:type="gramStart"/>
      <w:r w:rsidR="008F1F91" w:rsidRPr="00214EFC">
        <w:t>reactors</w:t>
      </w:r>
      <w:proofErr w:type="gramEnd"/>
      <w:r w:rsidR="008F1F91" w:rsidRPr="00214EFC">
        <w:t xml:space="preserve"> and boilers. The import of transportation equipment increased 77.9% from 2010 to 2018 to support its transportation.</w:t>
      </w:r>
    </w:p>
    <w:p w14:paraId="75F6DD98" w14:textId="6979D80C" w:rsidR="00052B68" w:rsidRPr="00214EFC" w:rsidRDefault="003860E6" w:rsidP="00AA63CD">
      <w:pPr>
        <w:spacing w:after="100" w:afterAutospacing="1" w:line="360" w:lineRule="auto"/>
      </w:pPr>
      <w:r>
        <w:rPr>
          <w:noProof/>
        </w:rPr>
        <w:drawing>
          <wp:inline distT="0" distB="0" distL="0" distR="0" wp14:anchorId="73A4936D" wp14:editId="7EA05F6D">
            <wp:extent cx="5262245" cy="31229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3122930"/>
                    </a:xfrm>
                    <a:prstGeom prst="rect">
                      <a:avLst/>
                    </a:prstGeom>
                    <a:noFill/>
                    <a:ln>
                      <a:noFill/>
                    </a:ln>
                  </pic:spPr>
                </pic:pic>
              </a:graphicData>
            </a:graphic>
          </wp:inline>
        </w:drawing>
      </w:r>
      <w:r w:rsidR="00052B68" w:rsidRPr="00214EFC">
        <w:t xml:space="preserve"> </w:t>
      </w:r>
    </w:p>
    <w:p w14:paraId="1AA0178B" w14:textId="053DB85B" w:rsidR="00052B68" w:rsidRPr="00214EFC" w:rsidRDefault="00052B68" w:rsidP="00AA63CD">
      <w:pPr>
        <w:pStyle w:val="af6"/>
        <w:spacing w:after="100" w:afterAutospacing="1" w:line="360" w:lineRule="auto"/>
        <w:rPr>
          <w:rFonts w:eastAsiaTheme="minorEastAsia"/>
        </w:rPr>
      </w:pPr>
      <w:bookmarkStart w:id="42" w:name="_Ref56362391"/>
      <w:r w:rsidRPr="00214EFC">
        <w:t xml:space="preserve">Figure S </w:t>
      </w:r>
      <w:fldSimple w:instr=" SEQ Figure_S \* ARABIC ">
        <w:r w:rsidR="001E11D5">
          <w:rPr>
            <w:noProof/>
          </w:rPr>
          <w:t>10</w:t>
        </w:r>
      </w:fldSimple>
      <w:bookmarkEnd w:id="42"/>
      <w:r w:rsidRPr="00214EFC">
        <w:t xml:space="preserve"> Relative increase of </w:t>
      </w:r>
      <w:r w:rsidR="009669F6" w:rsidRPr="009669F6">
        <w:t>CO</w:t>
      </w:r>
      <w:r w:rsidR="009669F6" w:rsidRPr="009669F6">
        <w:rPr>
          <w:vertAlign w:val="subscript"/>
        </w:rPr>
        <w:t>2</w:t>
      </w:r>
      <w:r w:rsidRPr="00214EFC">
        <w:t xml:space="preserve"> emissions and GDP (a),</w:t>
      </w:r>
      <w:r w:rsidR="00382DB3" w:rsidRPr="00382DB3">
        <w:t xml:space="preserve"> </w:t>
      </w:r>
      <w:r w:rsidR="00382DB3">
        <w:t>emissions change of main drivers (b, in Mt),</w:t>
      </w:r>
      <w:r w:rsidR="00382DB3" w:rsidRPr="00214EFC">
        <w:t xml:space="preserve"> emissions by sector (</w:t>
      </w:r>
      <w:r w:rsidR="00382DB3">
        <w:t>c</w:t>
      </w:r>
      <w:r w:rsidR="00382DB3" w:rsidRPr="00214EFC">
        <w:t>, in 2010, 2014 and 2018 from the inner circle to outer ones), emissions by energy and industry (</w:t>
      </w:r>
      <w:r w:rsidR="00382DB3">
        <w:t>d</w:t>
      </w:r>
      <w:r w:rsidR="00382DB3" w:rsidRPr="00214EFC">
        <w:t>), and international trade</w:t>
      </w:r>
      <w:r w:rsidR="00382DB3">
        <w:t xml:space="preserve"> changes</w:t>
      </w:r>
      <w:r w:rsidR="00382DB3" w:rsidRPr="00214EFC">
        <w:t xml:space="preserve"> (</w:t>
      </w:r>
      <w:r w:rsidR="00382DB3">
        <w:t>e</w:t>
      </w:r>
      <w:r w:rsidR="00382DB3" w:rsidRPr="00214EFC">
        <w:t>)</w:t>
      </w:r>
      <w:r w:rsidR="00382DB3">
        <w:t xml:space="preserve"> </w:t>
      </w:r>
      <w:r w:rsidRPr="00214EFC">
        <w:t xml:space="preserve">of Ethiopia. </w:t>
      </w:r>
    </w:p>
    <w:p w14:paraId="0AB3E4C6" w14:textId="77777777" w:rsidR="00052B68" w:rsidRPr="00214EFC" w:rsidRDefault="00052B68" w:rsidP="00AA63CD">
      <w:pPr>
        <w:spacing w:after="100" w:afterAutospacing="1" w:line="360" w:lineRule="auto"/>
      </w:pPr>
    </w:p>
    <w:p w14:paraId="17AAB286" w14:textId="23A75F9E" w:rsidR="0091605F" w:rsidRPr="00F8140D" w:rsidRDefault="009669F6" w:rsidP="00AA63CD">
      <w:pPr>
        <w:snapToGrid w:val="0"/>
        <w:spacing w:after="100" w:afterAutospacing="1" w:line="360" w:lineRule="auto"/>
      </w:pPr>
      <w:r>
        <w:rPr>
          <w:b/>
          <w:bCs/>
        </w:rPr>
        <w:t>Vietnam</w:t>
      </w:r>
      <w:r w:rsidR="0091605F" w:rsidRPr="00F8140D">
        <w:rPr>
          <w:b/>
          <w:bCs/>
        </w:rPr>
        <w:t xml:space="preserve"> </w:t>
      </w:r>
      <w:r w:rsidR="0091605F" w:rsidRPr="00F8140D">
        <w:t>(Figure 2</w:t>
      </w:r>
      <w:r w:rsidR="00E23717">
        <w:t>g</w:t>
      </w:r>
      <w:r w:rsidR="0091605F" w:rsidRPr="00F8140D">
        <w:t xml:space="preserve">): </w:t>
      </w:r>
      <w:r>
        <w:t>Vietnam</w:t>
      </w:r>
      <w:r w:rsidR="0091605F" w:rsidRPr="00F8140D">
        <w:t xml:space="preserve"> experienced rapid growth of both GDP and </w:t>
      </w:r>
      <w:r w:rsidRPr="009669F6">
        <w:t>CO</w:t>
      </w:r>
      <w:r w:rsidRPr="009669F6">
        <w:rPr>
          <w:vertAlign w:val="subscript"/>
        </w:rPr>
        <w:t>2</w:t>
      </w:r>
      <w:r w:rsidR="0091605F" w:rsidRPr="00F8140D">
        <w:t xml:space="preserve"> emission at annual growth rates of 6% and 8%, respectively. In 2018, </w:t>
      </w:r>
      <w:r>
        <w:t>Vietnam</w:t>
      </w:r>
      <w:r w:rsidR="0091605F" w:rsidRPr="00F8140D">
        <w:t xml:space="preserve">’s GDP reached up to 245.2 billion dollars and </w:t>
      </w:r>
      <w:r w:rsidRPr="009669F6">
        <w:t>CO</w:t>
      </w:r>
      <w:r w:rsidRPr="009669F6">
        <w:rPr>
          <w:vertAlign w:val="subscript"/>
        </w:rPr>
        <w:t>2</w:t>
      </w:r>
      <w:r w:rsidR="0091605F" w:rsidRPr="00F8140D">
        <w:t xml:space="preserve"> emissions reached to 226.7 Mt. During the journey of </w:t>
      </w:r>
      <w:r>
        <w:t>Vietnam</w:t>
      </w:r>
      <w:r w:rsidR="0091605F" w:rsidRPr="00F8140D">
        <w:t xml:space="preserve">’s emission surging, the increasing GDP per capita drove the most emission growth (67.8 Mt, 68.1% of the total increment). With fast-growing production and exports of textile, real estate, transport, and electrical equipment parts, </w:t>
      </w:r>
      <w:r>
        <w:t>Vietnam</w:t>
      </w:r>
      <w:r w:rsidR="0091605F" w:rsidRPr="00F8140D">
        <w:t xml:space="preserve"> achieved fast and firm economic growth, in which the industry and services contributed 10 Mt emissions increment, and the related energy consumption turned to coal (in power supply) and oil (in textile and electrical parts production) </w:t>
      </w:r>
      <w:r w:rsidR="0091605F" w:rsidRPr="00F8140D">
        <w:lastRenderedPageBreak/>
        <w:t xml:space="preserve">that led to 36.7 Mt incremental emissions. Population growth drove the emission growth by 14 Mt as well, because of the enlarged household demand of the increased population (from 88 million to 97 million, by 1% per year). To sum up, as one of the largest factories for the world with a carbonized energy structure and large population, </w:t>
      </w:r>
      <w:r>
        <w:t>Vietnam</w:t>
      </w:r>
      <w:r w:rsidR="0091605F" w:rsidRPr="00F8140D">
        <w:t xml:space="preserve"> has great potential to continue to surge its </w:t>
      </w:r>
      <w:r w:rsidRPr="009669F6">
        <w:t>CO</w:t>
      </w:r>
      <w:r w:rsidRPr="009669F6">
        <w:rPr>
          <w:vertAlign w:val="subscript"/>
        </w:rPr>
        <w:t>2</w:t>
      </w:r>
      <w:r w:rsidR="0091605F" w:rsidRPr="00F8140D">
        <w:t xml:space="preserve"> emission </w:t>
      </w:r>
      <w:proofErr w:type="gramStart"/>
      <w:r w:rsidR="0091605F" w:rsidRPr="00F8140D">
        <w:t>in the near future</w:t>
      </w:r>
      <w:proofErr w:type="gramEnd"/>
      <w:r w:rsidR="0091605F" w:rsidRPr="00F8140D">
        <w:t>.</w:t>
      </w:r>
    </w:p>
    <w:p w14:paraId="6961B9EF" w14:textId="60EF8F58" w:rsidR="009A6584" w:rsidRPr="00214EFC" w:rsidRDefault="009A6584" w:rsidP="00AA63CD">
      <w:pPr>
        <w:spacing w:after="100" w:afterAutospacing="1" w:line="360" w:lineRule="auto"/>
      </w:pPr>
      <w:r w:rsidRPr="00214EFC">
        <w:t>(</w:t>
      </w:r>
      <w:r w:rsidR="00A931E2" w:rsidRPr="00214EFC">
        <w:fldChar w:fldCharType="begin"/>
      </w:r>
      <w:r w:rsidR="00A931E2" w:rsidRPr="00214EFC">
        <w:instrText xml:space="preserve"> REF _Ref56362486 \h </w:instrText>
      </w:r>
      <w:r w:rsidR="00214EFC">
        <w:instrText xml:space="preserve"> \* MERGEFORMAT </w:instrText>
      </w:r>
      <w:r w:rsidR="00A931E2" w:rsidRPr="00214EFC">
        <w:fldChar w:fldCharType="separate"/>
      </w:r>
      <w:r w:rsidR="00AD1226" w:rsidRPr="00214EFC">
        <w:t xml:space="preserve">Figure S </w:t>
      </w:r>
      <w:r w:rsidR="00AD1226">
        <w:rPr>
          <w:noProof/>
        </w:rPr>
        <w:t>11</w:t>
      </w:r>
      <w:r w:rsidR="00A931E2" w:rsidRPr="00214EFC">
        <w:fldChar w:fldCharType="end"/>
      </w:r>
      <w:r w:rsidRPr="00214EFC">
        <w:t>a) GDP</w:t>
      </w:r>
      <w:r w:rsidR="00B565D5" w:rsidRPr="00214EFC">
        <w:t xml:space="preserve"> and </w:t>
      </w:r>
      <w:r w:rsidR="009669F6" w:rsidRPr="009669F6">
        <w:t>CO</w:t>
      </w:r>
      <w:r w:rsidR="009669F6" w:rsidRPr="009669F6">
        <w:rPr>
          <w:vertAlign w:val="subscript"/>
        </w:rPr>
        <w:t>2</w:t>
      </w:r>
      <w:r w:rsidR="00B565D5" w:rsidRPr="00214EFC">
        <w:t xml:space="preserve"> emissions</w:t>
      </w:r>
    </w:p>
    <w:p w14:paraId="2CA7ED01" w14:textId="7D97F643" w:rsidR="00B565D5" w:rsidRPr="00214EFC" w:rsidRDefault="00052B68" w:rsidP="00AA63CD">
      <w:pPr>
        <w:spacing w:after="100" w:afterAutospacing="1" w:line="360" w:lineRule="auto"/>
      </w:pPr>
      <w:r w:rsidRPr="00214EFC">
        <w:t>The average annual growth rate</w:t>
      </w:r>
      <w:r w:rsidR="009A6584" w:rsidRPr="00214EFC">
        <w:t>s</w:t>
      </w:r>
      <w:r w:rsidRPr="00214EFC">
        <w:t xml:space="preserve"> of </w:t>
      </w:r>
      <w:r w:rsidR="009669F6">
        <w:t>Vietnam</w:t>
      </w:r>
      <w:r w:rsidRPr="00214EFC">
        <w:t>'s GDP</w:t>
      </w:r>
      <w:r w:rsidR="009A6584" w:rsidRPr="00214EFC">
        <w:t xml:space="preserve"> and </w:t>
      </w:r>
      <w:r w:rsidR="009669F6" w:rsidRPr="009669F6">
        <w:t>CO</w:t>
      </w:r>
      <w:r w:rsidR="009669F6" w:rsidRPr="009669F6">
        <w:rPr>
          <w:vertAlign w:val="subscript"/>
        </w:rPr>
        <w:t>2</w:t>
      </w:r>
      <w:r w:rsidR="009A6584" w:rsidRPr="00214EFC">
        <w:t xml:space="preserve"> emissions</w:t>
      </w:r>
      <w:r w:rsidRPr="00214EFC">
        <w:t xml:space="preserve"> from 2010-2018 </w:t>
      </w:r>
      <w:r w:rsidR="009A6584" w:rsidRPr="00214EFC">
        <w:t>are</w:t>
      </w:r>
      <w:r w:rsidRPr="00214EFC">
        <w:t xml:space="preserve"> +6.21%</w:t>
      </w:r>
      <w:r w:rsidR="009A6584" w:rsidRPr="00214EFC">
        <w:t xml:space="preserve"> and</w:t>
      </w:r>
      <w:r w:rsidRPr="00214EFC">
        <w:t xml:space="preserve"> +7.54%</w:t>
      </w:r>
      <w:r w:rsidR="009A6584" w:rsidRPr="00214EFC">
        <w:t xml:space="preserve"> respectively. </w:t>
      </w:r>
      <w:r w:rsidRPr="00214EFC">
        <w:t xml:space="preserve">And more importantly, the growth rate </w:t>
      </w:r>
      <w:r w:rsidR="009A6584" w:rsidRPr="00214EFC">
        <w:t xml:space="preserve">of </w:t>
      </w:r>
      <w:r w:rsidR="009669F6" w:rsidRPr="009669F6">
        <w:t>CO</w:t>
      </w:r>
      <w:r w:rsidR="009669F6" w:rsidRPr="009669F6">
        <w:rPr>
          <w:vertAlign w:val="subscript"/>
        </w:rPr>
        <w:t>2</w:t>
      </w:r>
      <w:r w:rsidR="009A6584" w:rsidRPr="00214EFC">
        <w:rPr>
          <w:vertAlign w:val="subscript"/>
        </w:rPr>
        <w:t xml:space="preserve"> </w:t>
      </w:r>
      <w:r w:rsidR="009A6584" w:rsidRPr="00214EFC">
        <w:t xml:space="preserve">emissions </w:t>
      </w:r>
      <w:r w:rsidRPr="00214EFC">
        <w:t>has begun to increase sharply since 2013</w:t>
      </w:r>
      <w:r w:rsidR="009A6584" w:rsidRPr="00214EFC">
        <w:t>,</w:t>
      </w:r>
      <w:r w:rsidRPr="00214EFC">
        <w:t xml:space="preserve"> up to 226.5 Mt in 201</w:t>
      </w:r>
      <w:r w:rsidR="009A6584" w:rsidRPr="00214EFC">
        <w:t>8</w:t>
      </w:r>
      <w:r w:rsidRPr="00214EFC">
        <w:t xml:space="preserve">. </w:t>
      </w:r>
      <w:r w:rsidR="00181872" w:rsidRPr="00214EFC">
        <w:t xml:space="preserve">This is mainly due to </w:t>
      </w:r>
      <w:r w:rsidR="009669F6">
        <w:t>Vietnam</w:t>
      </w:r>
      <w:r w:rsidR="00181872" w:rsidRPr="00214EFC">
        <w:t xml:space="preserve">'s </w:t>
      </w:r>
      <w:r w:rsidR="00B42D87" w:rsidRPr="00214EFC">
        <w:t xml:space="preserve">active </w:t>
      </w:r>
      <w:r w:rsidR="00181872" w:rsidRPr="00214EFC">
        <w:t>trade and</w:t>
      </w:r>
      <w:r w:rsidR="00B42D87" w:rsidRPr="00214EFC">
        <w:t xml:space="preserve"> opening </w:t>
      </w:r>
      <w:r w:rsidR="00181872" w:rsidRPr="00214EFC">
        <w:t xml:space="preserve">policy, such as Establishment of ASEAN Free Trade </w:t>
      </w:r>
      <w:proofErr w:type="gramStart"/>
      <w:r w:rsidR="00181872" w:rsidRPr="00214EFC">
        <w:t>Area(</w:t>
      </w:r>
      <w:proofErr w:type="gramEnd"/>
      <w:r w:rsidR="00181872" w:rsidRPr="00214EFC">
        <w:t>2010)</w:t>
      </w:r>
      <w:r w:rsidR="00B42D87" w:rsidRPr="00214EFC">
        <w:t xml:space="preserve">, Free trade between </w:t>
      </w:r>
      <w:r w:rsidR="009669F6">
        <w:t>Vietnam</w:t>
      </w:r>
      <w:r w:rsidR="00B42D87" w:rsidRPr="00214EFC">
        <w:t xml:space="preserve"> and South Korea(2015-2016), and carrying out </w:t>
      </w:r>
      <w:r w:rsidR="009669F6">
        <w:t>Vietnam</w:t>
      </w:r>
      <w:r w:rsidR="00B42D87" w:rsidRPr="00214EFC">
        <w:t xml:space="preserve"> Europe free trade negotiations actively.</w:t>
      </w:r>
      <w:r w:rsidR="00181872" w:rsidRPr="00214EFC">
        <w:t xml:space="preserve"> </w:t>
      </w:r>
      <w:r w:rsidR="00B42D87" w:rsidRPr="00214EFC">
        <w:t>These</w:t>
      </w:r>
      <w:r w:rsidR="00181872" w:rsidRPr="00214EFC">
        <w:t xml:space="preserve"> ha</w:t>
      </w:r>
      <w:r w:rsidR="00B42D87" w:rsidRPr="00214EFC">
        <w:t>ve</w:t>
      </w:r>
      <w:r w:rsidR="00181872" w:rsidRPr="00214EFC">
        <w:t xml:space="preserve"> attracted a lot of FDI</w:t>
      </w:r>
      <w:r w:rsidR="00B42D87" w:rsidRPr="00214EFC">
        <w:t xml:space="preserve"> and stimulate the economic growth</w:t>
      </w:r>
      <w:r w:rsidR="00181872" w:rsidRPr="00214EFC">
        <w:t xml:space="preserve">. </w:t>
      </w:r>
      <w:r w:rsidR="00B42D87" w:rsidRPr="00214EFC">
        <w:t>Specifically, f</w:t>
      </w:r>
      <w:r w:rsidR="00B565D5" w:rsidRPr="00214EFC">
        <w:t xml:space="preserve">rom 2010 to 2018, the annual compound growth rate of </w:t>
      </w:r>
      <w:r w:rsidR="009669F6">
        <w:t>Vietnam</w:t>
      </w:r>
      <w:r w:rsidR="00B565D5" w:rsidRPr="00214EFC">
        <w:t>'s FDI absorption agreement funds will reach 7%, among which, the manufacturing industry's annual compound growth rate of FDI absorption agreement funds is as high as 17%</w:t>
      </w:r>
      <w:r w:rsidR="00B42D87" w:rsidRPr="00214EFC">
        <w:t>.</w:t>
      </w:r>
    </w:p>
    <w:p w14:paraId="49BFCE4A" w14:textId="0BDA316B" w:rsidR="009C0539" w:rsidRPr="00214EFC" w:rsidRDefault="009C0539" w:rsidP="00AA63CD">
      <w:pPr>
        <w:spacing w:after="100" w:afterAutospacing="1" w:line="360" w:lineRule="auto"/>
      </w:pPr>
      <w:r w:rsidRPr="00214EFC">
        <w:t>(</w:t>
      </w:r>
      <w:r w:rsidRPr="00214EFC">
        <w:fldChar w:fldCharType="begin"/>
      </w:r>
      <w:r w:rsidRPr="00214EFC">
        <w:instrText xml:space="preserve"> REF _Ref56362486 \h </w:instrText>
      </w:r>
      <w:r>
        <w:instrText xml:space="preserve"> \* MERGEFORMAT </w:instrText>
      </w:r>
      <w:r w:rsidRPr="00214EFC">
        <w:fldChar w:fldCharType="separate"/>
      </w:r>
      <w:r w:rsidR="00AD1226" w:rsidRPr="00214EFC">
        <w:t xml:space="preserve">Figure S </w:t>
      </w:r>
      <w:r w:rsidR="00AD1226">
        <w:rPr>
          <w:noProof/>
        </w:rPr>
        <w:t>11</w:t>
      </w:r>
      <w:r w:rsidRPr="00214EFC">
        <w:fldChar w:fldCharType="end"/>
      </w:r>
      <w:r w:rsidRPr="00214EFC">
        <w:t xml:space="preserve">b) </w:t>
      </w:r>
      <w:r>
        <w:t xml:space="preserve">Emission </w:t>
      </w:r>
      <w:r>
        <w:rPr>
          <w:rFonts w:hint="eastAsia"/>
        </w:rPr>
        <w:t>d</w:t>
      </w:r>
      <w:r>
        <w:t>rivers</w:t>
      </w:r>
    </w:p>
    <w:p w14:paraId="2BF9D811" w14:textId="6FFDEC9A" w:rsidR="00AA63CD" w:rsidRPr="00C5101B" w:rsidRDefault="009669F6" w:rsidP="00AA63CD">
      <w:pPr>
        <w:spacing w:after="100" w:afterAutospacing="1" w:line="360" w:lineRule="auto"/>
      </w:pPr>
      <w:r>
        <w:t>Vietnam</w:t>
      </w:r>
      <w:r w:rsidR="00AA63CD" w:rsidRPr="00C5101B">
        <w:t xml:space="preserve"> experienced rapid growth of both GDP and </w:t>
      </w:r>
      <w:r w:rsidRPr="009669F6">
        <w:t>CO</w:t>
      </w:r>
      <w:r w:rsidRPr="009669F6">
        <w:rPr>
          <w:vertAlign w:val="subscript"/>
        </w:rPr>
        <w:t>2</w:t>
      </w:r>
      <w:r w:rsidR="00AA63CD" w:rsidRPr="00C5101B">
        <w:t xml:space="preserve"> emission at annual growth rates of 6% and 8%, respectively. In 2018, </w:t>
      </w:r>
      <w:r>
        <w:t>Vietnam</w:t>
      </w:r>
      <w:r w:rsidR="00AA63CD" w:rsidRPr="00C5101B">
        <w:t xml:space="preserve">’s GDP reached up to 245.2 billion dollars and </w:t>
      </w:r>
      <w:r w:rsidRPr="009669F6">
        <w:t>CO</w:t>
      </w:r>
      <w:r w:rsidRPr="009669F6">
        <w:rPr>
          <w:vertAlign w:val="subscript"/>
        </w:rPr>
        <w:t>2</w:t>
      </w:r>
      <w:r w:rsidR="00AA63CD" w:rsidRPr="00C5101B">
        <w:t xml:space="preserve"> emissions reached to 226.7 Mt. During the journey of </w:t>
      </w:r>
      <w:r>
        <w:t>Vietnam</w:t>
      </w:r>
      <w:r w:rsidR="00AA63CD" w:rsidRPr="00C5101B">
        <w:t xml:space="preserve">’s emission surging, the increasing GDP per capita drove the most emission growth (67.8 Mt, 68.1% of the total increment). With fast-growing production and exports of textile, real estate, transport, and electrical equipment parts, </w:t>
      </w:r>
      <w:r>
        <w:t>Vietnam</w:t>
      </w:r>
      <w:r w:rsidR="00AA63CD" w:rsidRPr="00C5101B">
        <w:t xml:space="preserve"> achieved fast and firm economic growth, in which the industry and services contributed 10 Mt emissions increment, and the related energy consumption turned to coal (in power supply) and oil (in textile and electrical parts production) that led to 36.7 Mt incremental emissions. Population growth drove the emission growth by 14 Mt as well, because of the enlarged household demand of the increased population (from 88 million to 97 million, by 1% per year). To sum up, as one of the largest factories for the world with a carbonized energy structure and large population, </w:t>
      </w:r>
      <w:r>
        <w:t>Vietnam</w:t>
      </w:r>
      <w:r w:rsidR="00AA63CD" w:rsidRPr="00C5101B">
        <w:t xml:space="preserve"> has great potential to continue </w:t>
      </w:r>
      <w:r w:rsidR="00AA63CD" w:rsidRPr="00C5101B">
        <w:lastRenderedPageBreak/>
        <w:t xml:space="preserve">to surge its </w:t>
      </w:r>
      <w:r w:rsidRPr="009669F6">
        <w:t>CO</w:t>
      </w:r>
      <w:r w:rsidRPr="009669F6">
        <w:rPr>
          <w:vertAlign w:val="subscript"/>
        </w:rPr>
        <w:t>2</w:t>
      </w:r>
      <w:r w:rsidR="00AA63CD" w:rsidRPr="00C5101B">
        <w:t xml:space="preserve"> emission </w:t>
      </w:r>
      <w:proofErr w:type="gramStart"/>
      <w:r w:rsidR="00AA63CD" w:rsidRPr="00C5101B">
        <w:t>in the near future</w:t>
      </w:r>
      <w:proofErr w:type="gramEnd"/>
      <w:r w:rsidR="00AA63CD" w:rsidRPr="00C5101B">
        <w:t>.</w:t>
      </w:r>
    </w:p>
    <w:p w14:paraId="3537BE78" w14:textId="75DB7551" w:rsidR="0010114C" w:rsidRPr="00214EFC" w:rsidRDefault="00B42D87" w:rsidP="00AA63CD">
      <w:pPr>
        <w:spacing w:after="100" w:afterAutospacing="1" w:line="360" w:lineRule="auto"/>
      </w:pPr>
      <w:r w:rsidRPr="00214EFC">
        <w:t>(</w:t>
      </w:r>
      <w:r w:rsidR="00A931E2" w:rsidRPr="00214EFC">
        <w:fldChar w:fldCharType="begin"/>
      </w:r>
      <w:r w:rsidR="00A931E2" w:rsidRPr="00214EFC">
        <w:instrText xml:space="preserve"> REF _Ref56362486 \h </w:instrText>
      </w:r>
      <w:r w:rsidR="00214EFC">
        <w:instrText xml:space="preserve"> \* MERGEFORMAT </w:instrText>
      </w:r>
      <w:r w:rsidR="00A931E2" w:rsidRPr="00214EFC">
        <w:fldChar w:fldCharType="separate"/>
      </w:r>
      <w:r w:rsidR="00AD1226" w:rsidRPr="00214EFC">
        <w:t xml:space="preserve">Figure S </w:t>
      </w:r>
      <w:r w:rsidR="00AD1226">
        <w:rPr>
          <w:noProof/>
        </w:rPr>
        <w:t>11</w:t>
      </w:r>
      <w:r w:rsidR="00A931E2" w:rsidRPr="00214EFC">
        <w:fldChar w:fldCharType="end"/>
      </w:r>
      <w:r w:rsidR="009C0539">
        <w:t>c</w:t>
      </w:r>
      <w:r w:rsidRPr="00214EFC">
        <w:t>)</w:t>
      </w:r>
      <w:r w:rsidR="0091453C" w:rsidRPr="00214EFC">
        <w:t xml:space="preserve"> </w:t>
      </w:r>
      <w:r w:rsidR="009C0539">
        <w:t>Emissions by sector</w:t>
      </w:r>
    </w:p>
    <w:p w14:paraId="34921EA4" w14:textId="64648FAB" w:rsidR="00B349D7" w:rsidRPr="00214EFC" w:rsidRDefault="00177314" w:rsidP="00AA63CD">
      <w:pPr>
        <w:spacing w:after="100" w:afterAutospacing="1" w:line="360" w:lineRule="auto"/>
      </w:pPr>
      <w:r w:rsidRPr="00214EFC">
        <w:t xml:space="preserve">The electricity and heat sectors generate the largest carbon dioxide emissions, and the growth rate of their carbon dioxide emissions is also rapid especially from2016 to 2018. Since 2016, </w:t>
      </w:r>
      <w:r w:rsidR="009669F6">
        <w:t>Vietnam</w:t>
      </w:r>
      <w:r w:rsidRPr="00214EFC">
        <w:t xml:space="preserve">'s power industry, including renewable energy, has shown signs of stagnation, while </w:t>
      </w:r>
      <w:r w:rsidR="009669F6">
        <w:t>Vietnam</w:t>
      </w:r>
      <w:r w:rsidRPr="00214EFC">
        <w:t xml:space="preserve">'s economy has maintained rapid growth, and the demand for electricity has also increased. During the period of 2011-2015, the average annual growth rate of </w:t>
      </w:r>
      <w:r w:rsidR="009669F6">
        <w:t>Vietnam</w:t>
      </w:r>
      <w:r w:rsidRPr="00214EFC">
        <w:t xml:space="preserve">'s electric power investment was 10%, among which the most is in thermal power generation. In 2018, </w:t>
      </w:r>
      <w:r w:rsidR="009669F6">
        <w:t>Vietnam</w:t>
      </w:r>
      <w:r w:rsidRPr="00214EFC">
        <w:t xml:space="preserve">'s </w:t>
      </w:r>
      <w:r w:rsidR="00B349D7" w:rsidRPr="00214EFC">
        <w:t xml:space="preserve">coal-fired </w:t>
      </w:r>
      <w:r w:rsidRPr="00214EFC">
        <w:t>thermal power generation accounted for 3</w:t>
      </w:r>
      <w:r w:rsidR="00B349D7" w:rsidRPr="00214EFC">
        <w:t>2</w:t>
      </w:r>
      <w:r w:rsidRPr="00214EFC">
        <w:t>.6% of total power generation</w:t>
      </w:r>
      <w:r w:rsidR="00B349D7" w:rsidRPr="00214EFC">
        <w:t>, which is the main factor of increasing coal consumption.</w:t>
      </w:r>
    </w:p>
    <w:p w14:paraId="23606A29" w14:textId="21DA9CC8" w:rsidR="00B42D87" w:rsidRPr="00214EFC" w:rsidRDefault="00B42D87" w:rsidP="00AA63CD">
      <w:pPr>
        <w:spacing w:after="100" w:afterAutospacing="1" w:line="360" w:lineRule="auto"/>
      </w:pPr>
      <w:r w:rsidRPr="00214EFC">
        <w:t>(</w:t>
      </w:r>
      <w:r w:rsidR="00A931E2" w:rsidRPr="00214EFC">
        <w:fldChar w:fldCharType="begin"/>
      </w:r>
      <w:r w:rsidR="00A931E2" w:rsidRPr="00214EFC">
        <w:instrText xml:space="preserve"> REF _Ref56362486 \h </w:instrText>
      </w:r>
      <w:r w:rsidR="00214EFC">
        <w:instrText xml:space="preserve"> \* MERGEFORMAT </w:instrText>
      </w:r>
      <w:r w:rsidR="00A931E2" w:rsidRPr="00214EFC">
        <w:fldChar w:fldCharType="separate"/>
      </w:r>
      <w:r w:rsidR="00AD1226" w:rsidRPr="00214EFC">
        <w:t xml:space="preserve">Figure S </w:t>
      </w:r>
      <w:r w:rsidR="00AD1226">
        <w:rPr>
          <w:noProof/>
        </w:rPr>
        <w:t>11</w:t>
      </w:r>
      <w:r w:rsidR="00A931E2" w:rsidRPr="00214EFC">
        <w:fldChar w:fldCharType="end"/>
      </w:r>
      <w:r w:rsidR="009C0539">
        <w:t>d</w:t>
      </w:r>
      <w:r w:rsidRPr="00214EFC">
        <w:t>)</w:t>
      </w:r>
      <w:r w:rsidR="0091453C" w:rsidRPr="00214EFC">
        <w:t xml:space="preserve"> </w:t>
      </w:r>
      <w:r w:rsidR="009C0539">
        <w:t>Emissions by fuel type and industry</w:t>
      </w:r>
    </w:p>
    <w:p w14:paraId="4C2BBBF2" w14:textId="4C558CD3" w:rsidR="00B42D87" w:rsidRPr="00214EFC" w:rsidRDefault="00B349D7" w:rsidP="00AA63CD">
      <w:pPr>
        <w:spacing w:after="100" w:afterAutospacing="1" w:line="360" w:lineRule="auto"/>
      </w:pPr>
      <w:r w:rsidRPr="00214EFC">
        <w:t xml:space="preserve">Coal is the main energy source of </w:t>
      </w:r>
      <w:r w:rsidR="009669F6">
        <w:t>Vietnam</w:t>
      </w:r>
      <w:r w:rsidRPr="00214EFC">
        <w:t xml:space="preserve"> and its proportion is still increasing during this research period. </w:t>
      </w:r>
      <w:r w:rsidR="00B42D87" w:rsidRPr="00214EFC">
        <w:t xml:space="preserve">In the use of coal, the sectors that use coal the most in </w:t>
      </w:r>
      <w:r w:rsidR="009669F6">
        <w:t>Vietnam</w:t>
      </w:r>
      <w:r w:rsidR="00B42D87" w:rsidRPr="00214EFC">
        <w:t xml:space="preserve"> are power plants, non-metal manufacturing and electrical supply sectors (</w:t>
      </w:r>
      <w:r w:rsidR="00A931E2" w:rsidRPr="00214EFC">
        <w:fldChar w:fldCharType="begin"/>
      </w:r>
      <w:r w:rsidR="00A931E2" w:rsidRPr="00214EFC">
        <w:instrText xml:space="preserve"> REF _Ref56362486 \h </w:instrText>
      </w:r>
      <w:r w:rsidR="00214EFC">
        <w:instrText xml:space="preserve"> \* MERGEFORMAT </w:instrText>
      </w:r>
      <w:r w:rsidR="00A931E2" w:rsidRPr="00214EFC">
        <w:fldChar w:fldCharType="separate"/>
      </w:r>
      <w:r w:rsidR="00E309AB" w:rsidRPr="00214EFC">
        <w:t xml:space="preserve">Figure S </w:t>
      </w:r>
      <w:r w:rsidR="00E309AB">
        <w:rPr>
          <w:noProof/>
        </w:rPr>
        <w:t>10</w:t>
      </w:r>
      <w:r w:rsidR="00A931E2" w:rsidRPr="00214EFC">
        <w:fldChar w:fldCharType="end"/>
      </w:r>
      <w:r w:rsidR="00B42D87" w:rsidRPr="00214EFC">
        <w:t>b). Generally, the usages of coal have increased by 53.5% from 2010 (23.4Mt) to 2018(35.9Mt). However, during this period, there have a fluctuation. Since 2013, the use of coal in these sectors has risen. However, since 2016, there has been a gradual flattening or even a downward trend</w:t>
      </w:r>
      <w:r w:rsidR="00C33F88" w:rsidRPr="00214EFC">
        <w:t>. This mainly because</w:t>
      </w:r>
      <w:r w:rsidR="00B42D87" w:rsidRPr="00214EFC">
        <w:t xml:space="preserve"> </w:t>
      </w:r>
      <w:r w:rsidR="00C33F88" w:rsidRPr="00214EFC">
        <w:t>the supply of domestic coal has fallen (</w:t>
      </w:r>
      <w:r w:rsidR="009669F6">
        <w:t>Vietnam</w:t>
      </w:r>
      <w:r w:rsidR="00C33F88" w:rsidRPr="00214EFC">
        <w:t>’s domestic coal production declined 3.1% in 2016 compared to 2015), and the amount of imported coal has not met the gap</w:t>
      </w:r>
      <w:r w:rsidR="00B42D87" w:rsidRPr="00214EFC">
        <w:t>. At the same time, it is worth noting that the</w:t>
      </w:r>
      <w:r w:rsidR="00C33F88" w:rsidRPr="00214EFC">
        <w:t xml:space="preserve"> growth</w:t>
      </w:r>
      <w:r w:rsidR="00B42D87" w:rsidRPr="00214EFC">
        <w:t xml:space="preserve"> </w:t>
      </w:r>
      <w:r w:rsidR="00C33F88" w:rsidRPr="00214EFC">
        <w:t xml:space="preserve">output </w:t>
      </w:r>
      <w:r w:rsidR="00B42D87" w:rsidRPr="00214EFC">
        <w:t>of the textile and apparel industry</w:t>
      </w:r>
      <w:r w:rsidR="00C33F88" w:rsidRPr="00214EFC">
        <w:t>, so-called high load energy industry, lead the fossil fuel consumption rise.</w:t>
      </w:r>
      <w:r w:rsidR="00B42D87" w:rsidRPr="00214EFC">
        <w:t xml:space="preserve"> </w:t>
      </w:r>
      <w:r w:rsidR="009669F6" w:rsidRPr="009669F6">
        <w:t>CO</w:t>
      </w:r>
      <w:r w:rsidR="009669F6" w:rsidRPr="009669F6">
        <w:rPr>
          <w:vertAlign w:val="subscript"/>
        </w:rPr>
        <w:t>2</w:t>
      </w:r>
      <w:r w:rsidR="0091453C" w:rsidRPr="00214EFC">
        <w:t xml:space="preserve"> e</w:t>
      </w:r>
      <w:r w:rsidR="00C33F88" w:rsidRPr="00214EFC">
        <w:t>missions from the combustion of petroleum products are</w:t>
      </w:r>
      <w:r w:rsidR="0091453C" w:rsidRPr="00214EFC">
        <w:t xml:space="preserve"> s</w:t>
      </w:r>
      <w:r w:rsidR="00C33F88" w:rsidRPr="00214EFC">
        <w:t xml:space="preserve">lightly increased </w:t>
      </w:r>
      <w:r w:rsidR="0091453C" w:rsidRPr="00214EFC">
        <w:t xml:space="preserve">from 2010 to 2018.Transportation consumes the largest proportion of oil. This can be ascribed to the policies of </w:t>
      </w:r>
      <w:r w:rsidR="00B42D87" w:rsidRPr="00214EFC">
        <w:t>vigorously develop the domestic transportation industry. From 2010-2018, the oil used in transportation has growth from 11.2Mt in 2010 to 11.8Mt in 2018, by rate of 5.06%.</w:t>
      </w:r>
    </w:p>
    <w:p w14:paraId="05579104" w14:textId="2AE53ECE" w:rsidR="00B42D87" w:rsidRPr="00214EFC" w:rsidRDefault="00B42D87" w:rsidP="00AA63CD">
      <w:pPr>
        <w:spacing w:after="100" w:afterAutospacing="1" w:line="360" w:lineRule="auto"/>
      </w:pPr>
      <w:r w:rsidRPr="00214EFC">
        <w:t>(</w:t>
      </w:r>
      <w:r w:rsidR="00A931E2" w:rsidRPr="00214EFC">
        <w:fldChar w:fldCharType="begin"/>
      </w:r>
      <w:r w:rsidR="00A931E2" w:rsidRPr="00214EFC">
        <w:instrText xml:space="preserve"> REF _Ref56362486 \h </w:instrText>
      </w:r>
      <w:r w:rsidR="00214EFC">
        <w:instrText xml:space="preserve"> \* MERGEFORMAT </w:instrText>
      </w:r>
      <w:r w:rsidR="00A931E2" w:rsidRPr="00214EFC">
        <w:fldChar w:fldCharType="separate"/>
      </w:r>
      <w:r w:rsidR="00AD1226" w:rsidRPr="00214EFC">
        <w:t xml:space="preserve">Figure S </w:t>
      </w:r>
      <w:r w:rsidR="00AD1226">
        <w:rPr>
          <w:noProof/>
        </w:rPr>
        <w:t>11</w:t>
      </w:r>
      <w:r w:rsidR="00A931E2" w:rsidRPr="00214EFC">
        <w:fldChar w:fldCharType="end"/>
      </w:r>
      <w:r w:rsidRPr="00214EFC">
        <w:t>e) Trade pattern</w:t>
      </w:r>
    </w:p>
    <w:p w14:paraId="28683748" w14:textId="4520F7D1" w:rsidR="00052B68" w:rsidRPr="00214EFC" w:rsidRDefault="00052B68" w:rsidP="00AA63CD">
      <w:pPr>
        <w:spacing w:after="100" w:afterAutospacing="1" w:line="360" w:lineRule="auto"/>
      </w:pPr>
      <w:r w:rsidRPr="00214EFC">
        <w:lastRenderedPageBreak/>
        <w:t xml:space="preserve">From the perspective of </w:t>
      </w:r>
      <w:r w:rsidR="009669F6">
        <w:t>Vietnam</w:t>
      </w:r>
      <w:r w:rsidRPr="00214EFC">
        <w:t xml:space="preserve">'s import side, </w:t>
      </w:r>
      <w:r w:rsidR="009669F6">
        <w:t>Vietnam</w:t>
      </w:r>
      <w:r w:rsidRPr="00214EFC">
        <w:t xml:space="preserve"> imported a large number of transportation equipment such as railways, trams and passenger cars from 2010-2018, from 24.7 million dollars in 2010 to 49.1 million dollars in 2018 (especially after 2013, mainly due to </w:t>
      </w:r>
      <w:r w:rsidR="009669F6">
        <w:t>Vietnam</w:t>
      </w:r>
      <w:r w:rsidRPr="00214EFC">
        <w:t xml:space="preserve">'s "North-South High-Speed Railway Program") </w:t>
      </w:r>
      <w:r w:rsidR="0010114C" w:rsidRPr="00214EFC">
        <w:t>.</w:t>
      </w:r>
      <w:r w:rsidRPr="00214EFC">
        <w:t xml:space="preserve">At the same time, in addition to continuing to increase exports from the traditional textile and apparel industry during 2010-2018, </w:t>
      </w:r>
      <w:r w:rsidR="009669F6">
        <w:t>Vietnam</w:t>
      </w:r>
      <w:r w:rsidRPr="00214EFC">
        <w:t xml:space="preserve">'s exports of electrical equipment components are also growing rapidly. </w:t>
      </w:r>
    </w:p>
    <w:p w14:paraId="411D8645" w14:textId="69B01F2D" w:rsidR="00052B68" w:rsidRPr="00214EFC" w:rsidRDefault="00052B68" w:rsidP="00AA63CD">
      <w:pPr>
        <w:spacing w:after="100" w:afterAutospacing="1" w:line="360" w:lineRule="auto"/>
      </w:pPr>
    </w:p>
    <w:p w14:paraId="24B4D8FD" w14:textId="4C2AE006" w:rsidR="00052B68" w:rsidRPr="00214EFC" w:rsidRDefault="003860E6" w:rsidP="00AA63CD">
      <w:pPr>
        <w:spacing w:after="100" w:afterAutospacing="1" w:line="360" w:lineRule="auto"/>
      </w:pPr>
      <w:r>
        <w:rPr>
          <w:noProof/>
        </w:rPr>
        <w:drawing>
          <wp:inline distT="0" distB="0" distL="0" distR="0" wp14:anchorId="694DCC81" wp14:editId="60B2F341">
            <wp:extent cx="5262245" cy="2941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2245" cy="2941320"/>
                    </a:xfrm>
                    <a:prstGeom prst="rect">
                      <a:avLst/>
                    </a:prstGeom>
                    <a:noFill/>
                    <a:ln>
                      <a:noFill/>
                    </a:ln>
                  </pic:spPr>
                </pic:pic>
              </a:graphicData>
            </a:graphic>
          </wp:inline>
        </w:drawing>
      </w:r>
    </w:p>
    <w:p w14:paraId="48F5262B" w14:textId="22FC90A6" w:rsidR="00052B68" w:rsidRPr="00214EFC" w:rsidRDefault="00052B68" w:rsidP="00AA63CD">
      <w:pPr>
        <w:pStyle w:val="af6"/>
        <w:spacing w:after="100" w:afterAutospacing="1" w:line="360" w:lineRule="auto"/>
        <w:rPr>
          <w:rFonts w:eastAsiaTheme="minorEastAsia"/>
        </w:rPr>
      </w:pPr>
      <w:bookmarkStart w:id="43" w:name="_Ref56362486"/>
      <w:r w:rsidRPr="00214EFC">
        <w:t xml:space="preserve">Figure S </w:t>
      </w:r>
      <w:fldSimple w:instr=" SEQ Figure_S \* ARABIC ">
        <w:r w:rsidR="001E11D5">
          <w:rPr>
            <w:noProof/>
          </w:rPr>
          <w:t>11</w:t>
        </w:r>
      </w:fldSimple>
      <w:bookmarkEnd w:id="43"/>
      <w:r w:rsidRPr="00214EFC">
        <w:t xml:space="preserve"> Relative increase of </w:t>
      </w:r>
      <w:r w:rsidR="009669F6" w:rsidRPr="009669F6">
        <w:t>CO</w:t>
      </w:r>
      <w:r w:rsidR="009669F6" w:rsidRPr="009669F6">
        <w:rPr>
          <w:vertAlign w:val="subscript"/>
        </w:rPr>
        <w:t>2</w:t>
      </w:r>
      <w:r w:rsidRPr="00214EFC">
        <w:t xml:space="preserve"> emissions and GDP (a), </w:t>
      </w:r>
      <w:r w:rsidR="00382DB3">
        <w:t>emissions change of main drivers (b, in Mt),</w:t>
      </w:r>
      <w:r w:rsidR="00382DB3" w:rsidRPr="00214EFC">
        <w:t xml:space="preserve"> emissions by sector (</w:t>
      </w:r>
      <w:r w:rsidR="00382DB3">
        <w:t>c</w:t>
      </w:r>
      <w:r w:rsidR="00382DB3" w:rsidRPr="00214EFC">
        <w:t>, in 2010, 2014 and 2018 from the inner circle to outer ones), emissions by energy and industry (</w:t>
      </w:r>
      <w:r w:rsidR="00382DB3">
        <w:t>d</w:t>
      </w:r>
      <w:r w:rsidR="00382DB3" w:rsidRPr="00214EFC">
        <w:t>), and international trade</w:t>
      </w:r>
      <w:r w:rsidR="00382DB3">
        <w:t xml:space="preserve"> changes</w:t>
      </w:r>
      <w:r w:rsidR="00382DB3" w:rsidRPr="00214EFC">
        <w:t xml:space="preserve"> (</w:t>
      </w:r>
      <w:r w:rsidR="00382DB3">
        <w:t>e</w:t>
      </w:r>
      <w:r w:rsidR="00382DB3" w:rsidRPr="00214EFC">
        <w:t>)</w:t>
      </w:r>
      <w:r w:rsidRPr="00214EFC">
        <w:t xml:space="preserve"> of </w:t>
      </w:r>
      <w:r w:rsidR="009669F6">
        <w:t>Vietnam</w:t>
      </w:r>
      <w:r w:rsidRPr="00214EFC">
        <w:t xml:space="preserve">. </w:t>
      </w:r>
    </w:p>
    <w:p w14:paraId="630B2C07" w14:textId="77777777" w:rsidR="00052B68" w:rsidRPr="00214EFC" w:rsidRDefault="00052B68" w:rsidP="00AA63CD">
      <w:pPr>
        <w:spacing w:after="100" w:afterAutospacing="1" w:line="360" w:lineRule="auto"/>
      </w:pPr>
    </w:p>
    <w:p w14:paraId="0526C6E4" w14:textId="7B570C8F" w:rsidR="0091605F" w:rsidRPr="00F8140D" w:rsidRDefault="0091605F" w:rsidP="00AA63CD">
      <w:pPr>
        <w:snapToGrid w:val="0"/>
        <w:spacing w:after="100" w:afterAutospacing="1" w:line="360" w:lineRule="auto"/>
      </w:pPr>
      <w:bookmarkStart w:id="44" w:name="_Hlk57039408"/>
      <w:r w:rsidRPr="0091605F">
        <w:rPr>
          <w:b/>
          <w:bCs/>
        </w:rPr>
        <w:t>Uganda</w:t>
      </w:r>
      <w:r w:rsidRPr="00F8140D">
        <w:t xml:space="preserve"> (Figure 2 </w:t>
      </w:r>
      <w:r w:rsidR="00E23717">
        <w:t>a</w:t>
      </w:r>
      <w:r w:rsidRPr="00F8140D">
        <w:t xml:space="preserve">): Uganda maintained a 5% annual average growth rate in GDP in 2010-2018 under its Five-Year Plans. In 2018, its GDP reached up to 27.5 billion dollars, increasing by around 1.85 times than that in 2010. At the same time, with the boom of domestic economic activities, the carbon emissions also gradually increase year by year with an annual average growth rate of 6%, increasing to 5 Mt by 1.45 times than 2010. Increased population and oil consumption are the main impetus driving the growth of emissions in Uganda, which contributes 37.0% (1.1Mt) and 27.6% (0.8Mt) to </w:t>
      </w:r>
      <w:r w:rsidR="009669F6" w:rsidRPr="009669F6">
        <w:t>CO</w:t>
      </w:r>
      <w:r w:rsidR="009669F6" w:rsidRPr="009669F6">
        <w:rPr>
          <w:vertAlign w:val="subscript"/>
        </w:rPr>
        <w:t>2</w:t>
      </w:r>
      <w:r w:rsidRPr="00F8140D">
        <w:t xml:space="preserve"> emission increment, respectively. Uganda </w:t>
      </w:r>
      <w:r w:rsidRPr="00F8140D">
        <w:lastRenderedPageBreak/>
        <w:t xml:space="preserve">maintains a 3.6% annual average population growth rate over 2010-2018, and its net population growth totals 10.29 million. Over the period, oil consumption increased with an annual growth rate of 7.1%, which gives rise to the increase of </w:t>
      </w:r>
      <w:r w:rsidR="009669F6" w:rsidRPr="009669F6">
        <w:t>CO</w:t>
      </w:r>
      <w:r w:rsidR="009669F6" w:rsidRPr="009669F6">
        <w:rPr>
          <w:vertAlign w:val="subscript"/>
        </w:rPr>
        <w:t>2</w:t>
      </w:r>
      <w:r w:rsidRPr="00F8140D">
        <w:t xml:space="preserve"> emissions as well. Apart from that, the economic expansion effect and the development of services also make for the growth of </w:t>
      </w:r>
      <w:r w:rsidR="009669F6" w:rsidRPr="009669F6">
        <w:t>CO</w:t>
      </w:r>
      <w:r w:rsidR="009669F6" w:rsidRPr="009669F6">
        <w:rPr>
          <w:vertAlign w:val="subscript"/>
        </w:rPr>
        <w:t>2</w:t>
      </w:r>
      <w:r w:rsidRPr="00F8140D">
        <w:t xml:space="preserve"> emissions during the research period. The output of the services increased by 32 times over 2010-2018, mainly driven by the rising transport sector. Investments in renewable energy benefited Uganda in lower energy intensity and that led to 1 Mt less emission over the period. </w:t>
      </w:r>
    </w:p>
    <w:p w14:paraId="1A9845A2" w14:textId="6ED416CD" w:rsidR="00F732B0" w:rsidRPr="00214EFC" w:rsidRDefault="004E320A" w:rsidP="00AA63CD">
      <w:pPr>
        <w:spacing w:after="100" w:afterAutospacing="1" w:line="360" w:lineRule="auto"/>
      </w:pPr>
      <w:r w:rsidRPr="00214EFC">
        <w:t>(</w:t>
      </w:r>
      <w:r w:rsidR="00A931E2" w:rsidRPr="00214EFC">
        <w:fldChar w:fldCharType="begin"/>
      </w:r>
      <w:r w:rsidR="00A931E2" w:rsidRPr="00214EFC">
        <w:instrText xml:space="preserve"> REF _Ref57065233 \h </w:instrText>
      </w:r>
      <w:r w:rsidR="00214EFC">
        <w:instrText xml:space="preserve"> \* MERGEFORMAT </w:instrText>
      </w:r>
      <w:r w:rsidR="00A931E2" w:rsidRPr="00214EFC">
        <w:fldChar w:fldCharType="separate"/>
      </w:r>
      <w:r w:rsidR="00AD1226" w:rsidRPr="00214EFC">
        <w:t xml:space="preserve">Figure S </w:t>
      </w:r>
      <w:r w:rsidR="00AD1226">
        <w:rPr>
          <w:noProof/>
        </w:rPr>
        <w:t>12</w:t>
      </w:r>
      <w:r w:rsidR="00A931E2" w:rsidRPr="00214EFC">
        <w:fldChar w:fldCharType="end"/>
      </w:r>
      <w:r w:rsidRPr="00214EFC">
        <w:t>a)</w:t>
      </w:r>
      <w:bookmarkEnd w:id="44"/>
      <w:r w:rsidR="003B13D6" w:rsidRPr="00214EFC">
        <w:t xml:space="preserve"> </w:t>
      </w:r>
      <w:r w:rsidR="00F732B0" w:rsidRPr="00214EFC">
        <w:t xml:space="preserve">GDP and </w:t>
      </w:r>
      <w:r w:rsidR="009669F6" w:rsidRPr="009669F6">
        <w:t>CO</w:t>
      </w:r>
      <w:r w:rsidR="009669F6" w:rsidRPr="009669F6">
        <w:rPr>
          <w:vertAlign w:val="subscript"/>
        </w:rPr>
        <w:t>2</w:t>
      </w:r>
      <w:r w:rsidR="00F732B0" w:rsidRPr="00214EFC">
        <w:t xml:space="preserve"> emissions</w:t>
      </w:r>
    </w:p>
    <w:p w14:paraId="402E38A1" w14:textId="5E7FE0E9" w:rsidR="00F732B0" w:rsidRPr="00214EFC" w:rsidRDefault="00F732B0" w:rsidP="00AA63CD">
      <w:pPr>
        <w:spacing w:after="100" w:afterAutospacing="1" w:line="360" w:lineRule="auto"/>
      </w:pPr>
      <w:bookmarkStart w:id="45" w:name="OLE_LINK9"/>
      <w:bookmarkStart w:id="46" w:name="OLE_LINK10"/>
      <w:r w:rsidRPr="00214EFC">
        <w:t xml:space="preserve">Uganda maintained 5.1% annual average growth rate in GDP in 2010-2018. In 2018, its GDP reached up to 122694 billion shillings at 2016 constant price, increasing by around 1.46 times than that in 2010. </w:t>
      </w:r>
      <w:bookmarkEnd w:id="45"/>
      <w:bookmarkEnd w:id="46"/>
      <w:r w:rsidRPr="00214EFC">
        <w:t xml:space="preserve">It is primarily ascribed to overseas financial aid to Uganda </w:t>
      </w:r>
      <w:proofErr w:type="gramStart"/>
      <w:r w:rsidRPr="00214EFC">
        <w:t>and also</w:t>
      </w:r>
      <w:proofErr w:type="gramEnd"/>
      <w:r w:rsidRPr="00214EFC">
        <w:t xml:space="preserve"> the industrial policy of the Uganda government. As of the 21st century, the Uganda government takes active measures to execute the policies promulgated by IMF and the World Bank, which greatly attracts the financial aid from more foreign countries. In addition, Uganda begins to implement its new five-year national plan since 2010, and successfully schemes the new national development plan in 2015. By emphasizing the development of agriculture, energy, service industry and strategic infrastructure, the plan is aimed at advancing the economic growth of the country, in particular the service industry. </w:t>
      </w:r>
      <w:bookmarkStart w:id="47" w:name="OLE_LINK11"/>
      <w:bookmarkStart w:id="48" w:name="OLE_LINK12"/>
      <w:r w:rsidRPr="00214EFC">
        <w:t xml:space="preserve">At the same time, with the boom of domestic economic activities, the carbon emissions also gradually increase year by year with an annual average growth rate of 5.9%, increasingly to 4.8 Mt by 1.45 times than 2010. </w:t>
      </w:r>
      <w:bookmarkEnd w:id="47"/>
      <w:bookmarkEnd w:id="48"/>
    </w:p>
    <w:p w14:paraId="21F58DB4" w14:textId="0DC92CFA" w:rsidR="009C0539" w:rsidRPr="00214EFC" w:rsidRDefault="009C0539" w:rsidP="00AA63CD">
      <w:pPr>
        <w:spacing w:after="100" w:afterAutospacing="1" w:line="360" w:lineRule="auto"/>
      </w:pPr>
      <w:r w:rsidRPr="00214EFC">
        <w:t>(</w:t>
      </w:r>
      <w:r w:rsidRPr="00214EFC">
        <w:fldChar w:fldCharType="begin"/>
      </w:r>
      <w:r w:rsidRPr="00214EFC">
        <w:instrText xml:space="preserve"> REF _Ref57065233 \h </w:instrText>
      </w:r>
      <w:r>
        <w:instrText xml:space="preserve"> \* MERGEFORMAT </w:instrText>
      </w:r>
      <w:r w:rsidRPr="00214EFC">
        <w:fldChar w:fldCharType="separate"/>
      </w:r>
      <w:r w:rsidR="00AD1226" w:rsidRPr="00214EFC">
        <w:t xml:space="preserve">Figure S </w:t>
      </w:r>
      <w:r w:rsidR="00AD1226">
        <w:rPr>
          <w:noProof/>
        </w:rPr>
        <w:t>12</w:t>
      </w:r>
      <w:r w:rsidRPr="00214EFC">
        <w:fldChar w:fldCharType="end"/>
      </w:r>
      <w:r w:rsidRPr="00214EFC">
        <w:t xml:space="preserve">b) </w:t>
      </w:r>
      <w:r>
        <w:t>Emission drivers</w:t>
      </w:r>
      <w:r w:rsidRPr="00214EFC">
        <w:t xml:space="preserve"> </w:t>
      </w:r>
    </w:p>
    <w:p w14:paraId="20F5DBB5" w14:textId="1F6267D6" w:rsidR="00AA63CD" w:rsidRPr="00C5101B" w:rsidRDefault="00AA63CD" w:rsidP="00AA63CD">
      <w:pPr>
        <w:spacing w:after="100" w:afterAutospacing="1" w:line="360" w:lineRule="auto"/>
      </w:pPr>
      <w:r w:rsidRPr="00C5101B">
        <w:t xml:space="preserve">Uganda maintained a 5% annual average growth rate in GDP in 2010-2018 under its Five-Year Plans. In 2018, its GDP reached up to 27.5 billion dollars, increasing by around 1.85 times than that in 2010. At the same time, with the boom of domestic economic activities, the carbon emissions also gradually increase year by year with an annual average growth rate of 6%, increasing to 5 Mt by 1.45 times than 2010. Increased population and oil consumption are the main impetus driving the growth of emissions in Uganda, which contributes 37.0% (1.1Mt) and 27.6% (0.8Mt) to </w:t>
      </w:r>
      <w:r w:rsidR="009669F6" w:rsidRPr="009669F6">
        <w:t>CO</w:t>
      </w:r>
      <w:r w:rsidR="009669F6" w:rsidRPr="009669F6">
        <w:rPr>
          <w:vertAlign w:val="subscript"/>
        </w:rPr>
        <w:t>2</w:t>
      </w:r>
      <w:r w:rsidRPr="00C5101B">
        <w:t xml:space="preserve"> emission increment, respectively. Uganda maintains a 3.6% annual </w:t>
      </w:r>
      <w:r w:rsidRPr="00C5101B">
        <w:lastRenderedPageBreak/>
        <w:t xml:space="preserve">average population growth rate over 2010-2018, and its net population growth totals 10.29 million. Over the period, oil consumption increased with an annual growth rate of 7.1%, which gives rise to the increase of </w:t>
      </w:r>
      <w:r w:rsidR="009669F6" w:rsidRPr="009669F6">
        <w:t>CO</w:t>
      </w:r>
      <w:r w:rsidR="009669F6" w:rsidRPr="009669F6">
        <w:rPr>
          <w:vertAlign w:val="subscript"/>
        </w:rPr>
        <w:t>2</w:t>
      </w:r>
      <w:r w:rsidRPr="00C5101B">
        <w:t xml:space="preserve"> emissions as well. Apart from that, the economic expansion effect and the development of services also make for the growth of </w:t>
      </w:r>
      <w:r w:rsidR="009669F6" w:rsidRPr="009669F6">
        <w:t>CO</w:t>
      </w:r>
      <w:r w:rsidR="009669F6" w:rsidRPr="009669F6">
        <w:rPr>
          <w:vertAlign w:val="subscript"/>
        </w:rPr>
        <w:t>2</w:t>
      </w:r>
      <w:r w:rsidRPr="00C5101B">
        <w:t xml:space="preserve"> emissions during the research period. The output of the services increased by 32 times over 2010-2018, mainly driven by the rising transport sector. Investments in renewable energy benefited Uganda in lower energy intensity and that led to 1 Mt less emission over the period. </w:t>
      </w:r>
    </w:p>
    <w:p w14:paraId="703252DD" w14:textId="13639579" w:rsidR="0091453C" w:rsidRPr="00214EFC" w:rsidRDefault="0091453C" w:rsidP="00AA63CD">
      <w:pPr>
        <w:spacing w:after="100" w:afterAutospacing="1" w:line="360" w:lineRule="auto"/>
      </w:pPr>
      <w:r w:rsidRPr="00214EFC">
        <w:t>(</w:t>
      </w:r>
      <w:r w:rsidR="00A931E2" w:rsidRPr="00214EFC">
        <w:fldChar w:fldCharType="begin"/>
      </w:r>
      <w:r w:rsidR="00A931E2" w:rsidRPr="00214EFC">
        <w:instrText xml:space="preserve"> REF _Ref57065233 \h </w:instrText>
      </w:r>
      <w:r w:rsidR="00214EFC">
        <w:instrText xml:space="preserve"> \* MERGEFORMAT </w:instrText>
      </w:r>
      <w:r w:rsidR="00A931E2" w:rsidRPr="00214EFC">
        <w:fldChar w:fldCharType="separate"/>
      </w:r>
      <w:r w:rsidR="00AD1226" w:rsidRPr="00214EFC">
        <w:t xml:space="preserve">Figure S </w:t>
      </w:r>
      <w:r w:rsidR="00AD1226">
        <w:rPr>
          <w:noProof/>
        </w:rPr>
        <w:t>12</w:t>
      </w:r>
      <w:r w:rsidR="00A931E2" w:rsidRPr="00214EFC">
        <w:fldChar w:fldCharType="end"/>
      </w:r>
      <w:r w:rsidR="009C0539">
        <w:t>c</w:t>
      </w:r>
      <w:r w:rsidRPr="00214EFC">
        <w:t xml:space="preserve">) </w:t>
      </w:r>
      <w:r w:rsidR="009C0539">
        <w:t>Emissions by sector</w:t>
      </w:r>
      <w:r w:rsidRPr="00214EFC">
        <w:t xml:space="preserve"> </w:t>
      </w:r>
    </w:p>
    <w:p w14:paraId="19423817" w14:textId="62B3EB44" w:rsidR="00F732B0" w:rsidRPr="00214EFC" w:rsidRDefault="00F732B0" w:rsidP="00AA63CD">
      <w:pPr>
        <w:spacing w:after="100" w:afterAutospacing="1" w:line="360" w:lineRule="auto"/>
      </w:pPr>
      <w:r w:rsidRPr="00214EFC">
        <w:t xml:space="preserve">According to the circular chart, </w:t>
      </w:r>
      <w:proofErr w:type="gramStart"/>
      <w:r w:rsidRPr="00214EFC">
        <w:t>it can be seen that the</w:t>
      </w:r>
      <w:proofErr w:type="gramEnd"/>
      <w:r w:rsidRPr="00214EFC">
        <w:t xml:space="preserve"> major emission sector in Uganda is the transportation sector especially the rood transportation. This is because road transportation carries about 95% of the country's cargo transportation and about 99% of passenger transportation</w:t>
      </w:r>
      <w:r w:rsidR="004A0253">
        <w:fldChar w:fldCharType="begin"/>
      </w:r>
      <w:r w:rsidR="00C478D6">
        <w:instrText xml:space="preserve"> ADDIN ZOTERO_ITEM CSL_CITATION {"citationID":"wUjLMBFU","properties":{"formattedCitation":"\\super 27\\nosupersub{}","plainCitation":"27","noteIndex":0},"citationItems":[{"id":3384,"uris":["http://zotero.org/users/4340498/items/TAADBNAM"],"uri":["http://zotero.org/users/4340498/items/TAADBNAM"],"itemData":{"id":3384,"type":"report","title":"Road Transportation","author":[{"literal":"Uganda National Ro ads Authority,"}],"issued":{"date-parts":[["2019"]]}}}],"schema":"https://github.com/citation-style-language/schema/raw/master/csl-citation.json"} </w:instrText>
      </w:r>
      <w:r w:rsidR="004A0253">
        <w:fldChar w:fldCharType="separate"/>
      </w:r>
      <w:r w:rsidR="00C478D6" w:rsidRPr="00C478D6">
        <w:rPr>
          <w:kern w:val="0"/>
          <w:szCs w:val="24"/>
          <w:vertAlign w:val="superscript"/>
        </w:rPr>
        <w:t>27</w:t>
      </w:r>
      <w:r w:rsidR="004A0253">
        <w:fldChar w:fldCharType="end"/>
      </w:r>
      <w:r w:rsidRPr="00214EFC">
        <w:t xml:space="preserve">. </w:t>
      </w:r>
      <w:proofErr w:type="gramStart"/>
      <w:r w:rsidRPr="00214EFC">
        <w:t>What’s</w:t>
      </w:r>
      <w:proofErr w:type="gramEnd"/>
      <w:r w:rsidRPr="00214EFC">
        <w:t xml:space="preserve"> more, </w:t>
      </w:r>
      <w:r w:rsidR="009669F6" w:rsidRPr="009669F6">
        <w:t>CO</w:t>
      </w:r>
      <w:r w:rsidR="009669F6" w:rsidRPr="009669F6">
        <w:rPr>
          <w:vertAlign w:val="subscript"/>
        </w:rPr>
        <w:t>2</w:t>
      </w:r>
      <w:r w:rsidRPr="00214EFC">
        <w:t xml:space="preserve"> emissions of the road transportation and its share are increasing from 2010-2018. This is due to the Uganda Road Sector Support Initiative (URSSI) implemented in 2010, the investment of road transportation increased from 2000 million dollars in 2011 to about 9500 million dollars in 2017 with 21.5% average growth rate</w:t>
      </w:r>
      <w:r w:rsidR="004A0253">
        <w:fldChar w:fldCharType="begin"/>
      </w:r>
      <w:r w:rsidR="00C478D6">
        <w:instrText xml:space="preserve"> ADDIN ZOTERO_ITEM CSL_CITATION {"citationID":"UfJzxQ0x","properties":{"formattedCitation":"\\super 28\\nosupersub{}","plainCitation":"28","noteIndex":0},"citationItems":[{"id":3380,"uris":["http://zotero.org/users/4340498/items/FM6SPM4J"],"uri":["http://zotero.org/users/4340498/items/FM6SPM4J"],"itemData":{"id":3380,"type":"thesis","publisher":"Makerere University","title":"The contribution of road transport to the economic development of Uganda","author":[{"family":"Nabasa, D","given":""}],"issued":{"date-parts":[["2018"]]}}}],"schema":"https://github.com/citation-style-language/schema/raw/master/csl-citation.json"} </w:instrText>
      </w:r>
      <w:r w:rsidR="004A0253">
        <w:fldChar w:fldCharType="separate"/>
      </w:r>
      <w:r w:rsidR="00C478D6" w:rsidRPr="00C478D6">
        <w:rPr>
          <w:kern w:val="0"/>
          <w:szCs w:val="24"/>
          <w:vertAlign w:val="superscript"/>
        </w:rPr>
        <w:t>28</w:t>
      </w:r>
      <w:r w:rsidR="004A0253">
        <w:fldChar w:fldCharType="end"/>
      </w:r>
      <w:r w:rsidRPr="00214EFC">
        <w:t xml:space="preserve">. In addition, the proportion of </w:t>
      </w:r>
      <w:r w:rsidR="009669F6" w:rsidRPr="009669F6">
        <w:t>CO</w:t>
      </w:r>
      <w:r w:rsidR="009669F6" w:rsidRPr="009669F6">
        <w:rPr>
          <w:vertAlign w:val="subscript"/>
        </w:rPr>
        <w:t>2</w:t>
      </w:r>
      <w:r w:rsidRPr="00214EFC">
        <w:t xml:space="preserve"> emissions from the power and heating industry has shown an overall trend of increasing first and then decreasing during the period 2010 to 2018.This mainly because the Uganda electricity system partly relied on the hydrogen power, which is easily affected by climate change. During drought period (2011-2012), due to the drop in the water level of Lake Victoria, the hydroelectric power plant can only use about half of the installed capacity, resulting in inadequate domestic electricity supply. Uganda </w:t>
      </w:r>
      <w:proofErr w:type="gramStart"/>
      <w:r w:rsidRPr="00214EFC">
        <w:t>increase</w:t>
      </w:r>
      <w:proofErr w:type="gramEnd"/>
      <w:r w:rsidRPr="00214EFC">
        <w:t xml:space="preserve"> thermal power generation about 150MW in order to fill the power demand gap, which also increased the </w:t>
      </w:r>
      <w:r w:rsidR="009669F6" w:rsidRPr="009669F6">
        <w:t>CO</w:t>
      </w:r>
      <w:r w:rsidR="009669F6" w:rsidRPr="009669F6">
        <w:rPr>
          <w:vertAlign w:val="subscript"/>
        </w:rPr>
        <w:t>2</w:t>
      </w:r>
      <w:r w:rsidRPr="00214EFC">
        <w:t xml:space="preserve"> emissions in electricity heat sector. However, after the successful construction of the </w:t>
      </w:r>
      <w:proofErr w:type="spellStart"/>
      <w:r w:rsidRPr="00214EFC">
        <w:t>Bujagali</w:t>
      </w:r>
      <w:proofErr w:type="spellEnd"/>
      <w:r w:rsidRPr="00214EFC">
        <w:t xml:space="preserve"> 250MW hydropower plant in 2012</w:t>
      </w:r>
      <w:bookmarkStart w:id="49" w:name="OLE_LINK37"/>
      <w:bookmarkStart w:id="50" w:name="OLE_LINK40"/>
      <w:r w:rsidR="004A0253">
        <w:rPr>
          <w:vertAlign w:val="superscript"/>
        </w:rPr>
        <w:fldChar w:fldCharType="begin"/>
      </w:r>
      <w:r w:rsidR="00C478D6">
        <w:rPr>
          <w:vertAlign w:val="superscript"/>
        </w:rPr>
        <w:instrText xml:space="preserve"> ADDIN ZOTERO_ITEM CSL_CITATION {"citationID":"7A3ElX2r","properties":{"formattedCitation":"\\super 29\\nosupersub{}","plainCitation":"29","noteIndex":0},"citationItems":[{"id":3379,"uris":["http://zotero.org/users/4340498/items/XID4FXJ8"],"uri":["http://zotero.org/users/4340498/items/XID4FXJ8"],"itemData":{"id":3379,"type":"webpage","title":"Install Capacity","URL":"https://www.era.go.ug/index.php/stats/generation-statistics/installed-capacity (2019)","author":[{"literal":"Electricity Regulation Authority"}]}}],"schema":"https://github.com/citation-style-language/schema/raw/master/csl-citation.json"} </w:instrText>
      </w:r>
      <w:r w:rsidR="004A0253">
        <w:rPr>
          <w:vertAlign w:val="superscript"/>
        </w:rPr>
        <w:fldChar w:fldCharType="separate"/>
      </w:r>
      <w:r w:rsidR="00C478D6" w:rsidRPr="00C478D6">
        <w:rPr>
          <w:kern w:val="0"/>
          <w:szCs w:val="24"/>
          <w:vertAlign w:val="superscript"/>
        </w:rPr>
        <w:t>29</w:t>
      </w:r>
      <w:r w:rsidR="004A0253">
        <w:rPr>
          <w:vertAlign w:val="superscript"/>
        </w:rPr>
        <w:fldChar w:fldCharType="end"/>
      </w:r>
      <w:bookmarkEnd w:id="49"/>
      <w:bookmarkEnd w:id="50"/>
      <w:r w:rsidRPr="00214EFC">
        <w:t xml:space="preserve"> and the water level of Lake Victoria is in a stable state. The Ugandan government gradually reduced the amount of electricity generated by thermal power plants and then hydropower accounts for about 75.6% of the total installed capacity of 983MW in 2018</w:t>
      </w:r>
      <w:r w:rsidR="004A0253">
        <w:rPr>
          <w:vertAlign w:val="superscript"/>
        </w:rPr>
        <w:fldChar w:fldCharType="begin"/>
      </w:r>
      <w:r w:rsidR="00C478D6">
        <w:rPr>
          <w:vertAlign w:val="superscript"/>
        </w:rPr>
        <w:instrText xml:space="preserve"> ADDIN ZOTERO_ITEM CSL_CITATION {"citationID":"3JbRBvKy","properties":{"formattedCitation":"\\super 29\\nosupersub{}","plainCitation":"29","noteIndex":0},"citationItems":[{"id":3379,"uris":["http://zotero.org/users/4340498/items/XID4FXJ8"],"uri":["http://zotero.org/users/4340498/items/XID4FXJ8"],"itemData":{"id":3379,"type":"webpage","title":"Install Capacity","URL":"https://www.era.go.ug/index.php/stats/generation-statistics/installed-capacity (2019)","author":[{"literal":"Electricity Regulation Authority"}]}}],"schema":"https://github.com/citation-style-language/schema/raw/master/csl-citation.json"} </w:instrText>
      </w:r>
      <w:r w:rsidR="004A0253">
        <w:rPr>
          <w:vertAlign w:val="superscript"/>
        </w:rPr>
        <w:fldChar w:fldCharType="separate"/>
      </w:r>
      <w:r w:rsidR="00C478D6" w:rsidRPr="00C478D6">
        <w:rPr>
          <w:kern w:val="0"/>
          <w:szCs w:val="24"/>
          <w:vertAlign w:val="superscript"/>
        </w:rPr>
        <w:t>29</w:t>
      </w:r>
      <w:r w:rsidR="004A0253">
        <w:rPr>
          <w:vertAlign w:val="superscript"/>
        </w:rPr>
        <w:fldChar w:fldCharType="end"/>
      </w:r>
      <w:r w:rsidRPr="00214EFC">
        <w:t xml:space="preserve">. And therefore, only when hydroelectric power generation is insufficient to meet the electricity demand during periods of drought, the operation of thermal power </w:t>
      </w:r>
      <w:r w:rsidRPr="00214EFC">
        <w:lastRenderedPageBreak/>
        <w:t xml:space="preserve">generation will be increased </w:t>
      </w:r>
      <w:proofErr w:type="gramStart"/>
      <w:r w:rsidRPr="00214EFC">
        <w:t>in order to</w:t>
      </w:r>
      <w:proofErr w:type="gramEnd"/>
      <w:r w:rsidRPr="00214EFC">
        <w:t xml:space="preserve"> maintain power grid steady. As a result, the </w:t>
      </w:r>
      <w:r w:rsidR="009669F6" w:rsidRPr="009669F6">
        <w:t>CO</w:t>
      </w:r>
      <w:r w:rsidR="009669F6" w:rsidRPr="009669F6">
        <w:rPr>
          <w:vertAlign w:val="subscript"/>
        </w:rPr>
        <w:t>2</w:t>
      </w:r>
      <w:r w:rsidRPr="00214EFC">
        <w:t xml:space="preserve"> emissions generated by the power sector in Uganda show to increase first and then decrease.</w:t>
      </w:r>
    </w:p>
    <w:p w14:paraId="1C6E9B0E" w14:textId="5A446CDF" w:rsidR="00F732B0" w:rsidRPr="00214EFC" w:rsidRDefault="0091453C" w:rsidP="00AA63CD">
      <w:pPr>
        <w:spacing w:after="100" w:afterAutospacing="1" w:line="360" w:lineRule="auto"/>
      </w:pPr>
      <w:bookmarkStart w:id="51" w:name="_Hlk57039420"/>
      <w:r w:rsidRPr="00214EFC">
        <w:t>(</w:t>
      </w:r>
      <w:r w:rsidR="00A931E2" w:rsidRPr="00214EFC">
        <w:fldChar w:fldCharType="begin"/>
      </w:r>
      <w:r w:rsidR="00A931E2" w:rsidRPr="00214EFC">
        <w:instrText xml:space="preserve"> REF _Ref57065233 \h </w:instrText>
      </w:r>
      <w:r w:rsidR="00214EFC">
        <w:instrText xml:space="preserve"> \* MERGEFORMAT </w:instrText>
      </w:r>
      <w:r w:rsidR="00A931E2" w:rsidRPr="00214EFC">
        <w:fldChar w:fldCharType="separate"/>
      </w:r>
      <w:r w:rsidR="00AD1226" w:rsidRPr="00214EFC">
        <w:t xml:space="preserve">Figure S </w:t>
      </w:r>
      <w:r w:rsidR="00AD1226">
        <w:rPr>
          <w:noProof/>
        </w:rPr>
        <w:t>12</w:t>
      </w:r>
      <w:r w:rsidR="00A931E2" w:rsidRPr="00214EFC">
        <w:fldChar w:fldCharType="end"/>
      </w:r>
      <w:r w:rsidR="009C0539">
        <w:t>d</w:t>
      </w:r>
      <w:r w:rsidRPr="00214EFC">
        <w:t xml:space="preserve">) </w:t>
      </w:r>
      <w:r w:rsidR="009C0539">
        <w:t xml:space="preserve">Emissions by </w:t>
      </w:r>
      <w:bookmarkEnd w:id="51"/>
      <w:r w:rsidR="009C0539">
        <w:t>fuel type and industry</w:t>
      </w:r>
    </w:p>
    <w:p w14:paraId="45ABEB79" w14:textId="335A3A05" w:rsidR="00F732B0" w:rsidRPr="00214EFC" w:rsidRDefault="00F732B0" w:rsidP="00AA63CD">
      <w:pPr>
        <w:spacing w:after="100" w:afterAutospacing="1" w:line="360" w:lineRule="auto"/>
      </w:pPr>
      <w:r w:rsidRPr="00214EFC">
        <w:t xml:space="preserve">As can be seen from the </w:t>
      </w:r>
      <w:r w:rsidR="009C0539">
        <w:t>Emissions by fuel type and industry</w:t>
      </w:r>
      <w:r w:rsidRPr="00214EFC">
        <w:t xml:space="preserve">, oil is the only energy consumption category in Uganda. Between 2010 and 2018, </w:t>
      </w:r>
      <w:r w:rsidR="009669F6" w:rsidRPr="009669F6">
        <w:t>CO</w:t>
      </w:r>
      <w:r w:rsidR="009669F6" w:rsidRPr="009669F6">
        <w:rPr>
          <w:vertAlign w:val="subscript"/>
        </w:rPr>
        <w:t>2</w:t>
      </w:r>
      <w:r w:rsidRPr="00214EFC">
        <w:t xml:space="preserve"> emissions from oil consumption increased in fluctuations. In 2011-2012, there was </w:t>
      </w:r>
      <w:proofErr w:type="gramStart"/>
      <w:r w:rsidRPr="00214EFC">
        <w:t>a very significant</w:t>
      </w:r>
      <w:proofErr w:type="gramEnd"/>
      <w:r w:rsidRPr="00214EFC">
        <w:t xml:space="preserve"> decline of </w:t>
      </w:r>
      <w:r w:rsidR="009669F6" w:rsidRPr="009669F6">
        <w:t>CO</w:t>
      </w:r>
      <w:r w:rsidR="009669F6" w:rsidRPr="009669F6">
        <w:rPr>
          <w:vertAlign w:val="subscript"/>
        </w:rPr>
        <w:t>2</w:t>
      </w:r>
      <w:r w:rsidRPr="00214EFC">
        <w:t xml:space="preserve"> emissions. This is because a severe drought in Uganda in 2011. The drop in water levels led to a shortage of hydroelectric power, which is unable to meet the supply of industrial electricity. In other words, industrial production was affected to a certain extent, which inevitably led to a decline of </w:t>
      </w:r>
      <w:r w:rsidR="009669F6" w:rsidRPr="009669F6">
        <w:t>CO</w:t>
      </w:r>
      <w:r w:rsidR="009669F6" w:rsidRPr="009669F6">
        <w:rPr>
          <w:vertAlign w:val="subscript"/>
        </w:rPr>
        <w:t>2</w:t>
      </w:r>
      <w:r w:rsidRPr="00214EFC">
        <w:t xml:space="preserve"> emissions from the second industry. Another aspect, it had a major impact on agricultural sector production, resulting in a significant decline in the harvest of agricultural products that year. As the climate stabilized after 2012, industrial production gradually returned to steady growth. More importantly, the </w:t>
      </w:r>
      <w:r w:rsidR="009669F6" w:rsidRPr="009669F6">
        <w:t>CO</w:t>
      </w:r>
      <w:r w:rsidR="009669F6" w:rsidRPr="009669F6">
        <w:rPr>
          <w:vertAlign w:val="subscript"/>
        </w:rPr>
        <w:t>2</w:t>
      </w:r>
      <w:r w:rsidRPr="00214EFC">
        <w:t xml:space="preserve"> emissions emitted by service and residential sector accounts for more than half of the total and increase steadily in Uganda during the research period. This is mainly due to population and service output increase. Uganda maintains 3.6% annual average population growth rate in 2010-2018, and its net population growth totals 10.29 million</w:t>
      </w:r>
      <w:r w:rsidR="004A0253">
        <w:rPr>
          <w:vertAlign w:val="superscript"/>
        </w:rPr>
        <w:fldChar w:fldCharType="begin"/>
      </w:r>
      <w:r w:rsidR="00C478D6">
        <w:rPr>
          <w:vertAlign w:val="superscript"/>
        </w:rPr>
        <w:instrText xml:space="preserve"> ADDIN ZOTERO_ITEM CSL_CITATION {"citationID":"1yYFdJmf","properties":{"formattedCitation":"\\super 30\\nosupersub{}","plainCitation":"30","noteIndex":0},"citationItems":[{"id":3378,"uris":["http://zotero.org/users/4340498/items/CNHLX8JK"],"uri":["http://zotero.org/users/4340498/items/CNHLX8JK"],"itemData":{"id":3378,"type":"report","title":"Population Projections 2018","author":[{"literal":"Uganda Bureau of Statistics"}],"issued":{"date-parts":[["2019"]]}}}],"schema":"https://github.com/citation-style-language/schema/raw/master/csl-citation.json"} </w:instrText>
      </w:r>
      <w:r w:rsidR="004A0253">
        <w:rPr>
          <w:vertAlign w:val="superscript"/>
        </w:rPr>
        <w:fldChar w:fldCharType="separate"/>
      </w:r>
      <w:r w:rsidR="00C478D6" w:rsidRPr="00C478D6">
        <w:rPr>
          <w:kern w:val="0"/>
          <w:szCs w:val="24"/>
          <w:vertAlign w:val="superscript"/>
        </w:rPr>
        <w:t>30</w:t>
      </w:r>
      <w:r w:rsidR="004A0253">
        <w:rPr>
          <w:vertAlign w:val="superscript"/>
        </w:rPr>
        <w:fldChar w:fldCharType="end"/>
      </w:r>
      <w:r w:rsidRPr="00214EFC">
        <w:t xml:space="preserve">. The upsurge of population leads to the growing demands for resources, </w:t>
      </w:r>
      <w:proofErr w:type="gramStart"/>
      <w:r w:rsidRPr="00214EFC">
        <w:t>products</w:t>
      </w:r>
      <w:proofErr w:type="gramEnd"/>
      <w:r w:rsidRPr="00214EFC">
        <w:t xml:space="preserve"> and services, and therefore stimulates energy consumption and </w:t>
      </w:r>
      <w:r w:rsidR="009669F6" w:rsidRPr="009669F6">
        <w:t>CO</w:t>
      </w:r>
      <w:r w:rsidR="009669F6" w:rsidRPr="009669F6">
        <w:rPr>
          <w:vertAlign w:val="subscript"/>
        </w:rPr>
        <w:t>2</w:t>
      </w:r>
      <w:r w:rsidRPr="00214EFC">
        <w:t xml:space="preserve"> emissions. On another side, that is benefited by Uganda’s stable political environment and its development policies for the service industry in 2010-2018, during which the output value of the service industry increased from 32225 billion to 52946 billion shillings at 2016 constant price, and corresponding proportion in GDP also reached 43.15% in 2018. And therefore, the demand for fuel brought by population and the government's strong industrial policies have led to a steady increase in </w:t>
      </w:r>
      <w:r w:rsidR="009669F6" w:rsidRPr="009669F6">
        <w:t>CO</w:t>
      </w:r>
      <w:r w:rsidR="009669F6" w:rsidRPr="009669F6">
        <w:rPr>
          <w:vertAlign w:val="subscript"/>
        </w:rPr>
        <w:t>2</w:t>
      </w:r>
      <w:r w:rsidRPr="00214EFC">
        <w:t xml:space="preserve"> emissions from the service and residential sector during this period.</w:t>
      </w:r>
    </w:p>
    <w:p w14:paraId="1D67FA18" w14:textId="4C24EFC9" w:rsidR="0091453C" w:rsidRPr="00214EFC" w:rsidRDefault="0091453C" w:rsidP="00AA63CD">
      <w:pPr>
        <w:spacing w:after="100" w:afterAutospacing="1" w:line="360" w:lineRule="auto"/>
      </w:pPr>
      <w:r w:rsidRPr="00214EFC">
        <w:t>(</w:t>
      </w:r>
      <w:r w:rsidR="00A931E2" w:rsidRPr="00214EFC">
        <w:fldChar w:fldCharType="begin"/>
      </w:r>
      <w:r w:rsidR="00A931E2" w:rsidRPr="00214EFC">
        <w:instrText xml:space="preserve"> REF _Ref57065233 \h </w:instrText>
      </w:r>
      <w:r w:rsidR="00214EFC">
        <w:instrText xml:space="preserve"> \* MERGEFORMAT </w:instrText>
      </w:r>
      <w:r w:rsidR="00A931E2" w:rsidRPr="00214EFC">
        <w:fldChar w:fldCharType="separate"/>
      </w:r>
      <w:r w:rsidR="00AD1226" w:rsidRPr="00214EFC">
        <w:t xml:space="preserve">Figure S </w:t>
      </w:r>
      <w:r w:rsidR="00AD1226">
        <w:rPr>
          <w:noProof/>
        </w:rPr>
        <w:t>12</w:t>
      </w:r>
      <w:r w:rsidR="00A931E2" w:rsidRPr="00214EFC">
        <w:fldChar w:fldCharType="end"/>
      </w:r>
      <w:r w:rsidR="009C0539">
        <w:t>e</w:t>
      </w:r>
      <w:r w:rsidRPr="00214EFC">
        <w:t xml:space="preserve">) Trade pattern </w:t>
      </w:r>
    </w:p>
    <w:p w14:paraId="0151D681" w14:textId="1C597E3B" w:rsidR="00F732B0" w:rsidRPr="00214EFC" w:rsidRDefault="00F732B0" w:rsidP="00AA63CD">
      <w:pPr>
        <w:spacing w:after="100" w:afterAutospacing="1" w:line="360" w:lineRule="auto"/>
      </w:pPr>
      <w:r w:rsidRPr="00214EFC">
        <w:t xml:space="preserve">In terms of foreign trade, Uganda’s main exports goods are gold and related products (39.6%), followed by coffee and other economic crops (11.7%), and the main exporting countries are the </w:t>
      </w:r>
      <w:r w:rsidRPr="00214EFC">
        <w:lastRenderedPageBreak/>
        <w:t>United Arab Emirates and Kenya</w:t>
      </w:r>
      <w:r w:rsidR="004A0253">
        <w:fldChar w:fldCharType="begin"/>
      </w:r>
      <w:r w:rsidR="00C478D6">
        <w:instrText xml:space="preserve"> ADDIN ZOTERO_ITEM CSL_CITATION {"citationID":"JO6VAb3I","properties":{"formattedCitation":"\\super 31\\nosupersub{}","plainCitation":"31","noteIndex":0},"citationItems":[{"id":3377,"uris":["http://zotero.org/users/4340498/items/ES98SNK3"],"uri":["http://zotero.org/users/4340498/items/ES98SNK3"],"itemData":{"id":3377,"type":"report","title":"BACI HS6 REV.1992(1995-2018)","author":[{"literal":"BACI database"}],"issued":{"date-parts":[["2018"]]}}}],"schema":"https://github.com/citation-style-language/schema/raw/master/csl-citation.json"} </w:instrText>
      </w:r>
      <w:r w:rsidR="004A0253">
        <w:fldChar w:fldCharType="separate"/>
      </w:r>
      <w:r w:rsidR="00C478D6" w:rsidRPr="00C478D6">
        <w:rPr>
          <w:kern w:val="0"/>
          <w:szCs w:val="24"/>
          <w:vertAlign w:val="superscript"/>
        </w:rPr>
        <w:t>31</w:t>
      </w:r>
      <w:r w:rsidR="004A0253">
        <w:fldChar w:fldCharType="end"/>
      </w:r>
      <w:r w:rsidRPr="00214EFC">
        <w:t>. Since 2016, gold exports have rocketed in the Uganda exceeding the coffee became the largest export goods, and gold worth 1.68 billion dollars was shipped out of Uganda in 2018– over 60 times what the country was exporting a decade. This is because that the Uganda cancel the gold export tax in 2014 and African Gold Refinery (AGR) was built and operated in 2015</w:t>
      </w:r>
      <w:r w:rsidR="004A0253">
        <w:fldChar w:fldCharType="begin"/>
      </w:r>
      <w:r w:rsidR="00C478D6">
        <w:instrText xml:space="preserve"> ADDIN ZOTERO_ITEM CSL_CITATION {"citationID":"1KxIAtYt","properties":{"formattedCitation":"\\super 32\\nosupersub{}","plainCitation":"32","noteIndex":0},"citationItems":[{"id":3376,"uris":["http://zotero.org/users/4340498/items/S6E2QD5V"],"uri":["http://zotero.org/users/4340498/items/S6E2QD5V"],"itemData":{"id":3376,"type":"webpage","container-title":"Economics","title":"How can Uganda export so much more gold than it mines? Economics","author":[{"literal":"Busia"}],"issued":{"date-parts":[["2019"]]}}}],"schema":"https://github.com/citation-style-language/schema/raw/master/csl-citation.json"} </w:instrText>
      </w:r>
      <w:r w:rsidR="004A0253">
        <w:fldChar w:fldCharType="separate"/>
      </w:r>
      <w:r w:rsidR="00C478D6" w:rsidRPr="00C478D6">
        <w:rPr>
          <w:kern w:val="0"/>
          <w:szCs w:val="24"/>
          <w:vertAlign w:val="superscript"/>
        </w:rPr>
        <w:t>32</w:t>
      </w:r>
      <w:r w:rsidR="004A0253">
        <w:fldChar w:fldCharType="end"/>
      </w:r>
      <w:r w:rsidRPr="00214EFC">
        <w:t xml:space="preserve">, a first gold production and refiner in east Africa, which is also the main reason for Uganda’s gold production surge. Additionally, Uganda </w:t>
      </w:r>
      <w:proofErr w:type="gramStart"/>
      <w:r w:rsidRPr="00214EFC">
        <w:t>is located in</w:t>
      </w:r>
      <w:proofErr w:type="gramEnd"/>
      <w:r w:rsidRPr="00214EFC">
        <w:t xml:space="preserve"> the most fertile land in Africa and close to Lake Victoria, which provides favorable growth conditions for economic crops such as coffee and cotton. Uganda has a large agricultural population, up to 74%, which provides sufficient cheap labor for Uganda’s agricultural production. These have made Uganda's agricultural products of high quality and low price, attracting overseas customers. Furthermore, during this period the manufacturing for aviation and components export has the fastest growth especially after 2016. This is principally because Uganda and Russia jointly established Pro Heli International Service Limited in 2016, a helicopter and maintenance parts manufacturing company, mainly for Russian armed helicopter parts. In terms of import goods</w:t>
      </w:r>
      <w:r w:rsidR="004A0253">
        <w:rPr>
          <w:vertAlign w:val="superscript"/>
        </w:rPr>
        <w:fldChar w:fldCharType="begin"/>
      </w:r>
      <w:r w:rsidR="00C478D6">
        <w:rPr>
          <w:vertAlign w:val="superscript"/>
        </w:rPr>
        <w:instrText xml:space="preserve"> ADDIN ZOTERO_ITEM CSL_CITATION {"citationID":"CWgp24jT","properties":{"formattedCitation":"\\super 33\\nosupersub{}","plainCitation":"33","noteIndex":0},"citationItems":[{"id":3375,"uris":["http://zotero.org/users/4340498/items/5QZVVKRZ"],"uri":["http://zotero.org/users/4340498/items/5QZVVKRZ"],"itemData":{"id":3375,"type":"report","title":"Aerospace Products &amp; Parts Manufacturing Companies In Uganda","author":[{"family":"Dun&amp;bradstreet","given":""}],"issued":{"date-parts":[["2020"]]}}}],"schema":"https://github.com/citation-style-language/schema/raw/master/csl-citation.json"} </w:instrText>
      </w:r>
      <w:r w:rsidR="004A0253">
        <w:rPr>
          <w:vertAlign w:val="superscript"/>
        </w:rPr>
        <w:fldChar w:fldCharType="separate"/>
      </w:r>
      <w:r w:rsidR="00C478D6" w:rsidRPr="00C478D6">
        <w:rPr>
          <w:kern w:val="0"/>
          <w:szCs w:val="24"/>
          <w:vertAlign w:val="superscript"/>
        </w:rPr>
        <w:t>33</w:t>
      </w:r>
      <w:r w:rsidR="004A0253">
        <w:rPr>
          <w:vertAlign w:val="superscript"/>
        </w:rPr>
        <w:fldChar w:fldCharType="end"/>
      </w:r>
      <w:r w:rsidRPr="00214EFC">
        <w:t>, 2018 UN customs data showed that Uganda mainly imported petroleum products from the UAE and Saudi Arabia, accounting 17.4% of the total, and imported packaged medicines from India (3.93%)</w:t>
      </w:r>
      <w:r w:rsidRPr="00214EFC">
        <w:rPr>
          <w:vertAlign w:val="superscript"/>
        </w:rPr>
        <w:t>5</w:t>
      </w:r>
      <w:r w:rsidRPr="00214EFC">
        <w:t xml:space="preserve">. As for importing countries, Uganda’s largest importing country is China, with a total import value of over US$1.15 billion, including broadcasting equipment (18%) and mobile phones (4.98%). To sum up, Uganda’s main export and import goods are gold and </w:t>
      </w:r>
      <w:proofErr w:type="gramStart"/>
      <w:r w:rsidRPr="00214EFC">
        <w:t>oil</w:t>
      </w:r>
      <w:proofErr w:type="gramEnd"/>
      <w:r w:rsidRPr="00214EFC">
        <w:t xml:space="preserve"> respectively. The largest exporter is the UAE, and importer is China.</w:t>
      </w:r>
    </w:p>
    <w:p w14:paraId="7F9C19D5" w14:textId="515F3533" w:rsidR="00290054" w:rsidRPr="00214EFC" w:rsidRDefault="00F732B0" w:rsidP="004A0253">
      <w:pPr>
        <w:spacing w:after="100" w:afterAutospacing="1" w:line="360" w:lineRule="auto"/>
      </w:pPr>
      <w:r w:rsidRPr="00214EFC">
        <w:br w:type="page"/>
      </w:r>
    </w:p>
    <w:p w14:paraId="6048CD86" w14:textId="096BA0AB" w:rsidR="00052B68" w:rsidRPr="00214EFC" w:rsidRDefault="003860E6" w:rsidP="00AA63CD">
      <w:pPr>
        <w:spacing w:after="100" w:afterAutospacing="1" w:line="360" w:lineRule="auto"/>
      </w:pPr>
      <w:r>
        <w:rPr>
          <w:noProof/>
        </w:rPr>
        <w:lastRenderedPageBreak/>
        <w:drawing>
          <wp:inline distT="0" distB="0" distL="0" distR="0" wp14:anchorId="00CED03D" wp14:editId="4D6A7DDF">
            <wp:extent cx="5262245" cy="29502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2245" cy="2950210"/>
                    </a:xfrm>
                    <a:prstGeom prst="rect">
                      <a:avLst/>
                    </a:prstGeom>
                    <a:noFill/>
                    <a:ln>
                      <a:noFill/>
                    </a:ln>
                  </pic:spPr>
                </pic:pic>
              </a:graphicData>
            </a:graphic>
          </wp:inline>
        </w:drawing>
      </w:r>
    </w:p>
    <w:p w14:paraId="640165B8" w14:textId="6FE68623" w:rsidR="00052B68" w:rsidRPr="00214EFC" w:rsidRDefault="00052B68" w:rsidP="00AA63CD">
      <w:pPr>
        <w:pStyle w:val="af6"/>
        <w:spacing w:after="100" w:afterAutospacing="1" w:line="360" w:lineRule="auto"/>
        <w:rPr>
          <w:rFonts w:eastAsiaTheme="minorEastAsia"/>
        </w:rPr>
      </w:pPr>
      <w:bookmarkStart w:id="52" w:name="_Ref57065233"/>
      <w:r w:rsidRPr="00214EFC">
        <w:t xml:space="preserve">Figure S </w:t>
      </w:r>
      <w:fldSimple w:instr=" SEQ Figure_S \* ARABIC ">
        <w:r w:rsidR="001E11D5">
          <w:rPr>
            <w:noProof/>
          </w:rPr>
          <w:t>12</w:t>
        </w:r>
      </w:fldSimple>
      <w:bookmarkEnd w:id="52"/>
      <w:r w:rsidRPr="00214EFC">
        <w:t xml:space="preserve"> Relative increase of </w:t>
      </w:r>
      <w:r w:rsidR="009669F6" w:rsidRPr="009669F6">
        <w:t>CO</w:t>
      </w:r>
      <w:r w:rsidR="009669F6" w:rsidRPr="009669F6">
        <w:rPr>
          <w:vertAlign w:val="subscript"/>
        </w:rPr>
        <w:t>2</w:t>
      </w:r>
      <w:r w:rsidRPr="00214EFC">
        <w:t xml:space="preserve"> emissions and GDP (a),</w:t>
      </w:r>
      <w:r w:rsidR="00382DB3" w:rsidRPr="00382DB3">
        <w:t xml:space="preserve"> </w:t>
      </w:r>
      <w:r w:rsidR="00382DB3">
        <w:t>emissions change of main drivers (b, in Mt),</w:t>
      </w:r>
      <w:r w:rsidR="00382DB3" w:rsidRPr="00214EFC">
        <w:t xml:space="preserve"> emissions by sector (</w:t>
      </w:r>
      <w:r w:rsidR="00382DB3">
        <w:t>c</w:t>
      </w:r>
      <w:r w:rsidR="00382DB3" w:rsidRPr="00214EFC">
        <w:t>, in 2010, 2014 and 2018 from the inner circle to outer ones), emissions by energy and industry (</w:t>
      </w:r>
      <w:r w:rsidR="00382DB3">
        <w:t>d</w:t>
      </w:r>
      <w:r w:rsidR="00382DB3" w:rsidRPr="00214EFC">
        <w:t>), and international trade</w:t>
      </w:r>
      <w:r w:rsidR="00382DB3">
        <w:t xml:space="preserve"> changes</w:t>
      </w:r>
      <w:r w:rsidR="00382DB3" w:rsidRPr="00214EFC">
        <w:t xml:space="preserve"> (</w:t>
      </w:r>
      <w:r w:rsidR="00382DB3">
        <w:t>e</w:t>
      </w:r>
      <w:r w:rsidR="00382DB3" w:rsidRPr="00214EFC">
        <w:t>)</w:t>
      </w:r>
      <w:r w:rsidRPr="00214EFC">
        <w:t xml:space="preserve"> of Uganda. </w:t>
      </w:r>
    </w:p>
    <w:p w14:paraId="24A82E18" w14:textId="77777777" w:rsidR="00052B68" w:rsidRPr="00214EFC" w:rsidRDefault="00052B68" w:rsidP="00AA63CD">
      <w:pPr>
        <w:spacing w:after="100" w:afterAutospacing="1" w:line="360" w:lineRule="auto"/>
      </w:pPr>
    </w:p>
    <w:p w14:paraId="7014CE6A" w14:textId="188623F6" w:rsidR="0091605F" w:rsidRPr="00F8140D" w:rsidRDefault="0091605F" w:rsidP="00AA63CD">
      <w:pPr>
        <w:snapToGrid w:val="0"/>
        <w:spacing w:after="100" w:afterAutospacing="1" w:line="360" w:lineRule="auto"/>
      </w:pPr>
      <w:r w:rsidRPr="0091605F">
        <w:rPr>
          <w:b/>
          <w:bCs/>
        </w:rPr>
        <w:t>Mongolia</w:t>
      </w:r>
      <w:r w:rsidRPr="00F8140D">
        <w:t xml:space="preserve"> (Figure 2 </w:t>
      </w:r>
      <w:r>
        <w:t>c</w:t>
      </w:r>
      <w:r w:rsidRPr="00F8140D">
        <w:t xml:space="preserve">): Over 2010-2018, under a stable domestic political situation after the 2009 presidential election, Mongolia experienced rapid economic growth with an average annual growth rate of 8%, and its GDP reached 13.1 billion dollars mainly driven by exports (metals and fuels to China). Meanwhile, </w:t>
      </w:r>
      <w:r w:rsidR="009669F6" w:rsidRPr="009669F6">
        <w:t>CO</w:t>
      </w:r>
      <w:r w:rsidR="009669F6" w:rsidRPr="009669F6">
        <w:rPr>
          <w:vertAlign w:val="subscript"/>
        </w:rPr>
        <w:t>2</w:t>
      </w:r>
      <w:r w:rsidRPr="00F8140D">
        <w:t xml:space="preserve"> emissions of Mongolia underwent a rising trend with a cliff-like decline (due to unstable domestic policies, investment, and low price of bulk products in the international market), which showed an average annual growth rate of 5%. GDP per capita, population, and industry are the main drivers of Mongolia’s emission growth. As the pillar industry of the national economy, the mining industry is the essential engine for economic growth: in 2014, mining output value accounted for about 30% of Mongolia’s GDP; the development of such a pillar industry is also crucial for the </w:t>
      </w:r>
      <w:r w:rsidR="009669F6" w:rsidRPr="009669F6">
        <w:t>CO</w:t>
      </w:r>
      <w:r w:rsidR="009669F6" w:rsidRPr="009669F6">
        <w:rPr>
          <w:vertAlign w:val="subscript"/>
        </w:rPr>
        <w:t>2</w:t>
      </w:r>
      <w:r w:rsidRPr="00F8140D">
        <w:t xml:space="preserve"> emission growth. As of 2018, Mongolia’s coal production reached a record high of over 50 million tons, and coal export also reached a record high of 36.3 million tons. That also contributed to the incremental emission of 4.3 Mt driven by industry growth. Mongolia’s population is a major cause of carbon emissions for household consumption due to the poor natural conditions, the cold climate, and the traditional means of heating. It is worth noting that the contribution of energy intensity to carbon emissions has decreased significantly(-11Mt) due to the energy efficiency improvement project of Ulan Bator cogeneration units.</w:t>
      </w:r>
    </w:p>
    <w:p w14:paraId="125BA3A6" w14:textId="2AA8B33C" w:rsidR="009A6584" w:rsidRPr="00214EFC" w:rsidRDefault="00DA61EF" w:rsidP="00AA63CD">
      <w:pPr>
        <w:spacing w:after="100" w:afterAutospacing="1" w:line="360" w:lineRule="auto"/>
      </w:pPr>
      <w:r w:rsidRPr="00214EFC">
        <w:lastRenderedPageBreak/>
        <w:t>(</w:t>
      </w:r>
      <w:r w:rsidR="007154A8" w:rsidRPr="00214EFC">
        <w:fldChar w:fldCharType="begin"/>
      </w:r>
      <w:r w:rsidR="007154A8" w:rsidRPr="00214EFC">
        <w:instrText xml:space="preserve"> REF _Ref56693543 \h </w:instrText>
      </w:r>
      <w:r w:rsidR="00214EFC">
        <w:instrText xml:space="preserve"> \* MERGEFORMAT </w:instrText>
      </w:r>
      <w:r w:rsidR="007154A8" w:rsidRPr="00214EFC">
        <w:fldChar w:fldCharType="separate"/>
      </w:r>
      <w:r w:rsidR="00AD1226" w:rsidRPr="00214EFC">
        <w:t xml:space="preserve">Figure S </w:t>
      </w:r>
      <w:r w:rsidR="00AD1226">
        <w:rPr>
          <w:noProof/>
        </w:rPr>
        <w:t>13</w:t>
      </w:r>
      <w:r w:rsidR="007154A8" w:rsidRPr="00214EFC">
        <w:fldChar w:fldCharType="end"/>
      </w:r>
      <w:r w:rsidR="0091453C" w:rsidRPr="00214EFC">
        <w:t>a</w:t>
      </w:r>
      <w:r w:rsidRPr="00214EFC">
        <w:t xml:space="preserve">) </w:t>
      </w:r>
      <w:r w:rsidR="0091453C" w:rsidRPr="00214EFC">
        <w:t xml:space="preserve">GDP </w:t>
      </w:r>
      <w:r w:rsidRPr="00214EFC">
        <w:t xml:space="preserve">and </w:t>
      </w:r>
      <w:r w:rsidR="009669F6" w:rsidRPr="009669F6">
        <w:t>CO</w:t>
      </w:r>
      <w:r w:rsidR="009669F6" w:rsidRPr="009669F6">
        <w:rPr>
          <w:vertAlign w:val="subscript"/>
        </w:rPr>
        <w:t>2</w:t>
      </w:r>
      <w:r w:rsidR="0091453C" w:rsidRPr="00214EFC">
        <w:t xml:space="preserve"> emissions</w:t>
      </w:r>
    </w:p>
    <w:p w14:paraId="61C40A1E" w14:textId="4EB16C0C" w:rsidR="008907AC" w:rsidRPr="00214EFC" w:rsidRDefault="008907AC" w:rsidP="00AA63CD">
      <w:pPr>
        <w:spacing w:after="100" w:afterAutospacing="1" w:line="360" w:lineRule="auto"/>
      </w:pPr>
      <w:r w:rsidRPr="00214EFC">
        <w:t xml:space="preserve">According to the results of study period, the </w:t>
      </w:r>
      <w:r w:rsidR="009669F6" w:rsidRPr="009669F6">
        <w:t>CO</w:t>
      </w:r>
      <w:r w:rsidR="009669F6" w:rsidRPr="009669F6">
        <w:rPr>
          <w:vertAlign w:val="subscript"/>
        </w:rPr>
        <w:t>2</w:t>
      </w:r>
      <w:r w:rsidRPr="00214EFC">
        <w:t xml:space="preserve"> emissions of Mongolia shown in </w:t>
      </w:r>
      <w:r w:rsidR="00442DAA" w:rsidRPr="00214EFC">
        <w:fldChar w:fldCharType="begin"/>
      </w:r>
      <w:r w:rsidR="00442DAA" w:rsidRPr="00214EFC">
        <w:instrText xml:space="preserve"> REF _Ref56693543 \h </w:instrText>
      </w:r>
      <w:r w:rsidR="00E0195B" w:rsidRPr="00214EFC">
        <w:instrText xml:space="preserve"> \* MERGEFORMAT </w:instrText>
      </w:r>
      <w:r w:rsidR="00442DAA" w:rsidRPr="00214EFC">
        <w:fldChar w:fldCharType="separate"/>
      </w:r>
      <w:r w:rsidR="00E309AB" w:rsidRPr="00214EFC">
        <w:t xml:space="preserve">Figure S </w:t>
      </w:r>
      <w:r w:rsidR="00E309AB">
        <w:rPr>
          <w:noProof/>
        </w:rPr>
        <w:t>12</w:t>
      </w:r>
      <w:r w:rsidR="00442DAA" w:rsidRPr="00214EFC">
        <w:fldChar w:fldCharType="end"/>
      </w:r>
      <w:r w:rsidRPr="00214EFC">
        <w:t>a from 2010 to 2018 are basically consistent with the GDP growth level, showing a high-speed upward trend in general, and the GDP growth rate is significantly higher than carbon dioxide emissions. To be more specific, GDP in 2010 was 7.19 bills of US dollars, and in 2018 it was 13.11 bills of US dollars</w:t>
      </w:r>
      <w:r w:rsidR="00963F64">
        <w:rPr>
          <w:vertAlign w:val="superscript"/>
        </w:rPr>
        <w:fldChar w:fldCharType="begin"/>
      </w:r>
      <w:r w:rsidR="00C478D6">
        <w:rPr>
          <w:vertAlign w:val="superscript"/>
        </w:rPr>
        <w:instrText xml:space="preserve"> ADDIN ZOTERO_ITEM CSL_CITATION {"citationID":"BNptBSpa","properties":{"formattedCitation":"\\super 34\\nosupersub{}","plainCitation":"34","noteIndex":0},"citationItems":[{"id":3373,"uris":["http://zotero.org/users/4340498/items/7VMY3R3A"],"uri":["http://zotero.org/users/4340498/items/7VMY3R3A"],"itemData":{"id":3373,"type":"book","title":"Statistical Yearbook","URL":"http:// www.nso.mn/v3/index2.php?page.free¬_access.","author":[{"literal":"National Statistical Office of Mongolia"}]}}],"schema":"https://github.com/citation-style-language/schema/raw/master/csl-citation.json"} </w:instrText>
      </w:r>
      <w:r w:rsidR="00963F64">
        <w:rPr>
          <w:vertAlign w:val="superscript"/>
        </w:rPr>
        <w:fldChar w:fldCharType="separate"/>
      </w:r>
      <w:r w:rsidR="00C478D6" w:rsidRPr="00C478D6">
        <w:rPr>
          <w:kern w:val="0"/>
          <w:szCs w:val="24"/>
          <w:vertAlign w:val="superscript"/>
        </w:rPr>
        <w:t>34</w:t>
      </w:r>
      <w:r w:rsidR="00963F64">
        <w:rPr>
          <w:vertAlign w:val="superscript"/>
        </w:rPr>
        <w:fldChar w:fldCharType="end"/>
      </w:r>
      <w:r w:rsidRPr="00214EFC">
        <w:t xml:space="preserve">, with an average annual growth rate of 7.96%. The rapid growth of Mongolia is </w:t>
      </w:r>
      <w:proofErr w:type="gramStart"/>
      <w:r w:rsidRPr="00214EFC">
        <w:t>due to the fact that</w:t>
      </w:r>
      <w:proofErr w:type="gramEnd"/>
      <w:r w:rsidRPr="00214EFC">
        <w:t xml:space="preserve"> after the 2009 presidential election, the domestic political situation is basically stable, and the authorities have insisted on taking the road of stable development to provide a political foundation for economic prosperity. In addition, with the gradual weakening of the impact of the global financial crisis, the global mining industry out of the trough, and the rising price of mineral products in the international market, Mongolia’s economy has recovered rapidly. Moreover, with the implementation of the strategy of “invigorating the country through mining”, the national economy has developed rapidly under the guidance of mining development, meanwhile, carbon emissions increased. However, due to the single industrial structure of Mongolia, once affected by the economic cycle and changes in the international market, the economic situation is relatively unstable. During 2013-2015, affected by internal factors such as unstable domestic policies and investment environment, as well as external factors such as the continuous low price of bulk products in the international market, the economic situation deteriorate rapidly, as a result, the growth rate of the national economy slowed down significantly. At the same time, the carbon dioxide emissions showed a cliff-like decline, but it began to recover slowly in 2016.</w:t>
      </w:r>
    </w:p>
    <w:p w14:paraId="6B6AEBBE" w14:textId="1F412E57" w:rsidR="009C0539" w:rsidRPr="00214EFC" w:rsidRDefault="009C0539" w:rsidP="00AA63CD">
      <w:pPr>
        <w:spacing w:after="100" w:afterAutospacing="1" w:line="360" w:lineRule="auto"/>
      </w:pPr>
      <w:r w:rsidRPr="00214EFC">
        <w:t>(</w:t>
      </w:r>
      <w:r w:rsidRPr="00214EFC">
        <w:fldChar w:fldCharType="begin"/>
      </w:r>
      <w:r w:rsidRPr="00214EFC">
        <w:instrText xml:space="preserve"> REF _Ref56693543 \h </w:instrText>
      </w:r>
      <w:r>
        <w:instrText xml:space="preserve"> \* MERGEFORMAT </w:instrText>
      </w:r>
      <w:r w:rsidRPr="00214EFC">
        <w:fldChar w:fldCharType="separate"/>
      </w:r>
      <w:r w:rsidR="00AD1226" w:rsidRPr="00214EFC">
        <w:t xml:space="preserve">Figure S </w:t>
      </w:r>
      <w:r w:rsidR="00AD1226">
        <w:rPr>
          <w:noProof/>
        </w:rPr>
        <w:t>13</w:t>
      </w:r>
      <w:r w:rsidRPr="00214EFC">
        <w:fldChar w:fldCharType="end"/>
      </w:r>
      <w:r w:rsidRPr="00214EFC">
        <w:t xml:space="preserve">b) </w:t>
      </w:r>
      <w:r>
        <w:t>Emission drivers</w:t>
      </w:r>
    </w:p>
    <w:p w14:paraId="35193857" w14:textId="2F2124DF" w:rsidR="00AA63CD" w:rsidRPr="00C5101B" w:rsidRDefault="00AA63CD" w:rsidP="00AA63CD">
      <w:pPr>
        <w:spacing w:after="100" w:afterAutospacing="1" w:line="360" w:lineRule="auto"/>
      </w:pPr>
      <w:r w:rsidRPr="00C5101B">
        <w:t xml:space="preserve">Over 2010-2018, under a stable domestic political situation after the 2009 presidential election, Mongolia experienced rapid economic growth with an average annual growth rate of 8%, and its GDP reached 13.1 billion dollars mainly driven by exports (metals and fuels to China). Meanwhile, </w:t>
      </w:r>
      <w:r w:rsidR="009669F6" w:rsidRPr="009669F6">
        <w:t>CO</w:t>
      </w:r>
      <w:r w:rsidR="009669F6" w:rsidRPr="009669F6">
        <w:rPr>
          <w:vertAlign w:val="subscript"/>
        </w:rPr>
        <w:t>2</w:t>
      </w:r>
      <w:r w:rsidRPr="00C5101B">
        <w:t xml:space="preserve"> emissions of Mongolia underwent a rising trend with a cliff-like decline (due to unstable domestic policies, investment, and low price of bulk products in the international market), which showed an average annual growth rate of 5%. GDP per capita, population, and </w:t>
      </w:r>
      <w:r w:rsidRPr="00C5101B">
        <w:lastRenderedPageBreak/>
        <w:t xml:space="preserve">industry are the main drivers of Mongolia’s emission growth. As the pillar industry of the national economy, the mining industry is the essential engine for economic growth: in 2014, mining output value accounted for about 30% of Mongolia’s GDP; the development of such a pillar industry is also crucial for the </w:t>
      </w:r>
      <w:r w:rsidR="009669F6" w:rsidRPr="009669F6">
        <w:t>CO</w:t>
      </w:r>
      <w:r w:rsidR="009669F6" w:rsidRPr="009669F6">
        <w:rPr>
          <w:vertAlign w:val="subscript"/>
        </w:rPr>
        <w:t>2</w:t>
      </w:r>
      <w:r w:rsidRPr="00C5101B">
        <w:t xml:space="preserve"> emission growth. As of 2018, Mongolia’s coal production reached a record high of over 50 million tons, and coal export also reached a record high of 36.3 million tons. That also contributed to the incremental emission of 4.3 Mt driven by industry growth. Mongolia’s population is a major cause of carbon emissions for household consumption due to the poor natural conditions, the cold climate, and the traditional means of heating. It is worth noting that the contribution of energy intensity to carbon emissions has decreased significantly(-11Mt) due to the energy efficiency improvement project of Ulan Bator cogeneration units.</w:t>
      </w:r>
    </w:p>
    <w:p w14:paraId="176DC302" w14:textId="2346BC03" w:rsidR="00DA61EF" w:rsidRPr="00214EFC" w:rsidRDefault="00DA61EF" w:rsidP="00AA63CD">
      <w:pPr>
        <w:spacing w:after="100" w:afterAutospacing="1" w:line="360" w:lineRule="auto"/>
      </w:pPr>
      <w:r w:rsidRPr="00214EFC">
        <w:t>(</w:t>
      </w:r>
      <w:r w:rsidR="007154A8" w:rsidRPr="00214EFC">
        <w:fldChar w:fldCharType="begin"/>
      </w:r>
      <w:r w:rsidR="007154A8" w:rsidRPr="00214EFC">
        <w:instrText xml:space="preserve"> REF _Ref56693543 \h </w:instrText>
      </w:r>
      <w:r w:rsidR="00214EFC">
        <w:instrText xml:space="preserve"> \* MERGEFORMAT </w:instrText>
      </w:r>
      <w:r w:rsidR="007154A8" w:rsidRPr="00214EFC">
        <w:fldChar w:fldCharType="separate"/>
      </w:r>
      <w:r w:rsidR="00AD1226" w:rsidRPr="00214EFC">
        <w:t xml:space="preserve">Figure S </w:t>
      </w:r>
      <w:r w:rsidR="00AD1226">
        <w:rPr>
          <w:noProof/>
        </w:rPr>
        <w:t>13</w:t>
      </w:r>
      <w:r w:rsidR="007154A8" w:rsidRPr="00214EFC">
        <w:fldChar w:fldCharType="end"/>
      </w:r>
      <w:r w:rsidR="009C0539">
        <w:t>c</w:t>
      </w:r>
      <w:r w:rsidRPr="00214EFC">
        <w:t xml:space="preserve">) </w:t>
      </w:r>
      <w:r w:rsidR="009C0539">
        <w:t>Emissions by sector</w:t>
      </w:r>
    </w:p>
    <w:p w14:paraId="1A7A53B2" w14:textId="17BD28B7" w:rsidR="00657CCB" w:rsidRPr="00214EFC" w:rsidRDefault="00DA61EF" w:rsidP="00AA63CD">
      <w:pPr>
        <w:spacing w:after="100" w:afterAutospacing="1" w:line="360" w:lineRule="auto"/>
      </w:pPr>
      <w:r w:rsidRPr="00214EFC">
        <w:t xml:space="preserve">According to the </w:t>
      </w:r>
      <w:r w:rsidR="009C0539">
        <w:t>Emission by sector</w:t>
      </w:r>
      <w:r w:rsidRPr="00214EFC">
        <w:t xml:space="preserve">, </w:t>
      </w:r>
      <w:r w:rsidR="008907AC" w:rsidRPr="00214EFC">
        <w:t xml:space="preserve">the main sectors </w:t>
      </w:r>
      <w:r w:rsidRPr="00214EFC">
        <w:t xml:space="preserve">emitted </w:t>
      </w:r>
      <w:r w:rsidR="009669F6" w:rsidRPr="009669F6">
        <w:t>CO</w:t>
      </w:r>
      <w:r w:rsidR="009669F6" w:rsidRPr="009669F6">
        <w:rPr>
          <w:vertAlign w:val="subscript"/>
        </w:rPr>
        <w:t>2</w:t>
      </w:r>
      <w:r w:rsidRPr="00214EFC">
        <w:t xml:space="preserve"> </w:t>
      </w:r>
      <w:r w:rsidR="008907AC" w:rsidRPr="00214EFC">
        <w:t xml:space="preserve">are the </w:t>
      </w:r>
      <w:r w:rsidRPr="00214EFC">
        <w:t>power and heat</w:t>
      </w:r>
      <w:r w:rsidR="008907AC" w:rsidRPr="00214EFC">
        <w:t xml:space="preserve"> industry, </w:t>
      </w:r>
      <w:proofErr w:type="gramStart"/>
      <w:r w:rsidR="008907AC" w:rsidRPr="00214EFC">
        <w:t>households</w:t>
      </w:r>
      <w:proofErr w:type="gramEnd"/>
      <w:r w:rsidRPr="00214EFC">
        <w:t xml:space="preserve"> and </w:t>
      </w:r>
      <w:r w:rsidR="008907AC" w:rsidRPr="00214EFC">
        <w:t>transportation. Their emission proportions have not changed significantly for many years (2010, 2014, 2018)</w:t>
      </w:r>
      <w:r w:rsidRPr="00214EFC">
        <w:t xml:space="preserve"> accounting for about 72%, 8%, and 7% respectively</w:t>
      </w:r>
      <w:r w:rsidR="00320142" w:rsidRPr="00214EFC">
        <w:t xml:space="preserve"> and emissions from </w:t>
      </w:r>
      <w:r w:rsidR="00657CCB" w:rsidRPr="00214EFC">
        <w:t>these</w:t>
      </w:r>
      <w:r w:rsidR="00320142" w:rsidRPr="00214EFC">
        <w:t xml:space="preserve"> sectors increased steadily</w:t>
      </w:r>
      <w:r w:rsidR="008907AC" w:rsidRPr="00214EFC">
        <w:t>. The</w:t>
      </w:r>
      <w:r w:rsidRPr="00214EFC">
        <w:t xml:space="preserve"> main</w:t>
      </w:r>
      <w:r w:rsidR="008907AC" w:rsidRPr="00214EFC">
        <w:t xml:space="preserve"> reason</w:t>
      </w:r>
      <w:r w:rsidR="004841AC" w:rsidRPr="00214EFC">
        <w:t xml:space="preserve"> is</w:t>
      </w:r>
      <w:r w:rsidR="008907AC" w:rsidRPr="00214EFC">
        <w:t xml:space="preserve"> that </w:t>
      </w:r>
      <w:r w:rsidRPr="00214EFC">
        <w:t>economic structure</w:t>
      </w:r>
      <w:r w:rsidR="00657CCB" w:rsidRPr="00214EFC">
        <w:t xml:space="preserve"> and energy structure used by sectors</w:t>
      </w:r>
      <w:r w:rsidRPr="00214EFC">
        <w:t xml:space="preserve"> </w:t>
      </w:r>
      <w:r w:rsidR="00657CCB" w:rsidRPr="00214EFC">
        <w:t>in Mongolia have</w:t>
      </w:r>
      <w:r w:rsidRPr="00214EFC">
        <w:t xml:space="preserve"> no changes during this period</w:t>
      </w:r>
      <w:r w:rsidR="008907AC" w:rsidRPr="00214EFC">
        <w:t xml:space="preserve">. </w:t>
      </w:r>
      <w:r w:rsidR="00657CCB" w:rsidRPr="00214EFC">
        <w:t xml:space="preserve">Additionally, the </w:t>
      </w:r>
      <w:r w:rsidR="009669F6" w:rsidRPr="009669F6">
        <w:t>CO</w:t>
      </w:r>
      <w:r w:rsidR="009669F6" w:rsidRPr="009669F6">
        <w:rPr>
          <w:vertAlign w:val="subscript"/>
        </w:rPr>
        <w:t>2</w:t>
      </w:r>
      <w:r w:rsidR="00657CCB" w:rsidRPr="00214EFC">
        <w:t xml:space="preserve"> emissions from the power and heat industry is still growing the most</w:t>
      </w:r>
      <w:r w:rsidR="004841AC" w:rsidRPr="00214EFC">
        <w:t>.</w:t>
      </w:r>
      <w:r w:rsidR="00657CCB" w:rsidRPr="00214EFC">
        <w:t xml:space="preserve"> </w:t>
      </w:r>
      <w:r w:rsidR="004841AC" w:rsidRPr="00214EFC">
        <w:t>B</w:t>
      </w:r>
      <w:r w:rsidR="00657CCB" w:rsidRPr="00214EFC">
        <w:t>ecause</w:t>
      </w:r>
      <w:r w:rsidR="004841AC" w:rsidRPr="00214EFC">
        <w:t xml:space="preserve"> the Mongolian government has committed to accelerating the construction speed of national power infrastructure, by putting forward a series of plans of reconstruction or expansion of existing power and construction of new power, </w:t>
      </w:r>
      <w:proofErr w:type="gramStart"/>
      <w:r w:rsidR="004841AC" w:rsidRPr="00214EFC">
        <w:t>in order to</w:t>
      </w:r>
      <w:proofErr w:type="gramEnd"/>
      <w:r w:rsidR="004841AC" w:rsidRPr="00214EFC">
        <w:t xml:space="preserve"> solve </w:t>
      </w:r>
      <w:r w:rsidR="00657CCB" w:rsidRPr="00214EFC">
        <w:t>the</w:t>
      </w:r>
      <w:r w:rsidR="00320142" w:rsidRPr="00214EFC">
        <w:t xml:space="preserve"> low efficiency of power sector facilities and shortage of power </w:t>
      </w:r>
      <w:r w:rsidR="004841AC" w:rsidRPr="00214EFC">
        <w:t xml:space="preserve">supply, which </w:t>
      </w:r>
      <w:r w:rsidR="00657CCB" w:rsidRPr="00214EFC">
        <w:t>restricts economic development</w:t>
      </w:r>
      <w:r w:rsidR="004841AC" w:rsidRPr="00214EFC">
        <w:t>. More specifically f</w:t>
      </w:r>
      <w:r w:rsidR="008907AC" w:rsidRPr="00214EFC">
        <w:t>rom 2012 to 2018, Mongolia's installed power generation capacity increased by 30%,</w:t>
      </w:r>
      <w:r w:rsidR="004841AC" w:rsidRPr="00214EFC">
        <w:t xml:space="preserve"> among which</w:t>
      </w:r>
      <w:r w:rsidR="008907AC" w:rsidRPr="00214EFC">
        <w:t xml:space="preserve"> thermal power installed capacity increased by 40%</w:t>
      </w:r>
      <w:r w:rsidR="004841AC" w:rsidRPr="00214EFC">
        <w:t xml:space="preserve"> and</w:t>
      </w:r>
      <w:r w:rsidR="008907AC" w:rsidRPr="00214EFC">
        <w:t xml:space="preserve"> the number of power users increased by 4%</w:t>
      </w:r>
      <w:r w:rsidR="004841AC" w:rsidRPr="00214EFC">
        <w:t>. In 2018,</w:t>
      </w:r>
      <w:r w:rsidR="008907AC" w:rsidRPr="00214EFC">
        <w:t xml:space="preserve"> the installed electric power capacity of Mongolia was 1.1 million kilowatts, of which 93% was thermal power generation, and 5.8% relied on imports. </w:t>
      </w:r>
      <w:r w:rsidR="004841AC" w:rsidRPr="00214EFC">
        <w:t xml:space="preserve">The growth of </w:t>
      </w:r>
      <w:r w:rsidR="009669F6" w:rsidRPr="009669F6">
        <w:t>CO</w:t>
      </w:r>
      <w:r w:rsidR="009669F6" w:rsidRPr="009669F6">
        <w:rPr>
          <w:vertAlign w:val="subscript"/>
        </w:rPr>
        <w:t>2</w:t>
      </w:r>
      <w:r w:rsidR="004841AC" w:rsidRPr="00214EFC">
        <w:t xml:space="preserve"> emissions generated by the transportation sector is the second only to the electricity and heating sector, with the largest increase from railway sector. In</w:t>
      </w:r>
      <w:r w:rsidR="008907AC" w:rsidRPr="00214EFC">
        <w:t xml:space="preserve"> 2010, the </w:t>
      </w:r>
      <w:r w:rsidR="008907AC" w:rsidRPr="00214EFC">
        <w:lastRenderedPageBreak/>
        <w:t xml:space="preserve">Mongolian parliament passed the national railway transportation construction plan, which </w:t>
      </w:r>
      <w:r w:rsidR="008907AC" w:rsidRPr="00214EFC">
        <w:rPr>
          <w:color w:val="000000" w:themeColor="text1"/>
        </w:rPr>
        <w:t>proposed to build 5683.5 km new railway infrastructure in stages</w:t>
      </w:r>
      <w:r w:rsidR="00963F64">
        <w:rPr>
          <w:color w:val="000000" w:themeColor="text1"/>
          <w:vertAlign w:val="superscript"/>
        </w:rPr>
        <w:fldChar w:fldCharType="begin"/>
      </w:r>
      <w:r w:rsidR="00C478D6">
        <w:rPr>
          <w:color w:val="000000" w:themeColor="text1"/>
          <w:vertAlign w:val="superscript"/>
        </w:rPr>
        <w:instrText xml:space="preserve"> ADDIN ZOTERO_ITEM CSL_CITATION {"citationID":"feCo9FkP","properties":{"formattedCitation":"\\super 35\\nosupersub{}","plainCitation":"35","noteIndex":0},"citationItems":[{"id":3374,"uris":["http://zotero.org/users/4340498/items/CVSU7S8K"],"uri":["http://zotero.org/users/4340498/items/CVSU7S8K"],"itemData":{"id":3374,"type":"article-journal","abstract":"To compare electricity-generation fuel mixes in two countries with multiple energy policy goals and unique circumstances, we look at three scenarios reflecting the carbon emissions mitigation targets, differences in energy security levels, and electricity-generating costs of each nation. Korea and Mongolia show clear differences in electricity-generation structure related to import dependency, the potential of renewable energy, and threats to energy security. These variations lead to different decisions on the power-generation fuel mix plan. Use of fossil fuel resources in Korea results in carbon dioxide emissions and energy insecurity, while in Mongolia carbon emissions, also from fossil fuels, and energy insecurity are separate concerns as Mongolia domestically operates coal-fired power plants and imports electricity. Policies targeting two objectives, carbon emissions mitigation and energy security improvement, show complementarity in Korea as fossil fuels are replaced by renewables or nuclear power, but represent trade-offs in Mongolia as emissions mitigation and improved energy security cannot be achieved with one strategy. In conclusion, national plans to achieve two goals differ by country: In Korea, the appropriate portion of nuclear energy is the determining policy factor. In Mongolia, carbon capture and storage is the clear alternative for mitigating carbon emissions despite large renewables potential.","container-title":"Energy","DOI":"10.1016/j.energy.2013.10.089","ISSN":"0360-5442","journalAbbreviation":"Energy","language":"en","page":"1071-1079","source":"ScienceDirect","title":"Electricity-generation mix considering energy security and carbon emission mitigation: Case of Korea and Mongolia","title-short":"Electricity-generation mix considering energy security and carbon emission mitigation","volume":"64","author":[{"family":"Ryu","given":"Hanee"},{"family":"Dorjragchaa","given":"Shonkhor"},{"family":"Kim","given":"Yeonbae"},{"family":"Kim","given":"Kyunam"}],"issued":{"date-parts":[["2014",1,1]]}}}],"schema":"https://github.com/citation-style-language/schema/raw/master/csl-citation.json"} </w:instrText>
      </w:r>
      <w:r w:rsidR="00963F64">
        <w:rPr>
          <w:color w:val="000000" w:themeColor="text1"/>
          <w:vertAlign w:val="superscript"/>
        </w:rPr>
        <w:fldChar w:fldCharType="separate"/>
      </w:r>
      <w:r w:rsidR="00C478D6" w:rsidRPr="00C478D6">
        <w:rPr>
          <w:kern w:val="0"/>
          <w:szCs w:val="24"/>
          <w:vertAlign w:val="superscript"/>
        </w:rPr>
        <w:t>35</w:t>
      </w:r>
      <w:r w:rsidR="00963F64">
        <w:rPr>
          <w:color w:val="000000" w:themeColor="text1"/>
          <w:vertAlign w:val="superscript"/>
        </w:rPr>
        <w:fldChar w:fldCharType="end"/>
      </w:r>
      <w:r w:rsidR="008907AC" w:rsidRPr="00214EFC">
        <w:rPr>
          <w:color w:val="000000" w:themeColor="text1"/>
        </w:rPr>
        <w:t>. After completion, the</w:t>
      </w:r>
      <w:r w:rsidR="008907AC" w:rsidRPr="00214EFC">
        <w:t xml:space="preserve"> railway transportation capacity in Mongolia will be greatly improved, and the railway direct </w:t>
      </w:r>
      <w:r w:rsidR="008907AC" w:rsidRPr="00214EFC">
        <w:rPr>
          <w:color w:val="000000" w:themeColor="text1"/>
        </w:rPr>
        <w:t>transportation</w:t>
      </w:r>
      <w:r w:rsidR="00B565D5" w:rsidRPr="00214EFC">
        <w:t xml:space="preserve"> </w:t>
      </w:r>
      <w:r w:rsidR="00B565D5" w:rsidRPr="00214EFC">
        <w:rPr>
          <w:color w:val="000000" w:themeColor="text1"/>
        </w:rPr>
        <w:t xml:space="preserve">from, </w:t>
      </w:r>
      <w:proofErr w:type="spellStart"/>
      <w:r w:rsidR="008907AC" w:rsidRPr="00214EFC">
        <w:t>Naryn</w:t>
      </w:r>
      <w:proofErr w:type="spellEnd"/>
      <w:r w:rsidR="008907AC" w:rsidRPr="00214EFC">
        <w:t> </w:t>
      </w:r>
      <w:proofErr w:type="spellStart"/>
      <w:r w:rsidR="008907AC" w:rsidRPr="00214EFC">
        <w:t>Sukhait</w:t>
      </w:r>
      <w:proofErr w:type="spellEnd"/>
      <w:r w:rsidR="00B565D5" w:rsidRPr="00214EFC">
        <w:rPr>
          <w:color w:val="000000" w:themeColor="text1"/>
        </w:rPr>
        <w:t xml:space="preserve"> and </w:t>
      </w:r>
      <w:proofErr w:type="spellStart"/>
      <w:r w:rsidR="00B565D5" w:rsidRPr="00214EFC">
        <w:rPr>
          <w:color w:val="000000" w:themeColor="text1"/>
        </w:rPr>
        <w:t>Tavan</w:t>
      </w:r>
      <w:proofErr w:type="spellEnd"/>
      <w:r w:rsidR="00B565D5" w:rsidRPr="00214EFC">
        <w:rPr>
          <w:color w:val="000000" w:themeColor="text1"/>
        </w:rPr>
        <w:t xml:space="preserve"> Tolgoi</w:t>
      </w:r>
      <w:r w:rsidR="008907AC" w:rsidRPr="00214EFC">
        <w:t> coal mine</w:t>
      </w:r>
      <w:r w:rsidR="00B565D5" w:rsidRPr="00214EFC">
        <w:t>,</w:t>
      </w:r>
      <w:r w:rsidR="00B565D5" w:rsidRPr="00214EFC">
        <w:rPr>
          <w:color w:val="000000" w:themeColor="text1"/>
        </w:rPr>
        <w:t xml:space="preserve"> </w:t>
      </w:r>
      <w:proofErr w:type="spellStart"/>
      <w:r w:rsidR="00B565D5" w:rsidRPr="00214EFC">
        <w:rPr>
          <w:color w:val="000000" w:themeColor="text1"/>
        </w:rPr>
        <w:t>Oyu</w:t>
      </w:r>
      <w:proofErr w:type="spellEnd"/>
      <w:r w:rsidR="00B565D5" w:rsidRPr="00214EFC">
        <w:rPr>
          <w:color w:val="000000" w:themeColor="text1"/>
        </w:rPr>
        <w:t xml:space="preserve"> </w:t>
      </w:r>
      <w:proofErr w:type="spellStart"/>
      <w:r w:rsidR="00B565D5" w:rsidRPr="00214EFC">
        <w:rPr>
          <w:color w:val="000000" w:themeColor="text1"/>
        </w:rPr>
        <w:t>tolgoi</w:t>
      </w:r>
      <w:proofErr w:type="spellEnd"/>
      <w:r w:rsidR="00B565D5" w:rsidRPr="00214EFC">
        <w:rPr>
          <w:color w:val="000000" w:themeColor="text1"/>
        </w:rPr>
        <w:t xml:space="preserve"> copper and gold mine,</w:t>
      </w:r>
      <w:r w:rsidR="008907AC" w:rsidRPr="00214EFC">
        <w:t xml:space="preserve"> and other large mining areas in southern Gobi province of </w:t>
      </w:r>
      <w:proofErr w:type="gramStart"/>
      <w:r w:rsidR="008907AC" w:rsidRPr="00214EFC">
        <w:t>Mongolia to Mongolia</w:t>
      </w:r>
      <w:proofErr w:type="gramEnd"/>
      <w:r w:rsidR="008907AC" w:rsidRPr="00214EFC">
        <w:t xml:space="preserve"> border port will be realized.</w:t>
      </w:r>
    </w:p>
    <w:p w14:paraId="03BC2A50" w14:textId="17B46EFE" w:rsidR="00657CCB" w:rsidRPr="00214EFC" w:rsidRDefault="007A1AED" w:rsidP="00AA63CD">
      <w:pPr>
        <w:spacing w:after="100" w:afterAutospacing="1" w:line="360" w:lineRule="auto"/>
      </w:pPr>
      <w:r w:rsidRPr="00214EFC">
        <w:t>(</w:t>
      </w:r>
      <w:r w:rsidR="007154A8" w:rsidRPr="00214EFC">
        <w:fldChar w:fldCharType="begin"/>
      </w:r>
      <w:r w:rsidR="007154A8" w:rsidRPr="00214EFC">
        <w:instrText xml:space="preserve"> REF _Ref56693543 \h </w:instrText>
      </w:r>
      <w:r w:rsidR="00214EFC">
        <w:instrText xml:space="preserve"> \* MERGEFORMAT </w:instrText>
      </w:r>
      <w:r w:rsidR="007154A8" w:rsidRPr="00214EFC">
        <w:fldChar w:fldCharType="separate"/>
      </w:r>
      <w:r w:rsidR="00AD1226" w:rsidRPr="00214EFC">
        <w:t xml:space="preserve">Figure S </w:t>
      </w:r>
      <w:r w:rsidR="00AD1226">
        <w:rPr>
          <w:noProof/>
        </w:rPr>
        <w:t>13</w:t>
      </w:r>
      <w:r w:rsidR="007154A8" w:rsidRPr="00214EFC">
        <w:fldChar w:fldCharType="end"/>
      </w:r>
      <w:r w:rsidR="009C0539">
        <w:t>d</w:t>
      </w:r>
      <w:r w:rsidRPr="00214EFC">
        <w:t xml:space="preserve">) </w:t>
      </w:r>
      <w:r w:rsidR="009C0539">
        <w:t>Emissions by fuel type and industry</w:t>
      </w:r>
    </w:p>
    <w:p w14:paraId="47BB8635" w14:textId="60ED3C82" w:rsidR="007A1AED" w:rsidRPr="00214EFC" w:rsidRDefault="00886D50" w:rsidP="00AA63CD">
      <w:pPr>
        <w:spacing w:after="100" w:afterAutospacing="1" w:line="360" w:lineRule="auto"/>
      </w:pPr>
      <w:r w:rsidRPr="00214EFC">
        <w:fldChar w:fldCharType="begin"/>
      </w:r>
      <w:r w:rsidRPr="00214EFC">
        <w:instrText xml:space="preserve"> REF _Ref56693543 \h </w:instrText>
      </w:r>
      <w:r w:rsidR="00E0195B" w:rsidRPr="00214EFC">
        <w:instrText xml:space="preserve"> \* MERGEFORMAT </w:instrText>
      </w:r>
      <w:r w:rsidRPr="00214EFC">
        <w:fldChar w:fldCharType="separate"/>
      </w:r>
      <w:r w:rsidR="00E309AB" w:rsidRPr="00214EFC">
        <w:t xml:space="preserve">Figure S </w:t>
      </w:r>
      <w:r w:rsidR="00E309AB">
        <w:rPr>
          <w:noProof/>
        </w:rPr>
        <w:t>12</w:t>
      </w:r>
      <w:r w:rsidRPr="00214EFC">
        <w:fldChar w:fldCharType="end"/>
      </w:r>
      <w:r w:rsidR="008907AC" w:rsidRPr="00214EFC">
        <w:t xml:space="preserve">c shows that the </w:t>
      </w:r>
      <w:r w:rsidR="009669F6" w:rsidRPr="009669F6">
        <w:t>CO</w:t>
      </w:r>
      <w:r w:rsidR="009669F6" w:rsidRPr="009669F6">
        <w:rPr>
          <w:vertAlign w:val="subscript"/>
        </w:rPr>
        <w:t>2</w:t>
      </w:r>
      <w:r w:rsidR="008907AC" w:rsidRPr="00214EFC">
        <w:t xml:space="preserve"> emission</w:t>
      </w:r>
      <w:r w:rsidR="007A1AED" w:rsidRPr="00214EFC">
        <w:t>s</w:t>
      </w:r>
      <w:r w:rsidR="008907AC" w:rsidRPr="00214EFC">
        <w:t xml:space="preserve"> of Mongolia mainly come</w:t>
      </w:r>
      <w:r w:rsidR="007A1AED" w:rsidRPr="00214EFC">
        <w:t>s</w:t>
      </w:r>
      <w:r w:rsidR="008907AC" w:rsidRPr="00214EFC">
        <w:t xml:space="preserve"> from coal industry and natural gas industry. This is </w:t>
      </w:r>
      <w:proofErr w:type="gramStart"/>
      <w:r w:rsidR="008907AC" w:rsidRPr="00214EFC">
        <w:t>due to the fact that</w:t>
      </w:r>
      <w:proofErr w:type="gramEnd"/>
      <w:r w:rsidR="008907AC" w:rsidRPr="00214EFC">
        <w:t xml:space="preserve"> the reserves of coal and oil shale in the country are in the forefront of the world, and coal combustion is the main way to provide electricity and heat energy for local residents. At the same time, in 2013, the Mongolian government proposed to build "five channels" connecting China, Mongolia and Russia, such as railways, highways, oil, electricity and natural gas, and expand trans Mongolian railways and natural gas pipelines to form a comprehensive emission. </w:t>
      </w:r>
      <w:r w:rsidR="007A1AED" w:rsidRPr="00214EFC">
        <w:t xml:space="preserve">However, due to the coal industry is the pillar industry of Mongolia, coupled with the lack of domestic funds, the construction of energy transportation system and renewable energy development in Mongolia is </w:t>
      </w:r>
      <w:proofErr w:type="gramStart"/>
      <w:r w:rsidR="007A1AED" w:rsidRPr="00214EFC">
        <w:t>slow</w:t>
      </w:r>
      <w:proofErr w:type="gramEnd"/>
    </w:p>
    <w:p w14:paraId="7AAE157B" w14:textId="6748CB39" w:rsidR="008907AC" w:rsidRPr="00214EFC" w:rsidRDefault="007A1AED" w:rsidP="00AA63CD">
      <w:pPr>
        <w:spacing w:after="100" w:afterAutospacing="1" w:line="360" w:lineRule="auto"/>
      </w:pPr>
      <w:r w:rsidRPr="00214EFC">
        <w:t>(</w:t>
      </w:r>
      <w:r w:rsidR="007154A8" w:rsidRPr="00214EFC">
        <w:fldChar w:fldCharType="begin"/>
      </w:r>
      <w:r w:rsidR="007154A8" w:rsidRPr="00214EFC">
        <w:instrText xml:space="preserve"> REF _Ref56693543 \h </w:instrText>
      </w:r>
      <w:r w:rsidR="00214EFC">
        <w:instrText xml:space="preserve"> \* MERGEFORMAT </w:instrText>
      </w:r>
      <w:r w:rsidR="007154A8" w:rsidRPr="00214EFC">
        <w:fldChar w:fldCharType="separate"/>
      </w:r>
      <w:r w:rsidR="00AD1226" w:rsidRPr="00214EFC">
        <w:t xml:space="preserve">Figure S </w:t>
      </w:r>
      <w:r w:rsidR="00AD1226">
        <w:rPr>
          <w:noProof/>
        </w:rPr>
        <w:t>13</w:t>
      </w:r>
      <w:r w:rsidR="007154A8" w:rsidRPr="00214EFC">
        <w:fldChar w:fldCharType="end"/>
      </w:r>
      <w:r w:rsidR="009C0539">
        <w:t>e</w:t>
      </w:r>
      <w:r w:rsidRPr="00214EFC">
        <w:t>) Trade pattern</w:t>
      </w:r>
    </w:p>
    <w:p w14:paraId="55D45AB8" w14:textId="02D5B6A9" w:rsidR="00963F64" w:rsidRPr="00963F64" w:rsidRDefault="008907AC" w:rsidP="00AA63CD">
      <w:pPr>
        <w:spacing w:after="100" w:afterAutospacing="1" w:line="360" w:lineRule="auto"/>
      </w:pPr>
      <w:r w:rsidRPr="00214EFC">
        <w:t xml:space="preserve">In terms of foreign trade, </w:t>
      </w:r>
      <w:r w:rsidR="007A1AED" w:rsidRPr="00214EFC">
        <w:t>Mongolia's exports are mainly livestock products and mineral products</w:t>
      </w:r>
      <w:r w:rsidR="00963F64">
        <w:rPr>
          <w:vertAlign w:val="superscript"/>
        </w:rPr>
        <w:fldChar w:fldCharType="begin"/>
      </w:r>
      <w:r w:rsidR="00C478D6">
        <w:rPr>
          <w:vertAlign w:val="superscript"/>
        </w:rPr>
        <w:instrText xml:space="preserve"> ADDIN ZOTERO_ITEM CSL_CITATION {"citationID":"EzDVyrbR","properties":{"formattedCitation":"\\super 36\\nosupersub{}","plainCitation":"36","noteIndex":0},"citationItems":[{"id":3370,"uris":["http://zotero.org/users/4340498/items/LL6IHL4P"],"uri":["http://zotero.org/users/4340498/items/LL6IHL4P"],"itemData":{"id":3370,"type":"article-journal","abstract":"The exposure of the Mongolian economy to international trade in the early 1990s has led to its export growth exceeding GDP growth and a dramatic increase in inflows of foreign direct investment (FDI). Although FDI can act as a powerful channel for export expansion in a developing country like Mongolia, improved export performance could also be due to other factors, such as movements in prices, competitive exchange rates and world income. In spite of Mongolia's superior export performance, as yet, no study has been conducted to investigate the determinants of Mongolian export demand and supply. Using a panel data set covering 1995–2012 for the mining, manufacturing and primary sectors, we analyse the determinants of export performance. Empirical results suggest that higher world income, higher prices for Mongolian exports and increased FDI inflows have led to improved export performance in Mongolia. There is no statistical evidence to suggest that trade liberalisation and improved provision of basic infrastructure have had any impact on Mongolia's export expansion.","container-title":"Post-Communist Economies","DOI":"10.1080/14631377.2015.1026707","ISSN":"1463-1377","issue":"2","note":"publisher: Routledge\n_eprint: https://doi.org/10.1080/14631377.2015.1026707","page":"256-267","source":"Taylor and Francis+NEJM","title":"Has foreign investment played a role in Mongolia's export success?","volume":"27","author":[{"family":"Davaakhuu","given":"Oyunbadam"},{"family":"Sharma","given":"Kishor"},{"family":"Oczkowski","given":"Edward"}],"issued":{"date-parts":[["2015",4,3]]}}}],"schema":"https://github.com/citation-style-language/schema/raw/master/csl-citation.json"} </w:instrText>
      </w:r>
      <w:r w:rsidR="00963F64">
        <w:rPr>
          <w:vertAlign w:val="superscript"/>
        </w:rPr>
        <w:fldChar w:fldCharType="separate"/>
      </w:r>
      <w:r w:rsidR="00C478D6" w:rsidRPr="00C478D6">
        <w:rPr>
          <w:kern w:val="0"/>
          <w:szCs w:val="24"/>
          <w:vertAlign w:val="superscript"/>
        </w:rPr>
        <w:t>36</w:t>
      </w:r>
      <w:r w:rsidR="00963F64">
        <w:rPr>
          <w:vertAlign w:val="superscript"/>
        </w:rPr>
        <w:fldChar w:fldCharType="end"/>
      </w:r>
      <w:r w:rsidR="007A1AED" w:rsidRPr="00214EFC">
        <w:t xml:space="preserve">, and mineral products accounted for more than 70 percent of the total exports of Mongolia. This is because </w:t>
      </w:r>
      <w:r w:rsidRPr="00214EFC">
        <w:t>Mongolia's economy is mainly dependent on animal husbandry and mining.</w:t>
      </w:r>
      <w:r w:rsidR="00A7508E" w:rsidRPr="00214EFC">
        <w:t xml:space="preserve"> Additionally, </w:t>
      </w:r>
      <w:r w:rsidR="0061061C" w:rsidRPr="00214EFC">
        <w:t>Mongolia's industry is backward and most of its industrial products need to be imported</w:t>
      </w:r>
      <w:r w:rsidR="004556F0" w:rsidRPr="00214EFC">
        <w:t xml:space="preserve">, </w:t>
      </w:r>
      <w:proofErr w:type="gramStart"/>
      <w:r w:rsidR="004556F0" w:rsidRPr="00214EFC">
        <w:t>in order to</w:t>
      </w:r>
      <w:proofErr w:type="gramEnd"/>
      <w:r w:rsidR="004556F0" w:rsidRPr="00214EFC">
        <w:t xml:space="preserve"> meet the needs of social development and daily consumption of residents</w:t>
      </w:r>
      <w:r w:rsidR="0061061C" w:rsidRPr="00214EFC">
        <w:t>. And therefore, i</w:t>
      </w:r>
      <w:r w:rsidRPr="00214EFC">
        <w:t xml:space="preserve">mports include a wide range of consumer and industrial products, such as transport, construction machinery, electrical and electronic products, refined oil, grain, daily necessities, etc. </w:t>
      </w:r>
      <w:r w:rsidR="00A7508E" w:rsidRPr="00214EFC">
        <w:t>More specially, f</w:t>
      </w:r>
      <w:r w:rsidRPr="00214EFC">
        <w:t>rom 2013 to 2018, the import and export of financial and commercial services grew rapidly. This</w:t>
      </w:r>
      <w:r w:rsidR="0061061C" w:rsidRPr="00214EFC">
        <w:t xml:space="preserve"> is</w:t>
      </w:r>
      <w:r w:rsidRPr="00214EFC">
        <w:t xml:space="preserve"> due to the increasingly improved domestic investment environment and the in-depth advancement of the "Belt and Road" initiative, which </w:t>
      </w:r>
      <w:r w:rsidRPr="00214EFC">
        <w:lastRenderedPageBreak/>
        <w:t xml:space="preserve">promoted the deepening of regional financial and monetary cooperation. At the same time, imports of vehicles (such as cars and trains, etc.) have also risen significantly. The reason is that the population growth of Ulaanbaatar and other major cities has led to a substantial increase in their car imports, while the large increase in freight vehicles is mainly due to the recovery of mining development. Mongolia has carried out bilateral trade with many countries or regions around the world, and its main exporters are China, Russia, Ukraine, the United States, </w:t>
      </w:r>
      <w:proofErr w:type="gramStart"/>
      <w:r w:rsidRPr="00214EFC">
        <w:t>Canada</w:t>
      </w:r>
      <w:proofErr w:type="gramEnd"/>
      <w:r w:rsidRPr="00214EFC">
        <w:t xml:space="preserve"> and other countries. China is the largest trading partner of Mongolia, with a trade volume of nearly 8 billion of US dollars in 2018.</w:t>
      </w:r>
    </w:p>
    <w:p w14:paraId="51CC8BEC" w14:textId="3DFAB3E6" w:rsidR="00052B68" w:rsidRPr="00214EFC" w:rsidRDefault="003860E6" w:rsidP="00AA63CD">
      <w:pPr>
        <w:spacing w:after="100" w:afterAutospacing="1" w:line="360" w:lineRule="auto"/>
      </w:pPr>
      <w:r>
        <w:rPr>
          <w:noProof/>
        </w:rPr>
        <w:drawing>
          <wp:inline distT="0" distB="0" distL="0" distR="0" wp14:anchorId="532D0C3F" wp14:editId="5F02F5B5">
            <wp:extent cx="5262245" cy="29330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2245" cy="2933065"/>
                    </a:xfrm>
                    <a:prstGeom prst="rect">
                      <a:avLst/>
                    </a:prstGeom>
                    <a:noFill/>
                    <a:ln>
                      <a:noFill/>
                    </a:ln>
                  </pic:spPr>
                </pic:pic>
              </a:graphicData>
            </a:graphic>
          </wp:inline>
        </w:drawing>
      </w:r>
    </w:p>
    <w:p w14:paraId="2F20AD36" w14:textId="46ABB2F5" w:rsidR="00052B68" w:rsidRPr="00214EFC" w:rsidRDefault="00052B68" w:rsidP="00AA63CD">
      <w:pPr>
        <w:pStyle w:val="af6"/>
        <w:spacing w:after="100" w:afterAutospacing="1" w:line="360" w:lineRule="auto"/>
        <w:rPr>
          <w:rFonts w:eastAsiaTheme="minorEastAsia"/>
        </w:rPr>
      </w:pPr>
      <w:bookmarkStart w:id="53" w:name="_Ref56693543"/>
      <w:r w:rsidRPr="00214EFC">
        <w:t xml:space="preserve">Figure S </w:t>
      </w:r>
      <w:fldSimple w:instr=" SEQ Figure_S \* ARABIC ">
        <w:r w:rsidR="001E11D5">
          <w:rPr>
            <w:noProof/>
          </w:rPr>
          <w:t>13</w:t>
        </w:r>
      </w:fldSimple>
      <w:bookmarkEnd w:id="53"/>
      <w:r w:rsidRPr="00214EFC">
        <w:t xml:space="preserve"> Relative increase of </w:t>
      </w:r>
      <w:r w:rsidR="009669F6" w:rsidRPr="009669F6">
        <w:t>CO</w:t>
      </w:r>
      <w:r w:rsidR="009669F6" w:rsidRPr="009669F6">
        <w:rPr>
          <w:vertAlign w:val="subscript"/>
        </w:rPr>
        <w:t>2</w:t>
      </w:r>
      <w:r w:rsidRPr="00214EFC">
        <w:t xml:space="preserve"> emissions and GDP (a),</w:t>
      </w:r>
      <w:r w:rsidR="00382DB3" w:rsidRPr="00382DB3">
        <w:t xml:space="preserve"> </w:t>
      </w:r>
      <w:r w:rsidR="00382DB3">
        <w:t>emissions change of main drivers (b, in Mt),</w:t>
      </w:r>
      <w:r w:rsidR="00382DB3" w:rsidRPr="00214EFC">
        <w:t xml:space="preserve"> emissions by sector (</w:t>
      </w:r>
      <w:r w:rsidR="00382DB3">
        <w:t>c</w:t>
      </w:r>
      <w:r w:rsidR="00382DB3" w:rsidRPr="00214EFC">
        <w:t>, in 2010, 2014 and 2018 from the inner circle to outer ones), emissions by energy and industry (</w:t>
      </w:r>
      <w:r w:rsidR="00382DB3">
        <w:t>d</w:t>
      </w:r>
      <w:r w:rsidR="00382DB3" w:rsidRPr="00214EFC">
        <w:t>), and international trade</w:t>
      </w:r>
      <w:r w:rsidR="00382DB3">
        <w:t xml:space="preserve"> changes</w:t>
      </w:r>
      <w:r w:rsidR="00382DB3" w:rsidRPr="00214EFC">
        <w:t xml:space="preserve"> (</w:t>
      </w:r>
      <w:r w:rsidR="00382DB3">
        <w:t>e</w:t>
      </w:r>
      <w:r w:rsidR="00382DB3" w:rsidRPr="00214EFC">
        <w:t>)</w:t>
      </w:r>
      <w:r w:rsidRPr="00214EFC">
        <w:t xml:space="preserve"> of Mongolia. </w:t>
      </w:r>
    </w:p>
    <w:p w14:paraId="13A1BE3F" w14:textId="77777777" w:rsidR="00052B68" w:rsidRPr="00214EFC" w:rsidRDefault="00052B68" w:rsidP="00AA63CD">
      <w:pPr>
        <w:spacing w:after="100" w:afterAutospacing="1" w:line="360" w:lineRule="auto"/>
      </w:pPr>
    </w:p>
    <w:p w14:paraId="2FC6B497" w14:textId="7F99FF08" w:rsidR="0091605F" w:rsidRDefault="0091605F" w:rsidP="00AA63CD">
      <w:pPr>
        <w:snapToGrid w:val="0"/>
        <w:spacing w:after="100" w:afterAutospacing="1" w:line="360" w:lineRule="auto"/>
      </w:pPr>
      <w:bookmarkStart w:id="54" w:name="OLE_LINK19"/>
      <w:bookmarkStart w:id="55" w:name="OLE_LINK20"/>
      <w:r w:rsidRPr="0091605F">
        <w:rPr>
          <w:b/>
          <w:bCs/>
        </w:rPr>
        <w:t xml:space="preserve">Peru </w:t>
      </w:r>
      <w:r w:rsidRPr="00F8140D">
        <w:t xml:space="preserve">(Figure 2 </w:t>
      </w:r>
      <w:r>
        <w:t>b</w:t>
      </w:r>
      <w:r w:rsidRPr="00F8140D">
        <w:t xml:space="preserve">): From 2010 to 2018, Peru's GDP grew at a speed of 4.3% per year, nearly twice as the carbon emissions growth (2.4%). GDP per capita and population growth are the two main factors driving Peru's </w:t>
      </w:r>
      <w:r w:rsidR="009669F6" w:rsidRPr="009669F6">
        <w:t>CO</w:t>
      </w:r>
      <w:r w:rsidR="009669F6" w:rsidRPr="009669F6">
        <w:rPr>
          <w:vertAlign w:val="subscript"/>
        </w:rPr>
        <w:t>2</w:t>
      </w:r>
      <w:r w:rsidRPr="00F8140D">
        <w:t xml:space="preserve"> emission growth. The GDP increased to 222 billion dollars in 2018, resulting from the national infrastructure construction such as transportation highlighted by the Peruvian government: in the past ten years, the Peruvian government has implemented a series of supportive policies including investment, funding, and infrastructure construction to stimulate economic growth which directly improve national economic growth. </w:t>
      </w:r>
      <w:r w:rsidRPr="00F8140D">
        <w:lastRenderedPageBreak/>
        <w:t xml:space="preserve">Meanwhile, with the fast increase of population growth rate from 2010 to 2018 (0.7% in 2010, to 1.5% in 2018), the population growth is undoubtedly the second biggest contributor to Peru's domestic carbon emissions. The absolute increase in the Peruvian population, in part, is due to the young population structure, while another considerable reason is immigration growth. More and more migrants from other countries come to Peru, especially from Venezuela. By 2018, more than three million immigrants have been officially accepted by the Peruvian government. Foreign immigrants will become the future of energy consumption and carbon emissions contributor in Peru. Besides, the expanded transport, household, and commerce sectors contributed to the incremental emission from services, </w:t>
      </w:r>
      <w:proofErr w:type="gramStart"/>
      <w:r w:rsidRPr="00F8140D">
        <w:t>and also</w:t>
      </w:r>
      <w:proofErr w:type="gramEnd"/>
      <w:r w:rsidRPr="00F8140D">
        <w:t xml:space="preserve"> pulled the oil consumption, thus the services and the oil use drove a 3.5 Mt </w:t>
      </w:r>
      <w:r w:rsidR="009669F6" w:rsidRPr="009669F6">
        <w:t>CO</w:t>
      </w:r>
      <w:r w:rsidR="009669F6" w:rsidRPr="009669F6">
        <w:rPr>
          <w:vertAlign w:val="subscript"/>
        </w:rPr>
        <w:t>2</w:t>
      </w:r>
      <w:r w:rsidRPr="00F8140D">
        <w:t xml:space="preserve"> emission increment.</w:t>
      </w:r>
    </w:p>
    <w:p w14:paraId="2874B345" w14:textId="199EE62F" w:rsidR="004556F0" w:rsidRPr="00214EFC" w:rsidRDefault="004556F0" w:rsidP="00AA63CD">
      <w:pPr>
        <w:spacing w:after="100" w:afterAutospacing="1" w:line="360" w:lineRule="auto"/>
      </w:pPr>
      <w:r w:rsidRPr="00214EFC">
        <w:t>(</w:t>
      </w:r>
      <w:r w:rsidR="004D051B" w:rsidRPr="00214EFC">
        <w:fldChar w:fldCharType="begin"/>
      </w:r>
      <w:r w:rsidR="004D051B" w:rsidRPr="00214EFC">
        <w:instrText xml:space="preserve"> REF _Ref56362559 \h </w:instrText>
      </w:r>
      <w:r w:rsidR="00214EFC">
        <w:instrText xml:space="preserve"> \* MERGEFORMAT </w:instrText>
      </w:r>
      <w:r w:rsidR="004D051B" w:rsidRPr="00214EFC">
        <w:fldChar w:fldCharType="separate"/>
      </w:r>
      <w:r w:rsidR="00AD1226" w:rsidRPr="00214EFC">
        <w:t xml:space="preserve">Figure S </w:t>
      </w:r>
      <w:r w:rsidR="00AD1226">
        <w:rPr>
          <w:noProof/>
        </w:rPr>
        <w:t>14</w:t>
      </w:r>
      <w:r w:rsidR="004D051B" w:rsidRPr="00214EFC">
        <w:fldChar w:fldCharType="end"/>
      </w:r>
      <w:r w:rsidRPr="00214EFC">
        <w:t xml:space="preserve">a) GDP and </w:t>
      </w:r>
      <w:r w:rsidR="009669F6" w:rsidRPr="009669F6">
        <w:t>CO</w:t>
      </w:r>
      <w:r w:rsidR="009669F6" w:rsidRPr="009669F6">
        <w:rPr>
          <w:vertAlign w:val="subscript"/>
        </w:rPr>
        <w:t>2</w:t>
      </w:r>
      <w:r w:rsidRPr="00214EFC">
        <w:t xml:space="preserve"> emissions</w:t>
      </w:r>
    </w:p>
    <w:p w14:paraId="3209AB28" w14:textId="1A33DA50" w:rsidR="00C83DC3" w:rsidRDefault="004556F0" w:rsidP="00AA63CD">
      <w:pPr>
        <w:spacing w:after="100" w:afterAutospacing="1" w:line="360" w:lineRule="auto"/>
      </w:pPr>
      <w:r w:rsidRPr="00214EFC">
        <w:t>F</w:t>
      </w:r>
      <w:r w:rsidR="00052B68" w:rsidRPr="00214EFC">
        <w:t>rom 2010 to 2018, Peru's GDP grew more than 40%, nearly twice as the carbon emissions growth (20%</w:t>
      </w:r>
      <w:r w:rsidRPr="00214EFC">
        <w:t>)</w:t>
      </w:r>
      <w:r w:rsidR="00052B68" w:rsidRPr="00214EFC">
        <w:t xml:space="preserve">. </w:t>
      </w:r>
      <w:bookmarkEnd w:id="54"/>
      <w:bookmarkEnd w:id="55"/>
      <w:r w:rsidR="00052B68" w:rsidRPr="00214EFC">
        <w:t xml:space="preserve">There was a significant fall in </w:t>
      </w:r>
      <w:r w:rsidR="009669F6" w:rsidRPr="009669F6">
        <w:t>CO</w:t>
      </w:r>
      <w:r w:rsidR="009669F6" w:rsidRPr="009669F6">
        <w:rPr>
          <w:vertAlign w:val="subscript"/>
        </w:rPr>
        <w:t>2</w:t>
      </w:r>
      <w:r w:rsidR="00C83DC3" w:rsidRPr="00214EFC">
        <w:t xml:space="preserve"> </w:t>
      </w:r>
      <w:r w:rsidR="00052B68" w:rsidRPr="00214EFC">
        <w:t>emissions in 2017, followed by a slight rise in 2018, but overall growth was much slower than GDP, so Peru was in the sustainable growth category over the past decade.</w:t>
      </w:r>
      <w:r w:rsidR="00C83DC3" w:rsidRPr="00214EFC">
        <w:t xml:space="preserve">  </w:t>
      </w:r>
    </w:p>
    <w:p w14:paraId="769531CD" w14:textId="5B2D653C" w:rsidR="009C0539" w:rsidRPr="00214EFC" w:rsidRDefault="009C0539" w:rsidP="00AA63CD">
      <w:pPr>
        <w:spacing w:after="100" w:afterAutospacing="1" w:line="360" w:lineRule="auto"/>
      </w:pPr>
      <w:r w:rsidRPr="00214EFC">
        <w:t>(</w:t>
      </w:r>
      <w:r w:rsidRPr="00214EFC">
        <w:fldChar w:fldCharType="begin"/>
      </w:r>
      <w:r w:rsidRPr="00214EFC">
        <w:instrText xml:space="preserve"> REF _Ref56362559 \h </w:instrText>
      </w:r>
      <w:r>
        <w:instrText xml:space="preserve"> \* MERGEFORMAT </w:instrText>
      </w:r>
      <w:r w:rsidRPr="00214EFC">
        <w:fldChar w:fldCharType="separate"/>
      </w:r>
      <w:r w:rsidR="00AD1226" w:rsidRPr="00214EFC">
        <w:t xml:space="preserve">Figure S </w:t>
      </w:r>
      <w:r w:rsidR="00AD1226">
        <w:rPr>
          <w:noProof/>
        </w:rPr>
        <w:t>14</w:t>
      </w:r>
      <w:r w:rsidRPr="00214EFC">
        <w:fldChar w:fldCharType="end"/>
      </w:r>
      <w:r w:rsidRPr="00214EFC">
        <w:t xml:space="preserve">b) </w:t>
      </w:r>
      <w:r>
        <w:t>Emission drivers</w:t>
      </w:r>
    </w:p>
    <w:p w14:paraId="6C532A80" w14:textId="0BE77ECA" w:rsidR="00AA63CD" w:rsidRDefault="00AA63CD" w:rsidP="00AA63CD">
      <w:pPr>
        <w:spacing w:after="100" w:afterAutospacing="1" w:line="360" w:lineRule="auto"/>
      </w:pPr>
      <w:r w:rsidRPr="00C5101B">
        <w:t xml:space="preserve">From 2010 to 2018, Peru's GDP grew at a speed of 4.3% per year, nearly twice as the carbon emissions growth (2.4%). GDP per capita and population growth are the two main factors driving Peru's </w:t>
      </w:r>
      <w:r w:rsidR="009669F6" w:rsidRPr="009669F6">
        <w:t>CO</w:t>
      </w:r>
      <w:r w:rsidR="009669F6" w:rsidRPr="009669F6">
        <w:rPr>
          <w:vertAlign w:val="subscript"/>
        </w:rPr>
        <w:t>2</w:t>
      </w:r>
      <w:r w:rsidRPr="00C5101B">
        <w:t xml:space="preserve"> emission growth. The GDP increased to 222 billion dollars in 2018, resulting from the national infrastructure construction such as transportation highlighted by the Peruvian government: in the past ten years, the Peruvian government has implemented a series of supportive policies including investment, funding, and infrastructure construction to stimulate economic growth which directly improve national economic growth. Meanwhile, with the fast increase of population growth rate from 2010 to 2018 (0.7% in 2010, to 1.5% in 2018), the population growth is undoubtedly the second biggest contributor to Peru's domestic carbon emissions. The absolute increase in the Peruvian population, in part, is due to the young population structure, while another considerable reason is immigration growth. More and more migrants from other countries come to Peru, especially from Venezuela. By 2018, more than three million immigrants have been officially accepted by the Peruvian government. Foreign </w:t>
      </w:r>
      <w:r w:rsidRPr="00C5101B">
        <w:lastRenderedPageBreak/>
        <w:t xml:space="preserve">immigrants will become the future of energy consumption and carbon emissions contributor in Peru. Besides, the expanded transport, household, and commerce sectors contributed to the incremental emission from services, </w:t>
      </w:r>
      <w:proofErr w:type="gramStart"/>
      <w:r w:rsidRPr="00C5101B">
        <w:t>and also</w:t>
      </w:r>
      <w:proofErr w:type="gramEnd"/>
      <w:r w:rsidRPr="00C5101B">
        <w:t xml:space="preserve"> pulled the oil consumption, thus the services and the oil use drove a 3.5 Mt </w:t>
      </w:r>
      <w:r w:rsidR="009669F6" w:rsidRPr="009669F6">
        <w:t>CO</w:t>
      </w:r>
      <w:r w:rsidR="009669F6" w:rsidRPr="009669F6">
        <w:rPr>
          <w:vertAlign w:val="subscript"/>
        </w:rPr>
        <w:t>2</w:t>
      </w:r>
      <w:r w:rsidRPr="00C5101B">
        <w:t xml:space="preserve"> emission increment.</w:t>
      </w:r>
    </w:p>
    <w:p w14:paraId="342ED874" w14:textId="6FB347CD" w:rsidR="00D61A6B" w:rsidRPr="00214EFC" w:rsidRDefault="00D61A6B" w:rsidP="00AA63CD">
      <w:pPr>
        <w:spacing w:after="100" w:afterAutospacing="1" w:line="360" w:lineRule="auto"/>
      </w:pPr>
      <w:r w:rsidRPr="00214EFC">
        <w:t>(</w:t>
      </w:r>
      <w:r w:rsidR="004D051B" w:rsidRPr="00214EFC">
        <w:fldChar w:fldCharType="begin"/>
      </w:r>
      <w:r w:rsidR="004D051B" w:rsidRPr="00214EFC">
        <w:instrText xml:space="preserve"> REF _Ref56362559 \h </w:instrText>
      </w:r>
      <w:r w:rsidR="00214EFC">
        <w:instrText xml:space="preserve"> \* MERGEFORMAT </w:instrText>
      </w:r>
      <w:r w:rsidR="004D051B" w:rsidRPr="00214EFC">
        <w:fldChar w:fldCharType="separate"/>
      </w:r>
      <w:r w:rsidR="00AD1226" w:rsidRPr="00214EFC">
        <w:t xml:space="preserve">Figure S </w:t>
      </w:r>
      <w:r w:rsidR="00AD1226">
        <w:rPr>
          <w:noProof/>
        </w:rPr>
        <w:t>14</w:t>
      </w:r>
      <w:r w:rsidR="004D051B" w:rsidRPr="00214EFC">
        <w:fldChar w:fldCharType="end"/>
      </w:r>
      <w:r w:rsidR="009C0539">
        <w:t>c</w:t>
      </w:r>
      <w:r w:rsidRPr="00214EFC">
        <w:t xml:space="preserve">) </w:t>
      </w:r>
      <w:r w:rsidR="009C0539">
        <w:t>Emissions by sector</w:t>
      </w:r>
    </w:p>
    <w:p w14:paraId="5F5986D5" w14:textId="76F2F643" w:rsidR="00052B68" w:rsidRPr="00214EFC" w:rsidRDefault="00052B68" w:rsidP="00AA63CD">
      <w:pPr>
        <w:spacing w:after="100" w:afterAutospacing="1" w:line="360" w:lineRule="auto"/>
      </w:pPr>
      <w:r w:rsidRPr="00214EFC">
        <w:t xml:space="preserve">The </w:t>
      </w:r>
      <w:r w:rsidR="00D1798B" w:rsidRPr="00214EFC">
        <w:t xml:space="preserve">road </w:t>
      </w:r>
      <w:r w:rsidRPr="00214EFC">
        <w:t>transport sector is Peru's main emitter, and its emissions are growing fast, especially from 2014 to 2018</w:t>
      </w:r>
      <w:r w:rsidR="006F6E47" w:rsidRPr="00214EFC">
        <w:t>.It is due to the low turnover rate of the fleet, poor driving habits, insufficient traffic regulations and lack of vehicle maintenance</w:t>
      </w:r>
      <w:r w:rsidRPr="00214EFC">
        <w:t>.</w:t>
      </w:r>
      <w:r w:rsidR="006F6E47" w:rsidRPr="00214EFC">
        <w:t xml:space="preserve"> Additionally, </w:t>
      </w:r>
      <w:proofErr w:type="gramStart"/>
      <w:r w:rsidR="006F6E47" w:rsidRPr="00214EFC">
        <w:t>a very bad</w:t>
      </w:r>
      <w:proofErr w:type="gramEnd"/>
      <w:r w:rsidR="006F6E47" w:rsidRPr="00214EFC">
        <w:t xml:space="preserve"> fuel price policy that does not promote the use of clean fuels. Specially, Peru uses stabilization fund to ease price of fossil fuel volatility. </w:t>
      </w:r>
      <w:r w:rsidR="00534EF8" w:rsidRPr="00214EFC">
        <w:t>Additionally,</w:t>
      </w:r>
      <w:r w:rsidR="00B565D5" w:rsidRPr="00214EFC">
        <w:t xml:space="preserve"> </w:t>
      </w:r>
      <w:r w:rsidR="009669F6" w:rsidRPr="009669F6">
        <w:t>CO</w:t>
      </w:r>
      <w:r w:rsidR="009669F6" w:rsidRPr="009669F6">
        <w:rPr>
          <w:vertAlign w:val="subscript"/>
        </w:rPr>
        <w:t>2</w:t>
      </w:r>
      <w:r w:rsidR="00B565D5" w:rsidRPr="00214EFC">
        <w:t xml:space="preserve"> emissions from shipping and air transport have also increased. </w:t>
      </w:r>
      <w:r w:rsidRPr="00214EFC">
        <w:t xml:space="preserve">Peruvian government is constantly promoting the renovation and expansion of the coastal railway. On shipping transportation, government also works on a port expansion to meet the needs of commercial shipping. For example, the expansion of Port of Callao and the new construction of Port of </w:t>
      </w:r>
      <w:proofErr w:type="spellStart"/>
      <w:r w:rsidRPr="00214EFC">
        <w:t>Paita</w:t>
      </w:r>
      <w:proofErr w:type="spellEnd"/>
      <w:r w:rsidR="00D1798B" w:rsidRPr="00214EFC">
        <w:t>.</w:t>
      </w:r>
      <w:r w:rsidRPr="00214EFC">
        <w:t xml:space="preserve"> </w:t>
      </w:r>
      <w:r w:rsidR="00D1798B" w:rsidRPr="00214EFC">
        <w:t>Ov</w:t>
      </w:r>
      <w:r w:rsidRPr="00214EFC">
        <w:t xml:space="preserve">erall </w:t>
      </w:r>
      <w:r w:rsidR="009669F6" w:rsidRPr="009669F6">
        <w:t>CO</w:t>
      </w:r>
      <w:r w:rsidR="009669F6" w:rsidRPr="009669F6">
        <w:rPr>
          <w:vertAlign w:val="subscript"/>
        </w:rPr>
        <w:t>2</w:t>
      </w:r>
      <w:r w:rsidRPr="00214EFC">
        <w:t xml:space="preserve"> emissions in the transportation </w:t>
      </w:r>
      <w:r w:rsidR="00534EF8" w:rsidRPr="00214EFC">
        <w:t>sector</w:t>
      </w:r>
      <w:r w:rsidRPr="00214EFC">
        <w:t xml:space="preserve"> increased sharply from 2010 to 2018.</w:t>
      </w:r>
    </w:p>
    <w:p w14:paraId="50807B1C" w14:textId="2C187159" w:rsidR="00534EF8" w:rsidRPr="00214EFC" w:rsidRDefault="00052B68" w:rsidP="00AA63CD">
      <w:pPr>
        <w:spacing w:after="100" w:afterAutospacing="1" w:line="360" w:lineRule="auto"/>
      </w:pPr>
      <w:r w:rsidRPr="00214EFC">
        <w:t xml:space="preserve">Meanwhile, with the fast increase of population growth rate from 2010 to 2018 (0.7% in 2010, to 1.5% in 2018), makes residential energy consumption the second </w:t>
      </w:r>
      <w:r w:rsidR="00534EF8" w:rsidRPr="00214EFC">
        <w:t xml:space="preserve">increase </w:t>
      </w:r>
      <w:r w:rsidRPr="00214EFC">
        <w:t xml:space="preserve">to </w:t>
      </w:r>
      <w:r w:rsidR="009669F6" w:rsidRPr="009669F6">
        <w:t>CO</w:t>
      </w:r>
      <w:r w:rsidR="009669F6" w:rsidRPr="009669F6">
        <w:rPr>
          <w:vertAlign w:val="subscript"/>
        </w:rPr>
        <w:t>2</w:t>
      </w:r>
      <w:r w:rsidRPr="00214EFC">
        <w:t xml:space="preserve"> emissions. The absolute increase in the Peruvian population, in part, is due to the young population structure, a large proportion of population are of childbearing age. Another reason is immigration. More and more migrants come to Peru, especially from Venezuela. By 2018, more than three million immigrants have been officially accepted by the Peruvian government. Among them, there are 800,000 international migrants from Venezuela and this number is still growing. Foreign immigrants become the energy consumption and carbon emissions contributor of Peru</w:t>
      </w:r>
      <w:r w:rsidR="00534EF8" w:rsidRPr="00214EFC">
        <w:t xml:space="preserve"> from 2014 to 2018</w:t>
      </w:r>
      <w:r w:rsidRPr="00214EFC">
        <w:t>.</w:t>
      </w:r>
    </w:p>
    <w:p w14:paraId="13E3394E" w14:textId="5D358A98" w:rsidR="00534EF8" w:rsidRPr="00214EFC" w:rsidRDefault="00534EF8" w:rsidP="00AA63CD">
      <w:pPr>
        <w:spacing w:after="100" w:afterAutospacing="1" w:line="360" w:lineRule="auto"/>
      </w:pPr>
      <w:r w:rsidRPr="00214EFC">
        <w:t>(</w:t>
      </w:r>
      <w:r w:rsidR="004D051B" w:rsidRPr="00214EFC">
        <w:fldChar w:fldCharType="begin"/>
      </w:r>
      <w:r w:rsidR="004D051B" w:rsidRPr="00214EFC">
        <w:instrText xml:space="preserve"> REF _Ref56362559 \h </w:instrText>
      </w:r>
      <w:r w:rsidR="00214EFC">
        <w:instrText xml:space="preserve"> \* MERGEFORMAT </w:instrText>
      </w:r>
      <w:r w:rsidR="004D051B" w:rsidRPr="00214EFC">
        <w:fldChar w:fldCharType="separate"/>
      </w:r>
      <w:r w:rsidR="00AD1226" w:rsidRPr="00214EFC">
        <w:t xml:space="preserve">Figure S </w:t>
      </w:r>
      <w:r w:rsidR="00AD1226">
        <w:rPr>
          <w:noProof/>
        </w:rPr>
        <w:t>14</w:t>
      </w:r>
      <w:r w:rsidR="004D051B" w:rsidRPr="00214EFC">
        <w:fldChar w:fldCharType="end"/>
      </w:r>
      <w:r w:rsidR="009C0539">
        <w:t>d</w:t>
      </w:r>
      <w:r w:rsidRPr="00214EFC">
        <w:t xml:space="preserve">) </w:t>
      </w:r>
      <w:r w:rsidR="009C0539">
        <w:t>Emissions by fuel type and industry</w:t>
      </w:r>
    </w:p>
    <w:p w14:paraId="036C1047" w14:textId="03780932" w:rsidR="00534EF8" w:rsidRPr="00214EFC" w:rsidRDefault="00534EF8" w:rsidP="00AA63CD">
      <w:pPr>
        <w:spacing w:after="100" w:afterAutospacing="1" w:line="360" w:lineRule="auto"/>
      </w:pPr>
      <w:proofErr w:type="gramStart"/>
      <w:r w:rsidRPr="00214EFC">
        <w:t>On the whole</w:t>
      </w:r>
      <w:proofErr w:type="gramEnd"/>
      <w:r w:rsidRPr="00214EFC">
        <w:t xml:space="preserve">, Peru's energy structure has remained stable during this research period. </w:t>
      </w:r>
      <w:r w:rsidR="00052B68" w:rsidRPr="00214EFC">
        <w:t>The main energy sources of Peru are natural gas and oil.</w:t>
      </w:r>
      <w:r w:rsidR="00C83DC3" w:rsidRPr="00214EFC">
        <w:t xml:space="preserve"> Peru's oil production is not enough to meet </w:t>
      </w:r>
      <w:r w:rsidR="00C83DC3" w:rsidRPr="00214EFC">
        <w:lastRenderedPageBreak/>
        <w:t xml:space="preserve">domestic demand. Due to its limited refining capacity, Peru exports crude oil and imports refined oil. Natural gas is mainly used for power generation, automobile fuel and household fuel. In recent years, Peru has been increasing its efforts to explore and develop oil and gas </w:t>
      </w:r>
      <w:proofErr w:type="gramStart"/>
      <w:r w:rsidR="00C83DC3" w:rsidRPr="00214EFC">
        <w:t>resources, and</w:t>
      </w:r>
      <w:proofErr w:type="gramEnd"/>
      <w:r w:rsidR="00C83DC3" w:rsidRPr="00214EFC">
        <w:t xml:space="preserve"> has signed sixty-eight oil and gas exploration and development contracts in Peru's coastal, mountainous and rainforest areas. The main oil field is </w:t>
      </w:r>
      <w:proofErr w:type="spellStart"/>
      <w:r w:rsidR="00C83DC3" w:rsidRPr="00214EFC">
        <w:t>Tarala</w:t>
      </w:r>
      <w:proofErr w:type="spellEnd"/>
      <w:r w:rsidR="00C83DC3" w:rsidRPr="00214EFC">
        <w:t xml:space="preserve"> oil field along the northern Pacific coast, and the largest gas field is </w:t>
      </w:r>
      <w:proofErr w:type="spellStart"/>
      <w:r w:rsidR="00C83DC3" w:rsidRPr="00214EFC">
        <w:t>Camisea</w:t>
      </w:r>
      <w:proofErr w:type="spellEnd"/>
      <w:r w:rsidR="00C83DC3" w:rsidRPr="00214EFC">
        <w:t xml:space="preserve"> gas field in the southeast. In November 2014, PetroChina completed the delivery of major oil and gas assets of Petrobras in Peru, becoming the largest oil company in Peru, accounting for more than half of oil production.</w:t>
      </w:r>
    </w:p>
    <w:p w14:paraId="4CAD1360" w14:textId="5CD65E5C" w:rsidR="00D61A6B" w:rsidRPr="00214EFC" w:rsidRDefault="00D61A6B" w:rsidP="00AA63CD">
      <w:pPr>
        <w:spacing w:after="100" w:afterAutospacing="1" w:line="360" w:lineRule="auto"/>
      </w:pPr>
      <w:r w:rsidRPr="00214EFC">
        <w:t>(</w:t>
      </w:r>
      <w:r w:rsidR="004D051B" w:rsidRPr="00214EFC">
        <w:fldChar w:fldCharType="begin"/>
      </w:r>
      <w:r w:rsidR="004D051B" w:rsidRPr="00214EFC">
        <w:instrText xml:space="preserve"> REF _Ref56362559 \h </w:instrText>
      </w:r>
      <w:r w:rsidR="00214EFC">
        <w:instrText xml:space="preserve"> \* MERGEFORMAT </w:instrText>
      </w:r>
      <w:r w:rsidR="004D051B" w:rsidRPr="00214EFC">
        <w:fldChar w:fldCharType="separate"/>
      </w:r>
      <w:r w:rsidR="00AD1226" w:rsidRPr="00214EFC">
        <w:t xml:space="preserve">Figure S </w:t>
      </w:r>
      <w:r w:rsidR="00AD1226">
        <w:rPr>
          <w:noProof/>
        </w:rPr>
        <w:t>14</w:t>
      </w:r>
      <w:r w:rsidR="004D051B" w:rsidRPr="00214EFC">
        <w:fldChar w:fldCharType="end"/>
      </w:r>
      <w:r w:rsidR="009C0539">
        <w:t>e</w:t>
      </w:r>
      <w:r w:rsidRPr="00214EFC">
        <w:t>) Trade pattern</w:t>
      </w:r>
    </w:p>
    <w:p w14:paraId="1034C98A" w14:textId="45B42CC2" w:rsidR="00052B68" w:rsidRPr="00214EFC" w:rsidRDefault="004556F0" w:rsidP="00AA63CD">
      <w:pPr>
        <w:spacing w:after="100" w:afterAutospacing="1" w:line="360" w:lineRule="auto"/>
      </w:pPr>
      <w:r w:rsidRPr="00214EFC">
        <w:t>In terms of foreign trade, Peru had a significant increase in the import of transportation equipment such as railway equipment from China, Spain, Italy, Mexico, and Brazil. The wide application of these vehicles has led to the fast growth of Peru’s transport emission. Great importance the Peruvian government lays on national transportation infrastructure construction.</w:t>
      </w:r>
      <w:r w:rsidR="00D61A6B" w:rsidRPr="00214EFC">
        <w:t xml:space="preserve"> For export,</w:t>
      </w:r>
      <w:r w:rsidR="00052B68" w:rsidRPr="00214EFC">
        <w:t xml:space="preserve"> </w:t>
      </w:r>
      <w:r w:rsidR="00D61A6B" w:rsidRPr="00214EFC">
        <w:t>s</w:t>
      </w:r>
      <w:r w:rsidR="00052B68" w:rsidRPr="00214EFC">
        <w:t>hips and boats are the main export vehicle commodities, especially during 2010-2014.</w:t>
      </w:r>
      <w:r w:rsidR="00D61A6B" w:rsidRPr="00214EFC">
        <w:t xml:space="preserve"> Additionally, the export of </w:t>
      </w:r>
      <w:r w:rsidR="00052B68" w:rsidRPr="00214EFC">
        <w:t>motor vehicles</w:t>
      </w:r>
      <w:r w:rsidR="00D61A6B" w:rsidRPr="00214EFC">
        <w:t xml:space="preserve"> has the largest growing,</w:t>
      </w:r>
      <w:r w:rsidR="00052B68" w:rsidRPr="00214EFC">
        <w:t xml:space="preserve"> </w:t>
      </w:r>
      <w:r w:rsidR="00D61A6B" w:rsidRPr="00214EFC">
        <w:t xml:space="preserve">increased by </w:t>
      </w:r>
      <w:r w:rsidR="00052B68" w:rsidRPr="00214EFC">
        <w:t>22.1%</w:t>
      </w:r>
      <w:r w:rsidR="00D61A6B" w:rsidRPr="00214EFC">
        <w:t xml:space="preserve"> from 2010 to 2018</w:t>
      </w:r>
      <w:r w:rsidR="00052B68" w:rsidRPr="00214EFC">
        <w:t xml:space="preserve">. </w:t>
      </w:r>
    </w:p>
    <w:p w14:paraId="54247EF6" w14:textId="0DAE5F96" w:rsidR="00052B68" w:rsidRPr="00214EFC" w:rsidRDefault="003860E6" w:rsidP="00AA63CD">
      <w:pPr>
        <w:spacing w:after="100" w:afterAutospacing="1" w:line="360" w:lineRule="auto"/>
      </w:pPr>
      <w:r>
        <w:rPr>
          <w:noProof/>
        </w:rPr>
        <w:drawing>
          <wp:inline distT="0" distB="0" distL="0" distR="0" wp14:anchorId="3A2CB238" wp14:editId="180B89B3">
            <wp:extent cx="5270500" cy="3036570"/>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0500" cy="3036570"/>
                    </a:xfrm>
                    <a:prstGeom prst="rect">
                      <a:avLst/>
                    </a:prstGeom>
                    <a:noFill/>
                    <a:ln>
                      <a:noFill/>
                    </a:ln>
                  </pic:spPr>
                </pic:pic>
              </a:graphicData>
            </a:graphic>
          </wp:inline>
        </w:drawing>
      </w:r>
    </w:p>
    <w:p w14:paraId="77B305A3" w14:textId="4EE1C357" w:rsidR="00A070DC" w:rsidRPr="00214EFC" w:rsidRDefault="00052B68" w:rsidP="00AA63CD">
      <w:pPr>
        <w:pStyle w:val="af6"/>
        <w:spacing w:after="100" w:afterAutospacing="1" w:line="360" w:lineRule="auto"/>
      </w:pPr>
      <w:bookmarkStart w:id="56" w:name="_Ref56362559"/>
      <w:r w:rsidRPr="00214EFC">
        <w:t xml:space="preserve">Figure S </w:t>
      </w:r>
      <w:fldSimple w:instr=" SEQ Figure_S \* ARABIC ">
        <w:r w:rsidR="001E11D5">
          <w:rPr>
            <w:noProof/>
          </w:rPr>
          <w:t>14</w:t>
        </w:r>
      </w:fldSimple>
      <w:bookmarkEnd w:id="56"/>
      <w:r w:rsidRPr="00214EFC">
        <w:t xml:space="preserve"> Relative increase of </w:t>
      </w:r>
      <w:r w:rsidR="009669F6" w:rsidRPr="009669F6">
        <w:t>CO</w:t>
      </w:r>
      <w:r w:rsidR="009669F6" w:rsidRPr="009669F6">
        <w:rPr>
          <w:vertAlign w:val="subscript"/>
        </w:rPr>
        <w:t>2</w:t>
      </w:r>
      <w:r w:rsidRPr="00214EFC">
        <w:t xml:space="preserve"> emissions and GDP (a), </w:t>
      </w:r>
      <w:r w:rsidR="00382DB3">
        <w:t xml:space="preserve">emissions change of main drivers (b, in </w:t>
      </w:r>
      <w:r w:rsidR="00382DB3">
        <w:lastRenderedPageBreak/>
        <w:t>Mt),</w:t>
      </w:r>
      <w:r w:rsidR="00382DB3" w:rsidRPr="00214EFC">
        <w:t xml:space="preserve"> emissions by sector (</w:t>
      </w:r>
      <w:r w:rsidR="00382DB3">
        <w:t>c</w:t>
      </w:r>
      <w:r w:rsidR="00382DB3" w:rsidRPr="00214EFC">
        <w:t>, in 2010, 2014 and 2018 from the inner circle to outer ones), emissions by energy and industry (</w:t>
      </w:r>
      <w:r w:rsidR="00382DB3">
        <w:t>d</w:t>
      </w:r>
      <w:r w:rsidR="00382DB3" w:rsidRPr="00214EFC">
        <w:t>), and international trade</w:t>
      </w:r>
      <w:r w:rsidR="00382DB3">
        <w:t xml:space="preserve"> changes</w:t>
      </w:r>
      <w:r w:rsidR="00382DB3" w:rsidRPr="00214EFC">
        <w:t xml:space="preserve"> (</w:t>
      </w:r>
      <w:r w:rsidR="00382DB3">
        <w:t>e</w:t>
      </w:r>
      <w:r w:rsidR="00382DB3" w:rsidRPr="00214EFC">
        <w:t>)</w:t>
      </w:r>
      <w:r w:rsidRPr="00214EFC">
        <w:t xml:space="preserve"> of Myanmar. </w:t>
      </w:r>
    </w:p>
    <w:p w14:paraId="7D82EE8B" w14:textId="77777777" w:rsidR="00052B68" w:rsidRPr="00214EFC" w:rsidRDefault="00052B68" w:rsidP="00AA63CD">
      <w:pPr>
        <w:spacing w:after="100" w:afterAutospacing="1" w:line="360" w:lineRule="auto"/>
      </w:pPr>
    </w:p>
    <w:p w14:paraId="230642FC" w14:textId="638D634D" w:rsidR="00052B68" w:rsidRPr="00214EFC" w:rsidRDefault="009669F6" w:rsidP="00AA63CD">
      <w:pPr>
        <w:pStyle w:val="2"/>
        <w:numPr>
          <w:ilvl w:val="1"/>
          <w:numId w:val="47"/>
        </w:numPr>
        <w:spacing w:after="100" w:afterAutospacing="1" w:line="360" w:lineRule="auto"/>
        <w:ind w:firstLine="0"/>
      </w:pPr>
      <w:r w:rsidRPr="009669F6">
        <w:t>CO</w:t>
      </w:r>
      <w:r w:rsidRPr="009669F6">
        <w:rPr>
          <w:vertAlign w:val="subscript"/>
        </w:rPr>
        <w:t>2</w:t>
      </w:r>
      <w:r w:rsidR="00052B68" w:rsidRPr="00214EFC">
        <w:t xml:space="preserve"> emissions under scenarios over 2020-2040</w:t>
      </w:r>
      <w:r w:rsidR="004E4863">
        <w:t xml:space="preserve"> </w:t>
      </w:r>
    </w:p>
    <w:p w14:paraId="31EEA267" w14:textId="7D8E2FCE" w:rsidR="00971C29" w:rsidRPr="00971C29" w:rsidRDefault="00971C29" w:rsidP="00AA63CD">
      <w:pPr>
        <w:spacing w:after="100" w:afterAutospacing="1" w:line="360" w:lineRule="auto"/>
      </w:pPr>
      <w:r>
        <w:rPr>
          <w:rFonts w:hint="eastAsia"/>
        </w:rPr>
        <w:t>2</w:t>
      </w:r>
      <w:r>
        <w:t xml:space="preserve">.3.1 </w:t>
      </w:r>
      <w:r w:rsidR="009669F6" w:rsidRPr="009669F6">
        <w:t>CO</w:t>
      </w:r>
      <w:r w:rsidR="009669F6" w:rsidRPr="009669F6">
        <w:rPr>
          <w:vertAlign w:val="subscript"/>
        </w:rPr>
        <w:t>2</w:t>
      </w:r>
      <w:r>
        <w:t xml:space="preserve"> emissions over COVID period under different lockdown scenarios</w:t>
      </w:r>
    </w:p>
    <w:p w14:paraId="42447405" w14:textId="1AC4A2F0" w:rsidR="00052B68" w:rsidRPr="00214EFC" w:rsidRDefault="00052B68" w:rsidP="00AA63CD">
      <w:pPr>
        <w:spacing w:after="100" w:afterAutospacing="1" w:line="360" w:lineRule="auto"/>
      </w:pPr>
      <w:r w:rsidRPr="00214EFC">
        <w:t xml:space="preserve">The COVID-19 impact to emission is covered during 2020-2024, under </w:t>
      </w:r>
      <w:r w:rsidR="00E0195B" w:rsidRPr="00214EFC">
        <w:t>scenario</w:t>
      </w:r>
      <w:r w:rsidRPr="00214EFC">
        <w:t xml:space="preserve">s including 1) the baseline </w:t>
      </w:r>
      <w:r w:rsidR="00E0195B" w:rsidRPr="00214EFC">
        <w:t>scenario</w:t>
      </w:r>
      <w:r w:rsidRPr="00214EFC">
        <w:t>, 2)</w:t>
      </w:r>
      <w:r w:rsidR="00EF43B5" w:rsidRPr="00EF43B5">
        <w:t xml:space="preserve"> </w:t>
      </w:r>
      <w:r w:rsidR="00EF43B5" w:rsidRPr="00214EFC">
        <w:t xml:space="preserve">the mildest COVID lockdown scenario, </w:t>
      </w:r>
      <w:r w:rsidRPr="00214EFC">
        <w:t xml:space="preserve">3) </w:t>
      </w:r>
      <w:r w:rsidR="00EF43B5" w:rsidRPr="00214EFC">
        <w:t>the default COVID lockdown scenario</w:t>
      </w:r>
      <w:r w:rsidR="00EF43B5">
        <w:t xml:space="preserve">, </w:t>
      </w:r>
      <w:r w:rsidRPr="00214EFC">
        <w:t xml:space="preserve">and 4) the </w:t>
      </w:r>
      <w:r w:rsidR="001A0BFC">
        <w:t>severe</w:t>
      </w:r>
      <w:r w:rsidRPr="00214EFC">
        <w:t xml:space="preserve"> COVID lockdown assumption</w:t>
      </w:r>
      <w:r w:rsidR="00EF43B5">
        <w:t xml:space="preserve">, which were defined in section </w:t>
      </w:r>
      <w:r w:rsidR="00EF43B5">
        <w:fldChar w:fldCharType="begin"/>
      </w:r>
      <w:r w:rsidR="00EF43B5">
        <w:instrText xml:space="preserve"> REF _Ref67686756 \r \h </w:instrText>
      </w:r>
      <w:r w:rsidR="00EF43B5">
        <w:fldChar w:fldCharType="separate"/>
      </w:r>
      <w:r w:rsidR="00E309AB">
        <w:t>1.1</w:t>
      </w:r>
      <w:r w:rsidR="00EF43B5">
        <w:fldChar w:fldCharType="end"/>
      </w:r>
      <w:r w:rsidRPr="00214EFC">
        <w:t xml:space="preserve">. After 2024 with each </w:t>
      </w:r>
      <w:r w:rsidR="00E0195B" w:rsidRPr="00214EFC">
        <w:t>scenario</w:t>
      </w:r>
      <w:r w:rsidRPr="00214EFC">
        <w:t xml:space="preserve"> of COVID impact, supposing the COVID is defeated and countries return to normal development, we designed </w:t>
      </w:r>
      <w:r w:rsidR="00FC5765">
        <w:t xml:space="preserve">three scenarios including the Weak Policy scenario, Low Carbon scenario, and Extreme Low Carbon scenario (for details, see section </w:t>
      </w:r>
      <w:r w:rsidR="00FC5765">
        <w:fldChar w:fldCharType="begin"/>
      </w:r>
      <w:r w:rsidR="00FC5765">
        <w:instrText xml:space="preserve"> REF _Ref67687275 \r \h </w:instrText>
      </w:r>
      <w:r w:rsidR="00FC5765">
        <w:fldChar w:fldCharType="separate"/>
      </w:r>
      <w:r w:rsidR="00E309AB">
        <w:t>1.2</w:t>
      </w:r>
      <w:r w:rsidR="00FC5765">
        <w:fldChar w:fldCharType="end"/>
      </w:r>
      <w:r w:rsidR="00FC5765">
        <w:t>).</w:t>
      </w:r>
      <w:r w:rsidR="00EF43B5" w:rsidRPr="00EF43B5">
        <w:t xml:space="preserve"> </w:t>
      </w:r>
      <w:r w:rsidR="00FC5765">
        <w:t xml:space="preserve">Here we described how the different COVID lockdown scenarios affect the emerging emitters’ </w:t>
      </w:r>
      <w:r w:rsidR="009669F6" w:rsidRPr="009669F6">
        <w:t>CO</w:t>
      </w:r>
      <w:r w:rsidR="009669F6" w:rsidRPr="009669F6">
        <w:rPr>
          <w:vertAlign w:val="subscript"/>
        </w:rPr>
        <w:t>2</w:t>
      </w:r>
      <w:r w:rsidR="00FC5765">
        <w:t xml:space="preserve"> emissions, taking Myanmar, Ethiopia, </w:t>
      </w:r>
      <w:r w:rsidR="009669F6">
        <w:t>Vietnam</w:t>
      </w:r>
      <w:r w:rsidR="00FC5765">
        <w:t xml:space="preserve">, </w:t>
      </w:r>
      <w:proofErr w:type="gramStart"/>
      <w:r w:rsidR="00FC5765">
        <w:t>Uganda</w:t>
      </w:r>
      <w:proofErr w:type="gramEnd"/>
      <w:r w:rsidR="00FC5765">
        <w:t xml:space="preserve"> and Peru as examples. </w:t>
      </w:r>
      <w:r w:rsidR="00EF43B5">
        <w:t xml:space="preserve">Detailed emissions </w:t>
      </w:r>
      <w:r w:rsidR="00EF43B5">
        <w:rPr>
          <w:rFonts w:hint="eastAsia"/>
        </w:rPr>
        <w:t>es</w:t>
      </w:r>
      <w:r w:rsidR="00EF43B5">
        <w:t>timations of the COVID period and post-COVID period are in the supplementary data</w:t>
      </w:r>
      <w:r w:rsidR="00FC5765">
        <w:t xml:space="preserve"> (section </w:t>
      </w:r>
      <w:r w:rsidR="00FC5765">
        <w:fldChar w:fldCharType="begin"/>
      </w:r>
      <w:r w:rsidR="00FC5765">
        <w:instrText xml:space="preserve"> REF _Ref67687366 \r \h </w:instrText>
      </w:r>
      <w:r w:rsidR="00FC5765">
        <w:fldChar w:fldCharType="separate"/>
      </w:r>
      <w:r w:rsidR="00E309AB">
        <w:t>3</w:t>
      </w:r>
      <w:r w:rsidR="00FC5765">
        <w:fldChar w:fldCharType="end"/>
      </w:r>
      <w:r w:rsidR="00FC5765">
        <w:t>)</w:t>
      </w:r>
      <w:r w:rsidR="00EF43B5">
        <w:t>.</w:t>
      </w:r>
    </w:p>
    <w:p w14:paraId="0A7DEF9D" w14:textId="66983491" w:rsidR="00EC4845" w:rsidRPr="00214EFC" w:rsidRDefault="00052B68" w:rsidP="00AA63CD">
      <w:pPr>
        <w:spacing w:after="100" w:afterAutospacing="1" w:line="360" w:lineRule="auto"/>
      </w:pPr>
      <w:r w:rsidRPr="00214EFC">
        <w:t xml:space="preserve">COVID impact causes a visible decline to the sum of the countries’ emissions. Compared to the baseline </w:t>
      </w:r>
      <w:r w:rsidR="00E0195B" w:rsidRPr="00214EFC">
        <w:t>scenario</w:t>
      </w:r>
      <w:r w:rsidRPr="00214EFC">
        <w:t xml:space="preserve"> without COVID, the emissions under the default COVID lockdown </w:t>
      </w:r>
      <w:r w:rsidR="00E0195B" w:rsidRPr="00214EFC">
        <w:t>scenario</w:t>
      </w:r>
      <w:r w:rsidRPr="00214EFC">
        <w:t xml:space="preserve"> also dropped by nearly 22% at the first lockdown and took a longer time to recover to nearly 96% of the baseline level. While the emissions under the </w:t>
      </w:r>
      <w:r w:rsidR="00E0195B" w:rsidRPr="00214EFC">
        <w:t>scenario</w:t>
      </w:r>
      <w:r w:rsidRPr="00214EFC">
        <w:t xml:space="preserve"> of the mildest COVID lockdown dropped by nearly 22% at the first lockdown and then took two years to recover to the baseline level, and the emissions under the </w:t>
      </w:r>
      <w:r w:rsidR="001A0BFC">
        <w:t>severe</w:t>
      </w:r>
      <w:r w:rsidRPr="00214EFC">
        <w:t xml:space="preserve"> COVID lockdown </w:t>
      </w:r>
      <w:r w:rsidR="00E0195B" w:rsidRPr="00214EFC">
        <w:t>scenario</w:t>
      </w:r>
      <w:r w:rsidRPr="00214EFC">
        <w:t xml:space="preserve"> undergoes eight times of drop and rise from 2020 to </w:t>
      </w:r>
      <w:proofErr w:type="gramStart"/>
      <w:r w:rsidRPr="00214EFC">
        <w:t>2024, and</w:t>
      </w:r>
      <w:proofErr w:type="gramEnd"/>
      <w:r w:rsidRPr="00214EFC">
        <w:t xml:space="preserve"> reaches the valley of 66% of the baseline level in 2023; after the eighth </w:t>
      </w:r>
      <w:r w:rsidR="001A0BFC">
        <w:t>severe</w:t>
      </w:r>
      <w:r w:rsidRPr="00214EFC">
        <w:t xml:space="preserve"> lockdown, the emissions surges to nearly 92% of the baseline level in 2024. </w:t>
      </w:r>
    </w:p>
    <w:p w14:paraId="60F6B837" w14:textId="6D9473DB" w:rsidR="00EC4845" w:rsidRPr="00214EFC" w:rsidRDefault="00052B68" w:rsidP="00AA63CD">
      <w:pPr>
        <w:spacing w:after="100" w:afterAutospacing="1" w:line="360" w:lineRule="auto"/>
      </w:pPr>
      <w:r w:rsidRPr="00214EFC">
        <w:t xml:space="preserve">Myanmar is projected to experience a slow growth from 2020 to 2024 without COVID impact, and the emissions under the default lockdown </w:t>
      </w:r>
      <w:r w:rsidR="00E0195B" w:rsidRPr="00214EFC">
        <w:t>scenario</w:t>
      </w:r>
      <w:r w:rsidRPr="00214EFC">
        <w:t xml:space="preserve"> drop by about 25% as well and recover </w:t>
      </w:r>
      <w:r w:rsidRPr="00214EFC">
        <w:lastRenderedPageBreak/>
        <w:t xml:space="preserve">to 96% of the baseline level; while the emissions under the mildest lockdown </w:t>
      </w:r>
      <w:r w:rsidR="00E0195B" w:rsidRPr="00214EFC">
        <w:t>scenario</w:t>
      </w:r>
      <w:r w:rsidRPr="00214EFC">
        <w:t xml:space="preserve"> drop by about 25% at the first lockdown, and revive to the baseline level in 2022; and the emissions under the </w:t>
      </w:r>
      <w:r w:rsidR="001A0BFC">
        <w:t>severe</w:t>
      </w:r>
      <w:r w:rsidRPr="00214EFC">
        <w:t xml:space="preserve"> lockdown </w:t>
      </w:r>
      <w:r w:rsidR="00E0195B" w:rsidRPr="00214EFC">
        <w:t>scenario</w:t>
      </w:r>
      <w:r w:rsidRPr="00214EFC">
        <w:t xml:space="preserve"> declines by nearly 36% after four-year-long drops and rises, and recovers to nearly 93% of the baseline level. </w:t>
      </w:r>
    </w:p>
    <w:p w14:paraId="24BF6697" w14:textId="0FC72879" w:rsidR="00EC4845" w:rsidRPr="00214EFC" w:rsidRDefault="00052B68" w:rsidP="00AA63CD">
      <w:pPr>
        <w:spacing w:after="100" w:afterAutospacing="1" w:line="360" w:lineRule="auto"/>
      </w:pPr>
      <w:r w:rsidRPr="00214EFC">
        <w:t xml:space="preserve">Ethiopia is projected to experience a moderate growth from 2020 to 2024 without COVID impact, and the emissions under the default lockdown </w:t>
      </w:r>
      <w:r w:rsidR="00E0195B" w:rsidRPr="00214EFC">
        <w:t>scenario</w:t>
      </w:r>
      <w:r w:rsidRPr="00214EFC">
        <w:t xml:space="preserve"> drop by about 25% as well and recovers to 96% of the baseline level in 2024. While the emissions under the mildest lockdown </w:t>
      </w:r>
      <w:r w:rsidR="00E0195B" w:rsidRPr="00214EFC">
        <w:t>scenario</w:t>
      </w:r>
      <w:r w:rsidRPr="00214EFC">
        <w:t xml:space="preserve"> drop by about 25% at the first lockdown, and back to the baseline level in 2022; and the emissions under the </w:t>
      </w:r>
      <w:r w:rsidR="001A0BFC">
        <w:t>severe</w:t>
      </w:r>
      <w:r w:rsidRPr="00214EFC">
        <w:t xml:space="preserve"> lockdown </w:t>
      </w:r>
      <w:r w:rsidR="00E0195B" w:rsidRPr="00214EFC">
        <w:t>scenario</w:t>
      </w:r>
      <w:r w:rsidRPr="00214EFC">
        <w:t xml:space="preserve"> declines by nearly 36% after four-year-long drops and </w:t>
      </w:r>
      <w:proofErr w:type="gramStart"/>
      <w:r w:rsidRPr="00214EFC">
        <w:t>rises, and</w:t>
      </w:r>
      <w:proofErr w:type="gramEnd"/>
      <w:r w:rsidRPr="00214EFC">
        <w:t xml:space="preserve"> recovers to nearly 92% of the baseline level. </w:t>
      </w:r>
    </w:p>
    <w:p w14:paraId="7A520DA6" w14:textId="71F61E03" w:rsidR="00EC4845" w:rsidRPr="00214EFC" w:rsidRDefault="009669F6" w:rsidP="00AA63CD">
      <w:pPr>
        <w:spacing w:after="100" w:afterAutospacing="1" w:line="360" w:lineRule="auto"/>
      </w:pPr>
      <w:r>
        <w:t>Vietnam</w:t>
      </w:r>
      <w:r w:rsidR="00052B68" w:rsidRPr="00214EFC">
        <w:t xml:space="preserve"> is projected to maintain a rapid growth from 2020 to 2024 without COVID impact, and the emissions under the default lockdown </w:t>
      </w:r>
      <w:r w:rsidR="00E0195B" w:rsidRPr="00214EFC">
        <w:t>scenario</w:t>
      </w:r>
      <w:r w:rsidR="00052B68" w:rsidRPr="00214EFC">
        <w:t xml:space="preserve"> drops by about 10% as well and recover to 95% of the baseline level. While the emissions under the mildest lockdown </w:t>
      </w:r>
      <w:r w:rsidR="00E0195B" w:rsidRPr="00214EFC">
        <w:t>scenario</w:t>
      </w:r>
      <w:r w:rsidR="00052B68" w:rsidRPr="00214EFC">
        <w:t xml:space="preserve"> drop by about 9% at the first </w:t>
      </w:r>
      <w:proofErr w:type="gramStart"/>
      <w:r w:rsidR="00052B68" w:rsidRPr="00214EFC">
        <w:t>lockdown, and</w:t>
      </w:r>
      <w:proofErr w:type="gramEnd"/>
      <w:r w:rsidR="00052B68" w:rsidRPr="00214EFC">
        <w:t xml:space="preserve"> revive to the baseline level in 2022; and the emissions under the </w:t>
      </w:r>
      <w:r w:rsidR="001A0BFC">
        <w:t>severe</w:t>
      </w:r>
      <w:r w:rsidR="00052B68" w:rsidRPr="00214EFC">
        <w:t xml:space="preserve"> lockdown </w:t>
      </w:r>
      <w:r w:rsidR="00E0195B" w:rsidRPr="00214EFC">
        <w:t>scenario</w:t>
      </w:r>
      <w:r w:rsidR="00052B68" w:rsidRPr="00214EFC">
        <w:t xml:space="preserve"> declines by nearly 36% after three-year-long drops and rises, and recovers to nearly 87% of the baseline level. </w:t>
      </w:r>
    </w:p>
    <w:p w14:paraId="661CB982" w14:textId="020F297D" w:rsidR="00EC4845" w:rsidRPr="00214EFC" w:rsidRDefault="00052B68" w:rsidP="00AA63CD">
      <w:pPr>
        <w:spacing w:after="100" w:afterAutospacing="1" w:line="360" w:lineRule="auto"/>
      </w:pPr>
      <w:r w:rsidRPr="00214EFC">
        <w:t xml:space="preserve">Uganda is projected to experience a slow growth from 2020 to 2024 without COVID impact, and the emissions under the default lockdown </w:t>
      </w:r>
      <w:r w:rsidR="00E0195B" w:rsidRPr="00214EFC">
        <w:t>scenario</w:t>
      </w:r>
      <w:r w:rsidRPr="00214EFC">
        <w:t xml:space="preserve"> drop by about 25% as well and recover to 96% of the baseline level. While the emissions under the mildest lockdown </w:t>
      </w:r>
      <w:r w:rsidR="00E0195B" w:rsidRPr="00214EFC">
        <w:t>scenario</w:t>
      </w:r>
      <w:r w:rsidRPr="00214EFC">
        <w:t xml:space="preserve"> drop by about 25% at the first </w:t>
      </w:r>
      <w:proofErr w:type="gramStart"/>
      <w:r w:rsidRPr="00214EFC">
        <w:t>lockdown, and</w:t>
      </w:r>
      <w:proofErr w:type="gramEnd"/>
      <w:r w:rsidRPr="00214EFC">
        <w:t xml:space="preserve"> revive to the baseline level in 2022; and the emissions under the </w:t>
      </w:r>
      <w:r w:rsidR="001A0BFC">
        <w:t>severe</w:t>
      </w:r>
      <w:r w:rsidRPr="00214EFC">
        <w:t xml:space="preserve"> lockdown </w:t>
      </w:r>
      <w:r w:rsidR="00E0195B" w:rsidRPr="00214EFC">
        <w:t>scenario</w:t>
      </w:r>
      <w:r w:rsidRPr="00214EFC">
        <w:t xml:space="preserve"> declines by nearly 35% after three-year-long drops and rises, and recovers to nearly 92% of the baseline level. </w:t>
      </w:r>
    </w:p>
    <w:p w14:paraId="5723BFAD" w14:textId="19CF6DB8" w:rsidR="00052B68" w:rsidRPr="00214EFC" w:rsidRDefault="00052B68" w:rsidP="00AA63CD">
      <w:pPr>
        <w:spacing w:after="100" w:afterAutospacing="1" w:line="360" w:lineRule="auto"/>
      </w:pPr>
      <w:r w:rsidRPr="00214EFC">
        <w:t xml:space="preserve">Peru is projected to experience a steady increase from 2020 to 2024 without COVID impact, while the emissions under the default lockdown </w:t>
      </w:r>
      <w:r w:rsidR="00E0195B" w:rsidRPr="00214EFC">
        <w:t>scenario</w:t>
      </w:r>
      <w:r w:rsidRPr="00214EFC">
        <w:t xml:space="preserve"> drop by about 40% as well and recover to 98% of the baseline level; while the emissions under the mildest lockdown </w:t>
      </w:r>
      <w:r w:rsidR="00E0195B" w:rsidRPr="00214EFC">
        <w:t>scenario</w:t>
      </w:r>
      <w:r w:rsidRPr="00214EFC">
        <w:t xml:space="preserve"> drop by about 40% at the first lockdown, and revive to the baseline level in 2022; and the emissions under the </w:t>
      </w:r>
      <w:r w:rsidR="001A0BFC">
        <w:t>severe</w:t>
      </w:r>
      <w:r w:rsidRPr="00214EFC">
        <w:t xml:space="preserve"> lockdown </w:t>
      </w:r>
      <w:r w:rsidR="00E0195B" w:rsidRPr="00214EFC">
        <w:t>scenario</w:t>
      </w:r>
      <w:r w:rsidRPr="00214EFC">
        <w:t xml:space="preserve"> declines by nearly 47% after three-year-long drops and </w:t>
      </w:r>
      <w:r w:rsidRPr="00214EFC">
        <w:lastRenderedPageBreak/>
        <w:t>rises, and recovers to nearly 95% of the baseline level.</w:t>
      </w:r>
    </w:p>
    <w:p w14:paraId="117D4437" w14:textId="09EAA49A" w:rsidR="00052B68" w:rsidRPr="00214EFC" w:rsidRDefault="00052B68" w:rsidP="00AA63CD">
      <w:pPr>
        <w:spacing w:after="100" w:afterAutospacing="1" w:line="360" w:lineRule="auto"/>
      </w:pPr>
      <w:r w:rsidRPr="00214EFC">
        <w:t xml:space="preserve">The post-COVID emissions of the case countries and the sum of the 59 countries can be considerably influenced by the COVID lockdown impact; they are delayed by the COVID by 3-8 years under the default and the </w:t>
      </w:r>
      <w:r w:rsidR="001A0BFC">
        <w:t>severe</w:t>
      </w:r>
      <w:r w:rsidRPr="00214EFC">
        <w:t xml:space="preserve"> lockdown </w:t>
      </w:r>
      <w:r w:rsidR="00E0195B" w:rsidRPr="00214EFC">
        <w:t>scenario</w:t>
      </w:r>
      <w:r w:rsidRPr="00214EFC">
        <w:t xml:space="preserve">s. However, the trend is not defeated, and the emissions soon surge back to the normal trajectory. </w:t>
      </w:r>
      <w:r w:rsidR="00EF43B5">
        <w:t>Detailed emissions rebounding growth are in the supplementary data</w:t>
      </w:r>
      <w:r w:rsidR="00FC5765">
        <w:t xml:space="preserve"> (section </w:t>
      </w:r>
      <w:r w:rsidR="00FC5765">
        <w:fldChar w:fldCharType="begin"/>
      </w:r>
      <w:r w:rsidR="00FC5765">
        <w:instrText xml:space="preserve"> REF _Ref67687380 \r \h </w:instrText>
      </w:r>
      <w:r w:rsidR="00FC5765">
        <w:fldChar w:fldCharType="separate"/>
      </w:r>
      <w:r w:rsidR="00E309AB">
        <w:t>3.3</w:t>
      </w:r>
      <w:r w:rsidR="00FC5765">
        <w:fldChar w:fldCharType="end"/>
      </w:r>
      <w:r w:rsidR="00FC5765">
        <w:t>)</w:t>
      </w:r>
      <w:r w:rsidR="00EF43B5">
        <w:t>.</w:t>
      </w:r>
    </w:p>
    <w:p w14:paraId="6CE19B25" w14:textId="68947529" w:rsidR="00FE3359" w:rsidRDefault="00971C29" w:rsidP="00AA63CD">
      <w:pPr>
        <w:spacing w:after="100" w:afterAutospacing="1" w:line="360" w:lineRule="auto"/>
      </w:pPr>
      <w:r>
        <w:rPr>
          <w:rFonts w:hint="eastAsia"/>
        </w:rPr>
        <w:t>2</w:t>
      </w:r>
      <w:r>
        <w:t xml:space="preserve">.3.2 </w:t>
      </w:r>
      <w:r w:rsidR="009669F6" w:rsidRPr="009669F6">
        <w:t>CO</w:t>
      </w:r>
      <w:r w:rsidR="009669F6" w:rsidRPr="009669F6">
        <w:rPr>
          <w:vertAlign w:val="subscript"/>
        </w:rPr>
        <w:t>2</w:t>
      </w:r>
      <w:r>
        <w:t xml:space="preserve"> </w:t>
      </w:r>
      <w:r>
        <w:rPr>
          <w:rFonts w:hint="eastAsia"/>
        </w:rPr>
        <w:t>emiss</w:t>
      </w:r>
      <w:r>
        <w:t xml:space="preserve">ions over 2020-2040 and the </w:t>
      </w:r>
      <w:proofErr w:type="gramStart"/>
      <w:r>
        <w:t>1.5 degree</w:t>
      </w:r>
      <w:proofErr w:type="gramEnd"/>
      <w:r>
        <w:t xml:space="preserve"> target</w:t>
      </w:r>
    </w:p>
    <w:p w14:paraId="04F6DEF3" w14:textId="770A09C7" w:rsidR="001E11D5" w:rsidRDefault="00C853ED" w:rsidP="00AA63CD">
      <w:pPr>
        <w:spacing w:after="100" w:afterAutospacing="1" w:line="360" w:lineRule="auto"/>
      </w:pPr>
      <w:r>
        <w:rPr>
          <w:iCs/>
        </w:rPr>
        <w:t xml:space="preserve">According to our projection, if the emerging emitters follow the default lockdown scenario for COVID period (2020-2024) and the Weak Policy scenario for post-COVID period (2025-2040), </w:t>
      </w:r>
      <w:r w:rsidRPr="00C853ED">
        <w:rPr>
          <w:iCs/>
        </w:rPr>
        <w:t>the magnitude of emissions from these emerging emitters will strain the limits of the remaining budget of emissions that would avoid 1.5</w:t>
      </w:r>
      <w:r w:rsidRPr="00C853ED">
        <w:rPr>
          <w:rFonts w:hint="eastAsia"/>
          <w:iCs/>
        </w:rPr>
        <w:t>℃</w:t>
      </w:r>
      <w:r w:rsidRPr="00C853ED">
        <w:rPr>
          <w:iCs/>
        </w:rPr>
        <w:t xml:space="preserve"> warming</w:t>
      </w:r>
      <w:r w:rsidRPr="00C853ED">
        <w:rPr>
          <w:iCs/>
        </w:rPr>
        <w:fldChar w:fldCharType="begin"/>
      </w:r>
      <w:r w:rsidR="00C478D6">
        <w:rPr>
          <w:iCs/>
        </w:rPr>
        <w:instrText xml:space="preserve"> ADDIN ZOTERO_ITEM CSL_CITATION {"citationID":"aVzBmJIe","properties":{"formattedCitation":"\\super 37\\nosupersub{}","plainCitation":"37","noteIndex":0},"citationItems":[{"id":1279,"uris":["http://zotero.org/users/4340498/items/J6WCICVP"],"uri":["http://zotero.org/users/4340498/items/J6WCICVP"],"itemData":{"id":1279,"type":"report","title":"Global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poverty","author":[{"family":"Allen","given":"M."},{"family":"Dube","given":"O. P."},{"family":"Solecki","given":"W."},{"family":"Aragón–Durand","given":"F."},{"family":"Cramer","given":"W."},{"family":"Humphrey","given":"S."},{"family":"Kainuma","given":"M."},{"family":"Kala","given":"J."},{"family":"Mahowald","given":"N."},{"family":"Mulugetta","given":"Y."},{"family":"Perez","given":"R."},{"family":"Wairiu","given":"M."},{"family":"Zickfeld","given":"K."}],"issued":{"date-parts":[["2018"]]}}}],"schema":"https://github.com/citation-style-language/schema/raw/master/csl-citation.json"} </w:instrText>
      </w:r>
      <w:r w:rsidRPr="00C853ED">
        <w:rPr>
          <w:iCs/>
        </w:rPr>
        <w:fldChar w:fldCharType="separate"/>
      </w:r>
      <w:r w:rsidR="00C478D6" w:rsidRPr="00C478D6">
        <w:rPr>
          <w:kern w:val="0"/>
          <w:szCs w:val="24"/>
          <w:vertAlign w:val="superscript"/>
        </w:rPr>
        <w:t>37</w:t>
      </w:r>
      <w:r w:rsidRPr="00C853ED">
        <w:fldChar w:fldCharType="end"/>
      </w:r>
      <w:r w:rsidRPr="00C853ED">
        <w:rPr>
          <w:iCs/>
        </w:rPr>
        <w:t>, leaving very limited carbon space for other countries</w:t>
      </w:r>
      <w:r>
        <w:rPr>
          <w:iCs/>
        </w:rPr>
        <w:t xml:space="preserve">, as shown in </w:t>
      </w:r>
      <w:r>
        <w:rPr>
          <w:iCs/>
        </w:rPr>
        <w:fldChar w:fldCharType="begin"/>
      </w:r>
      <w:r>
        <w:rPr>
          <w:iCs/>
        </w:rPr>
        <w:instrText xml:space="preserve"> REF _Ref67756128 \h </w:instrText>
      </w:r>
      <w:r>
        <w:rPr>
          <w:iCs/>
        </w:rPr>
      </w:r>
      <w:r>
        <w:rPr>
          <w:iCs/>
        </w:rPr>
        <w:fldChar w:fldCharType="separate"/>
      </w:r>
      <w:r>
        <w:t xml:space="preserve">Figure S </w:t>
      </w:r>
      <w:r>
        <w:rPr>
          <w:noProof/>
        </w:rPr>
        <w:t>15</w:t>
      </w:r>
      <w:r>
        <w:rPr>
          <w:iCs/>
        </w:rPr>
        <w:fldChar w:fldCharType="end"/>
      </w:r>
      <w:r>
        <w:rPr>
          <w:rFonts w:hint="eastAsia"/>
          <w:iCs/>
        </w:rPr>
        <w:t>.</w:t>
      </w:r>
      <w:r w:rsidR="00B53171" w:rsidRPr="00B53171">
        <w:t xml:space="preserve"> </w:t>
      </w:r>
      <w:r w:rsidR="00B53171" w:rsidRPr="00B53171">
        <w:rPr>
          <w:iCs/>
        </w:rPr>
        <w:t>Fast carbonization of the 59 emerging emitters would require significant space by 2040 and leaves small room for other countries if the 1.5℃ (Fig. 4d) target is to be met.</w:t>
      </w:r>
    </w:p>
    <w:p w14:paraId="25803AB5" w14:textId="6205C4C1" w:rsidR="00971C29" w:rsidRDefault="001E11D5" w:rsidP="00AA63CD">
      <w:pPr>
        <w:spacing w:after="100" w:afterAutospacing="1" w:line="360" w:lineRule="auto"/>
      </w:pPr>
      <w:r>
        <w:rPr>
          <w:noProof/>
        </w:rPr>
        <w:lastRenderedPageBreak/>
        <w:drawing>
          <wp:inline distT="0" distB="0" distL="0" distR="0" wp14:anchorId="6559CB94" wp14:editId="3AA4DED8">
            <wp:extent cx="4686300" cy="43338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6300" cy="4333875"/>
                    </a:xfrm>
                    <a:prstGeom prst="rect">
                      <a:avLst/>
                    </a:prstGeom>
                    <a:noFill/>
                    <a:ln>
                      <a:noFill/>
                    </a:ln>
                  </pic:spPr>
                </pic:pic>
              </a:graphicData>
            </a:graphic>
          </wp:inline>
        </w:drawing>
      </w:r>
    </w:p>
    <w:p w14:paraId="325E3328" w14:textId="6411F4C8" w:rsidR="00971C29" w:rsidRPr="001E11D5" w:rsidRDefault="001E11D5" w:rsidP="001E11D5">
      <w:pPr>
        <w:pStyle w:val="af6"/>
      </w:pPr>
      <w:bookmarkStart w:id="57" w:name="_Ref67756128"/>
      <w:r>
        <w:t xml:space="preserve">Figure S </w:t>
      </w:r>
      <w:fldSimple w:instr=" SEQ Figure_S \* ARABIC ">
        <w:r>
          <w:rPr>
            <w:noProof/>
          </w:rPr>
          <w:t>15</w:t>
        </w:r>
      </w:fldSimple>
      <w:bookmarkEnd w:id="57"/>
      <w:r>
        <w:t xml:space="preserve"> </w:t>
      </w:r>
      <w:r w:rsidR="009669F6" w:rsidRPr="009669F6">
        <w:t>CO</w:t>
      </w:r>
      <w:r w:rsidR="009669F6" w:rsidRPr="009669F6">
        <w:rPr>
          <w:vertAlign w:val="subscript"/>
        </w:rPr>
        <w:t>2</w:t>
      </w:r>
      <w:r>
        <w:t xml:space="preserve"> emissions of emerging emitters over 2020-2040, under the default lockdown scenario for COVID period and Weak Policy scenario for post-COVID period.</w:t>
      </w:r>
    </w:p>
    <w:p w14:paraId="13B4846A" w14:textId="5D4201C9" w:rsidR="004B495F" w:rsidRDefault="004B495F" w:rsidP="00AA63CD">
      <w:pPr>
        <w:pStyle w:val="2"/>
        <w:numPr>
          <w:ilvl w:val="1"/>
          <w:numId w:val="47"/>
        </w:numPr>
        <w:spacing w:after="100" w:afterAutospacing="1" w:line="360" w:lineRule="auto"/>
        <w:ind w:firstLine="0"/>
      </w:pPr>
      <w:r w:rsidRPr="00722106">
        <w:t>T</w:t>
      </w:r>
      <w:r w:rsidRPr="00722106">
        <w:rPr>
          <w:rFonts w:hint="eastAsia"/>
        </w:rPr>
        <w:t>he</w:t>
      </w:r>
      <w:r w:rsidRPr="00722106">
        <w:t xml:space="preserve"> comparison </w:t>
      </w:r>
      <w:r w:rsidR="00D8299F" w:rsidRPr="00722106">
        <w:t xml:space="preserve">between updated </w:t>
      </w:r>
      <w:r w:rsidR="009A0C15" w:rsidRPr="00722106">
        <w:t>WPS data and SSPs data</w:t>
      </w:r>
      <w:r w:rsidR="00D8299F" w:rsidRPr="00722106">
        <w:t xml:space="preserve"> </w:t>
      </w:r>
    </w:p>
    <w:p w14:paraId="222A72BE" w14:textId="0BFDA08B" w:rsidR="00C211F9" w:rsidRDefault="00C211F9" w:rsidP="00AA63CD">
      <w:pPr>
        <w:spacing w:after="100" w:afterAutospacing="1" w:line="360" w:lineRule="auto"/>
      </w:pPr>
      <w:r w:rsidRPr="00C211F9">
        <w:t xml:space="preserve">We selected SSP2 pathway from the GAINS model that inherited </w:t>
      </w:r>
      <w:r w:rsidR="009669F6" w:rsidRPr="009669F6">
        <w:t>CO</w:t>
      </w:r>
      <w:r w:rsidR="009669F6" w:rsidRPr="009669F6">
        <w:rPr>
          <w:vertAlign w:val="subscript"/>
        </w:rPr>
        <w:t>2</w:t>
      </w:r>
      <w:r w:rsidRPr="00C211F9">
        <w:t xml:space="preserve"> emissions results of IIASA MESSAGE model, which usually represents the development along historical patterns. </w:t>
      </w:r>
      <w:r w:rsidR="002B4D6B" w:rsidRPr="00C211F9">
        <w:t>However,</w:t>
      </w:r>
      <w:r w:rsidRPr="00C211F9">
        <w:t xml:space="preserve"> GAINS only provides emissions data of major economies but does not cover every country, thus, we further have separated those</w:t>
      </w:r>
      <w:r>
        <w:t xml:space="preserve"> </w:t>
      </w:r>
      <w:r w:rsidRPr="00C211F9">
        <w:t>emerging emitters from the aggregated regions and updated their emission trends in terms of historical data. Although the emerging emitters surge the emissions recently, it is the first time that the future emissions trends of the emerging emitters are updated</w:t>
      </w:r>
      <w:r>
        <w:rPr>
          <w:rFonts w:hint="eastAsia"/>
        </w:rPr>
        <w:t>.</w:t>
      </w:r>
      <w:r w:rsidR="002B4D6B">
        <w:t xml:space="preserve"> </w:t>
      </w:r>
      <w:r>
        <w:fldChar w:fldCharType="begin"/>
      </w:r>
      <w:r>
        <w:instrText xml:space="preserve"> </w:instrText>
      </w:r>
      <w:r>
        <w:rPr>
          <w:rFonts w:hint="eastAsia"/>
        </w:rPr>
        <w:instrText>REF _Ref67681949 \h</w:instrText>
      </w:r>
      <w:r>
        <w:instrText xml:space="preserve"> </w:instrText>
      </w:r>
      <w:r>
        <w:fldChar w:fldCharType="separate"/>
      </w:r>
      <w:r w:rsidR="00E309AB">
        <w:t xml:space="preserve">Figure S </w:t>
      </w:r>
      <w:r w:rsidR="00E309AB">
        <w:rPr>
          <w:noProof/>
        </w:rPr>
        <w:t>14</w:t>
      </w:r>
      <w:r>
        <w:fldChar w:fldCharType="end"/>
      </w:r>
      <w:r>
        <w:t xml:space="preserve"> shows the </w:t>
      </w:r>
      <w:r w:rsidR="009669F6" w:rsidRPr="009669F6">
        <w:t>CO</w:t>
      </w:r>
      <w:r w:rsidR="009669F6" w:rsidRPr="009669F6">
        <w:rPr>
          <w:vertAlign w:val="subscript"/>
        </w:rPr>
        <w:t>2</w:t>
      </w:r>
      <w:r>
        <w:t xml:space="preserve"> emissions of history, under the scenario of no-COVID baseline, weak policy, and the downscaled</w:t>
      </w:r>
      <w:r w:rsidR="00B53171">
        <w:t xml:space="preserve"> scenarios of</w:t>
      </w:r>
      <w:r>
        <w:t xml:space="preserve"> SSP1</w:t>
      </w:r>
      <w:r w:rsidR="00B53171">
        <w:t xml:space="preserve"> and </w:t>
      </w:r>
      <w:r>
        <w:t>SSP5 from AIM/CGE model and SSP2</w:t>
      </w:r>
      <w:r w:rsidR="00B53171">
        <w:t xml:space="preserve"> scenario</w:t>
      </w:r>
      <w:r>
        <w:t xml:space="preserve"> from GAINS model.</w:t>
      </w:r>
      <w:r w:rsidR="002B4D6B">
        <w:t xml:space="preserve"> Generally,</w:t>
      </w:r>
      <w:r w:rsidR="003D062C" w:rsidRPr="003D062C">
        <w:t xml:space="preserve"> </w:t>
      </w:r>
      <w:r w:rsidR="003D062C">
        <w:t>t</w:t>
      </w:r>
      <w:r w:rsidR="003D062C" w:rsidRPr="003D062C">
        <w:t xml:space="preserve">he emissions estimated by GAINS model are lower than that by AIM/CGE model, and the </w:t>
      </w:r>
      <w:r w:rsidR="002B4D6B">
        <w:t>emissions</w:t>
      </w:r>
      <w:r w:rsidR="003D062C">
        <w:t xml:space="preserve"> estimated in this work, </w:t>
      </w:r>
      <w:proofErr w:type="gramStart"/>
      <w:r w:rsidR="003D062C">
        <w:t>i.e.</w:t>
      </w:r>
      <w:proofErr w:type="gramEnd"/>
      <w:r w:rsidR="002B4D6B">
        <w:t xml:space="preserve"> under </w:t>
      </w:r>
      <w:r w:rsidR="003D062C">
        <w:t xml:space="preserve">scenarios of baseline and weak policy, are more consistent with the historical </w:t>
      </w:r>
      <w:r w:rsidR="003D062C">
        <w:lastRenderedPageBreak/>
        <w:t>trend. Country-specific comparisons between scenarios are provided as follows.</w:t>
      </w:r>
    </w:p>
    <w:p w14:paraId="7BD2C8E9" w14:textId="77777777" w:rsidR="00763922" w:rsidRPr="00E309AB" w:rsidRDefault="00763922" w:rsidP="00AA63CD">
      <w:pPr>
        <w:spacing w:after="100" w:afterAutospacing="1" w:line="360" w:lineRule="auto"/>
      </w:pPr>
    </w:p>
    <w:p w14:paraId="4169C6F5" w14:textId="5FD6772C" w:rsidR="004777C0" w:rsidRPr="00106D18" w:rsidRDefault="00017EE7" w:rsidP="00AA63CD">
      <w:pPr>
        <w:spacing w:after="100" w:afterAutospacing="1" w:line="360" w:lineRule="auto"/>
      </w:pPr>
      <w:r>
        <w:rPr>
          <w:noProof/>
        </w:rPr>
        <w:drawing>
          <wp:inline distT="0" distB="0" distL="0" distR="0" wp14:anchorId="7F03672D" wp14:editId="3F133B4B">
            <wp:extent cx="5270500" cy="788479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0500" cy="7884795"/>
                    </a:xfrm>
                    <a:prstGeom prst="rect">
                      <a:avLst/>
                    </a:prstGeom>
                    <a:noFill/>
                    <a:ln>
                      <a:noFill/>
                    </a:ln>
                  </pic:spPr>
                </pic:pic>
              </a:graphicData>
            </a:graphic>
          </wp:inline>
        </w:drawing>
      </w:r>
    </w:p>
    <w:p w14:paraId="134231E0" w14:textId="3DD36F14" w:rsidR="00C419F6" w:rsidRDefault="004777C0" w:rsidP="00AA63CD">
      <w:pPr>
        <w:pStyle w:val="af6"/>
        <w:spacing w:after="100" w:afterAutospacing="1" w:line="360" w:lineRule="auto"/>
      </w:pPr>
      <w:bookmarkStart w:id="58" w:name="_Ref67681949"/>
      <w:r>
        <w:lastRenderedPageBreak/>
        <w:t xml:space="preserve">Figure S </w:t>
      </w:r>
      <w:fldSimple w:instr=" SEQ Figure_S \* ARABIC ">
        <w:r w:rsidR="001E11D5">
          <w:rPr>
            <w:noProof/>
          </w:rPr>
          <w:t>16</w:t>
        </w:r>
      </w:fldSimple>
      <w:bookmarkEnd w:id="58"/>
      <w:r>
        <w:t xml:space="preserve"> </w:t>
      </w:r>
      <w:r w:rsidR="009669F6" w:rsidRPr="009669F6">
        <w:t>CO</w:t>
      </w:r>
      <w:r w:rsidR="009669F6" w:rsidRPr="009669F6">
        <w:rPr>
          <w:vertAlign w:val="subscript"/>
        </w:rPr>
        <w:t>2</w:t>
      </w:r>
      <w:r w:rsidR="00C419F6">
        <w:t xml:space="preserve"> emissions comparison among scenario sets: s</w:t>
      </w:r>
      <w:r w:rsidR="00C419F6">
        <w:rPr>
          <w:rFonts w:hint="eastAsia"/>
        </w:rPr>
        <w:t>um</w:t>
      </w:r>
      <w:r w:rsidR="00C419F6">
        <w:t xml:space="preserve"> of emerging emitters. The </w:t>
      </w:r>
      <w:r w:rsidR="00E91DD0">
        <w:rPr>
          <w:rFonts w:hint="eastAsia"/>
        </w:rPr>
        <w:t>green</w:t>
      </w:r>
      <w:r w:rsidR="00E91DD0">
        <w:t xml:space="preserve"> </w:t>
      </w:r>
      <w:r w:rsidR="00C419F6">
        <w:t xml:space="preserve">line and the blue line show the estimation under SSP1 and SSP5, respectively, both from AIM/CGE model. The orange line shows the estimation under SSP2 from GAINS model. The </w:t>
      </w:r>
      <w:r w:rsidR="00E91DD0">
        <w:t xml:space="preserve">black </w:t>
      </w:r>
      <w:r w:rsidR="00C419F6">
        <w:t xml:space="preserve">line shows the history emissions sourced from International Energy Agency (IEA), and the </w:t>
      </w:r>
      <w:r w:rsidR="00E91DD0">
        <w:rPr>
          <w:rFonts w:hint="eastAsia"/>
        </w:rPr>
        <w:t>purple</w:t>
      </w:r>
      <w:r w:rsidR="00C419F6">
        <w:t xml:space="preserve"> line and the </w:t>
      </w:r>
      <w:r w:rsidR="00E91DD0">
        <w:t xml:space="preserve">red </w:t>
      </w:r>
      <w:r w:rsidR="00C419F6">
        <w:t xml:space="preserve">line show emissions of the no-COVID baseline and the default-COVID-WPS scenarios, respectively. </w:t>
      </w:r>
    </w:p>
    <w:p w14:paraId="7EDC2201" w14:textId="77777777" w:rsidR="000946A0" w:rsidRDefault="000946A0" w:rsidP="00AA63CD">
      <w:pPr>
        <w:spacing w:after="100" w:afterAutospacing="1" w:line="360" w:lineRule="auto"/>
      </w:pPr>
    </w:p>
    <w:p w14:paraId="5EAC615F" w14:textId="22B0864A" w:rsidR="000946A0" w:rsidRPr="005951B5" w:rsidRDefault="00800E04" w:rsidP="00AA63CD">
      <w:pPr>
        <w:spacing w:after="100" w:afterAutospacing="1" w:line="360" w:lineRule="auto"/>
      </w:pPr>
      <w:r w:rsidRPr="00800E04">
        <w:rPr>
          <w:color w:val="4472C4" w:themeColor="accent1"/>
        </w:rPr>
        <w:t>Algeria:</w:t>
      </w:r>
      <w:r w:rsidR="000946A0">
        <w:t xml:space="preserve"> The emissions estimated by GAINS model are lower than that by AIM/CGE model, and the emissions adjusted in this work (no-COVID baseline) are close to that from GAINS SSP2.</w:t>
      </w:r>
    </w:p>
    <w:p w14:paraId="1620694F" w14:textId="77777777" w:rsidR="000946A0" w:rsidRDefault="000946A0" w:rsidP="00AA63CD">
      <w:pPr>
        <w:spacing w:after="100" w:afterAutospacing="1" w:line="360" w:lineRule="auto"/>
      </w:pPr>
      <w:r w:rsidRPr="00C92C4C">
        <w:rPr>
          <w:color w:val="4472C4" w:themeColor="accent1"/>
        </w:rPr>
        <w:t>Angola</w:t>
      </w:r>
      <w:r>
        <w:rPr>
          <w:rFonts w:hint="eastAsia"/>
          <w:color w:val="4472C4" w:themeColor="accent1"/>
        </w:rPr>
        <w:t>：</w:t>
      </w:r>
      <w:r w:rsidRPr="00C92C4C">
        <w:t>The emissions estimated by GAINS model are lower than that by AIM/CGE model</w:t>
      </w:r>
      <w:r>
        <w:rPr>
          <w:rFonts w:hint="eastAsia"/>
        </w:rPr>
        <w:t>，</w:t>
      </w:r>
      <w:r w:rsidRPr="004B740C">
        <w:t>but higher than the emissions adjusted in this work (</w:t>
      </w:r>
      <w:r w:rsidRPr="00657231">
        <w:t>no-COVID baseline and the default-COVID-WPS scenario</w:t>
      </w:r>
      <w:r>
        <w:t>s</w:t>
      </w:r>
      <w:r w:rsidRPr="004B740C">
        <w:t>).</w:t>
      </w:r>
    </w:p>
    <w:p w14:paraId="7474AF79" w14:textId="77777777" w:rsidR="000946A0" w:rsidRDefault="000946A0" w:rsidP="00AA63CD">
      <w:pPr>
        <w:spacing w:after="100" w:afterAutospacing="1" w:line="360" w:lineRule="auto"/>
      </w:pPr>
      <w:r w:rsidRPr="004B740C">
        <w:rPr>
          <w:color w:val="4472C4" w:themeColor="accent1"/>
        </w:rPr>
        <w:t>Armenia</w:t>
      </w:r>
      <w:r>
        <w:rPr>
          <w:rFonts w:hint="eastAsia"/>
          <w:color w:val="4472C4" w:themeColor="accent1"/>
        </w:rPr>
        <w:t>：</w:t>
      </w:r>
      <w:r w:rsidRPr="004B740C">
        <w:rPr>
          <w:rFonts w:hint="eastAsia"/>
        </w:rPr>
        <w:t>The emissions estimated by GAINS model are lower than that by AIM/CGE model</w:t>
      </w:r>
      <w:r w:rsidRPr="004B740C">
        <w:rPr>
          <w:rFonts w:hint="eastAsia"/>
        </w:rPr>
        <w:t>，</w:t>
      </w:r>
      <w:r w:rsidRPr="004B740C">
        <w:rPr>
          <w:rFonts w:hint="eastAsia"/>
        </w:rPr>
        <w:t>but higher than the emissions adjusted in this work (</w:t>
      </w:r>
      <w:r w:rsidRPr="00657231">
        <w:t>no-COVID baseline and the default-COVID-WPS scenario</w:t>
      </w:r>
      <w:r>
        <w:t>s</w:t>
      </w:r>
      <w:r w:rsidRPr="004B740C">
        <w:rPr>
          <w:rFonts w:hint="eastAsia"/>
        </w:rPr>
        <w:t>).</w:t>
      </w:r>
      <w:r w:rsidRPr="004B740C">
        <w:t xml:space="preserve"> In addition,</w:t>
      </w:r>
      <w:bookmarkStart w:id="59" w:name="_Hlk63671441"/>
      <w:r w:rsidRPr="004B740C">
        <w:t xml:space="preserve"> the emission trend after 2020 estimated by the GAINS model and this work is relatively flat.</w:t>
      </w:r>
      <w:bookmarkEnd w:id="59"/>
    </w:p>
    <w:p w14:paraId="3B7CA281" w14:textId="77777777" w:rsidR="000946A0" w:rsidRDefault="000946A0" w:rsidP="00AA63CD">
      <w:pPr>
        <w:spacing w:after="100" w:afterAutospacing="1" w:line="360" w:lineRule="auto"/>
      </w:pPr>
      <w:r w:rsidRPr="004B740C">
        <w:rPr>
          <w:color w:val="4472C4" w:themeColor="accent1"/>
        </w:rPr>
        <w:t>Azerbaijan</w:t>
      </w:r>
      <w:r>
        <w:rPr>
          <w:rFonts w:hint="eastAsia"/>
          <w:color w:val="4472C4" w:themeColor="accent1"/>
        </w:rPr>
        <w:t>：</w:t>
      </w:r>
      <w:r w:rsidRPr="00657231">
        <w:t xml:space="preserve">The emissions estimated by AIM/CGE SSP1 show a downward trend after </w:t>
      </w:r>
      <w:proofErr w:type="gramStart"/>
      <w:r w:rsidRPr="00657231">
        <w:t>2020, but</w:t>
      </w:r>
      <w:proofErr w:type="gramEnd"/>
      <w:r w:rsidRPr="00657231">
        <w:t xml:space="preserve"> are still higher than the emissions estimated by the GAINS model</w:t>
      </w:r>
      <w:r>
        <w:t>;</w:t>
      </w:r>
      <w:r w:rsidRPr="00657231">
        <w:t xml:space="preserve"> </w:t>
      </w:r>
      <w:r>
        <w:t>t</w:t>
      </w:r>
      <w:r w:rsidRPr="00657231">
        <w:t>he carbon emissions estimated by this work (no-COVID baseline and the default-COVID-WPS scenario</w:t>
      </w:r>
      <w:r>
        <w:t>s</w:t>
      </w:r>
      <w:r w:rsidRPr="00657231">
        <w:t xml:space="preserve">) </w:t>
      </w:r>
      <w:r>
        <w:rPr>
          <w:rFonts w:hint="eastAsia"/>
        </w:rPr>
        <w:t>l</w:t>
      </w:r>
      <w:r w:rsidRPr="00657231">
        <w:t>ower than the emissions estimated by the GAINS model.</w:t>
      </w:r>
    </w:p>
    <w:p w14:paraId="3772F7EB" w14:textId="77777777" w:rsidR="000946A0" w:rsidRDefault="000946A0" w:rsidP="00AA63CD">
      <w:pPr>
        <w:spacing w:after="100" w:afterAutospacing="1" w:line="360" w:lineRule="auto"/>
      </w:pPr>
      <w:r w:rsidRPr="007F4C88">
        <w:rPr>
          <w:color w:val="4472C4" w:themeColor="accent1"/>
        </w:rPr>
        <w:t>Bangladesh:</w:t>
      </w:r>
      <w:r w:rsidRPr="007F4C88">
        <w:t xml:space="preserve"> The emissions estimated by the GAINS model are lower than other scenarios </w:t>
      </w:r>
      <w:bookmarkStart w:id="60" w:name="_Hlk62588352"/>
      <w:r w:rsidRPr="007F4C88">
        <w:t>and will increase rapidly after 2030;</w:t>
      </w:r>
      <w:bookmarkEnd w:id="60"/>
      <w:r w:rsidRPr="007F4C88">
        <w:t xml:space="preserve"> the emissions estimated by this work (no-COVID baseline and the default-COVID-WPS scenarios) will increase rapidly after </w:t>
      </w:r>
      <w:proofErr w:type="gramStart"/>
      <w:r w:rsidRPr="007F4C88">
        <w:t>2020, and</w:t>
      </w:r>
      <w:proofErr w:type="gramEnd"/>
      <w:r w:rsidRPr="007F4C88">
        <w:t xml:space="preserve"> exceed SSP1 and SSP5 scenarios calculated by the AIM/CGE model.</w:t>
      </w:r>
    </w:p>
    <w:p w14:paraId="509DD008" w14:textId="77777777" w:rsidR="000946A0" w:rsidRDefault="000946A0" w:rsidP="00AA63CD">
      <w:pPr>
        <w:spacing w:after="100" w:afterAutospacing="1" w:line="360" w:lineRule="auto"/>
      </w:pPr>
      <w:r w:rsidRPr="00442A5F">
        <w:rPr>
          <w:color w:val="4472C4" w:themeColor="accent1"/>
        </w:rPr>
        <w:t>Benin</w:t>
      </w:r>
      <w:r>
        <w:rPr>
          <w:color w:val="4472C4" w:themeColor="accent1"/>
        </w:rPr>
        <w:t>:</w:t>
      </w:r>
      <w:r w:rsidRPr="00442A5F">
        <w:t xml:space="preserve"> The emissions estimated by GAINS model are lower than other </w:t>
      </w:r>
      <w:proofErr w:type="gramStart"/>
      <w:r w:rsidRPr="00442A5F">
        <w:t>scenarios, and</w:t>
      </w:r>
      <w:proofErr w:type="gramEnd"/>
      <w:r w:rsidRPr="00442A5F">
        <w:t xml:space="preserve"> increase </w:t>
      </w:r>
      <w:r w:rsidRPr="00442A5F">
        <w:lastRenderedPageBreak/>
        <w:t xml:space="preserve">rapidly after 2030; </w:t>
      </w:r>
      <w:r>
        <w:rPr>
          <w:rFonts w:hint="eastAsia"/>
        </w:rPr>
        <w:t>t</w:t>
      </w:r>
      <w:r w:rsidRPr="00442A5F">
        <w:t xml:space="preserve">he emission estimated </w:t>
      </w:r>
      <w:bookmarkStart w:id="61" w:name="_Hlk62588449"/>
      <w:r w:rsidRPr="00442A5F">
        <w:t>by this work (no-</w:t>
      </w:r>
      <w:r>
        <w:t>COVID</w:t>
      </w:r>
      <w:r w:rsidRPr="00442A5F">
        <w:t xml:space="preserve"> baseline and the default-</w:t>
      </w:r>
      <w:r>
        <w:t>COVID</w:t>
      </w:r>
      <w:r w:rsidRPr="00442A5F">
        <w:t>-</w:t>
      </w:r>
      <w:r>
        <w:t xml:space="preserve">WPS </w:t>
      </w:r>
      <w:r w:rsidRPr="00442A5F">
        <w:t>scenarios)</w:t>
      </w:r>
      <w:bookmarkEnd w:id="61"/>
      <w:r w:rsidRPr="00442A5F">
        <w:t xml:space="preserve"> shows an increasing trend after 2020, and accelerates after 2030, which gradually exceeds </w:t>
      </w:r>
      <w:r>
        <w:t xml:space="preserve">that from </w:t>
      </w:r>
      <w:r w:rsidRPr="00442A5F">
        <w:t>AIM/CGE SSP</w:t>
      </w:r>
      <w:r>
        <w:t>1</w:t>
      </w:r>
      <w:r w:rsidRPr="00442A5F">
        <w:t xml:space="preserve">, but is lower than </w:t>
      </w:r>
      <w:r>
        <w:t xml:space="preserve">that from </w:t>
      </w:r>
      <w:r w:rsidRPr="00442A5F">
        <w:t>AIM/CGE SSP5.</w:t>
      </w:r>
    </w:p>
    <w:p w14:paraId="51429EB1" w14:textId="77777777" w:rsidR="000946A0" w:rsidRDefault="000946A0" w:rsidP="00AA63CD">
      <w:pPr>
        <w:spacing w:after="100" w:afterAutospacing="1" w:line="360" w:lineRule="auto"/>
      </w:pPr>
      <w:r w:rsidRPr="001D5891">
        <w:rPr>
          <w:color w:val="4472C4" w:themeColor="accent1"/>
        </w:rPr>
        <w:t>Bolivia:</w:t>
      </w:r>
      <w:r w:rsidRPr="00FB0379">
        <w:t xml:space="preserve"> </w:t>
      </w:r>
      <w:r w:rsidRPr="004575A2">
        <w:t>The emissions estimated by GAINS SSP2 are much higher than other scenarios</w:t>
      </w:r>
      <w:r>
        <w:t>,</w:t>
      </w:r>
      <w:r w:rsidRPr="004575A2">
        <w:t xml:space="preserve"> </w:t>
      </w:r>
      <w:r>
        <w:t xml:space="preserve">and </w:t>
      </w:r>
      <w:r w:rsidRPr="004575A2">
        <w:t xml:space="preserve">the emissions adjusted in this work (no-COVID baseline and the default-COVID-WPS scenarios) </w:t>
      </w:r>
      <w:r>
        <w:t xml:space="preserve">are </w:t>
      </w:r>
      <w:r w:rsidRPr="004575A2">
        <w:t>slightly higher than</w:t>
      </w:r>
      <w:r>
        <w:t xml:space="preserve"> that from AIM/CGE </w:t>
      </w:r>
      <w:r w:rsidRPr="004575A2">
        <w:t>SSP1.</w:t>
      </w:r>
    </w:p>
    <w:p w14:paraId="03CED9B3" w14:textId="77777777" w:rsidR="000946A0" w:rsidRDefault="000946A0" w:rsidP="00AA63CD">
      <w:pPr>
        <w:spacing w:after="100" w:afterAutospacing="1" w:line="360" w:lineRule="auto"/>
      </w:pPr>
      <w:r w:rsidRPr="00FB0379">
        <w:rPr>
          <w:color w:val="4472C4" w:themeColor="accent1"/>
        </w:rPr>
        <w:t>Botswana</w:t>
      </w:r>
      <w:r>
        <w:rPr>
          <w:rFonts w:hint="eastAsia"/>
          <w:color w:val="4472C4" w:themeColor="accent1"/>
        </w:rPr>
        <w:t>：</w:t>
      </w:r>
      <w:r w:rsidRPr="00C92C4C">
        <w:t>The emissions estimated by GAINS model are lower than that by AIM/CGE model</w:t>
      </w:r>
      <w:r>
        <w:rPr>
          <w:rFonts w:hint="eastAsia"/>
        </w:rPr>
        <w:t>，</w:t>
      </w:r>
      <w:r>
        <w:t xml:space="preserve">and a bit </w:t>
      </w:r>
      <w:r w:rsidRPr="004B740C">
        <w:t>higher than the emissions adjusted in this work (</w:t>
      </w:r>
      <w:r w:rsidRPr="00657231">
        <w:t>no-COVID baseline and the default-COVID-WPS scenario</w:t>
      </w:r>
      <w:r>
        <w:t>)</w:t>
      </w:r>
      <w:r>
        <w:rPr>
          <w:rFonts w:hint="eastAsia"/>
        </w:rPr>
        <w:t>.</w:t>
      </w:r>
    </w:p>
    <w:p w14:paraId="318262FF" w14:textId="77777777" w:rsidR="000946A0" w:rsidRDefault="000946A0" w:rsidP="00AA63CD">
      <w:pPr>
        <w:spacing w:after="100" w:afterAutospacing="1" w:line="360" w:lineRule="auto"/>
      </w:pPr>
      <w:r w:rsidRPr="00B47536">
        <w:rPr>
          <w:color w:val="4472C4" w:themeColor="accent1"/>
        </w:rPr>
        <w:t xml:space="preserve">Cambodia: </w:t>
      </w:r>
      <w:r w:rsidRPr="0072651D">
        <w:t xml:space="preserve">The emissions </w:t>
      </w:r>
      <w:r>
        <w:t>adjusted</w:t>
      </w:r>
      <w:r w:rsidRPr="0072651D">
        <w:t xml:space="preserve"> </w:t>
      </w:r>
      <w:r>
        <w:t>in this work</w:t>
      </w:r>
      <w:r w:rsidRPr="0072651D">
        <w:t xml:space="preserve"> </w:t>
      </w:r>
      <w:r w:rsidRPr="004575A2">
        <w:t>(no-COVID baseline and the default-COVID-WPS scenarios)</w:t>
      </w:r>
      <w:r>
        <w:t xml:space="preserve"> </w:t>
      </w:r>
      <w:r w:rsidRPr="0072651D">
        <w:t xml:space="preserve">are lower than that by AIM/CGE model, </w:t>
      </w:r>
      <w:bookmarkStart w:id="62" w:name="_Hlk62588429"/>
      <w:r w:rsidRPr="0072651D">
        <w:t xml:space="preserve">and the emissions </w:t>
      </w:r>
      <w:r w:rsidRPr="00B47536">
        <w:t>estimated by GAINS SSP2</w:t>
      </w:r>
      <w:r>
        <w:t xml:space="preserve"> </w:t>
      </w:r>
      <w:r w:rsidRPr="0072651D">
        <w:t xml:space="preserve">are </w:t>
      </w:r>
      <w:r w:rsidRPr="00B47536">
        <w:t>lower than other scenarios</w:t>
      </w:r>
      <w:r>
        <w:t>.</w:t>
      </w:r>
    </w:p>
    <w:bookmarkEnd w:id="62"/>
    <w:p w14:paraId="721CA89A" w14:textId="77777777" w:rsidR="000946A0" w:rsidRDefault="000946A0" w:rsidP="00AA63CD">
      <w:pPr>
        <w:spacing w:after="100" w:afterAutospacing="1" w:line="360" w:lineRule="auto"/>
      </w:pPr>
      <w:r w:rsidRPr="00B47536">
        <w:rPr>
          <w:color w:val="4472C4" w:themeColor="accent1"/>
        </w:rPr>
        <w:t>Cameroon:</w:t>
      </w:r>
      <w:r>
        <w:t xml:space="preserve"> </w:t>
      </w:r>
      <w:r w:rsidRPr="00B47536">
        <w:t>The emissions estimated by GAINS model are lower than that by AIM/CGE model and will increase rapidly after 2030, and the emissions estimated by this work (no-COVID baseline and the default-COVID-WPS scenarios)</w:t>
      </w:r>
      <w:r>
        <w:t xml:space="preserve"> </w:t>
      </w:r>
      <w:r w:rsidRPr="00B47536">
        <w:t xml:space="preserve">are lower than </w:t>
      </w:r>
      <w:r>
        <w:t>that from AIM/CGE and</w:t>
      </w:r>
      <w:r w:rsidRPr="00B47536">
        <w:t xml:space="preserve"> GAINS model.</w:t>
      </w:r>
    </w:p>
    <w:p w14:paraId="507CFF3A" w14:textId="77777777" w:rsidR="000946A0" w:rsidRDefault="000946A0" w:rsidP="00AA63CD">
      <w:pPr>
        <w:spacing w:after="100" w:afterAutospacing="1" w:line="360" w:lineRule="auto"/>
      </w:pPr>
      <w:r w:rsidRPr="00A62BE9">
        <w:rPr>
          <w:color w:val="4472C4" w:themeColor="accent1"/>
        </w:rPr>
        <w:t xml:space="preserve">Chile: </w:t>
      </w:r>
      <w:r w:rsidRPr="00ED7370">
        <w:t xml:space="preserve">The carbon emissions estimated by AIM/CGE SSP5 have been on an upward trend, while </w:t>
      </w:r>
      <w:r>
        <w:t>that</w:t>
      </w:r>
      <w:r w:rsidRPr="00ED7370">
        <w:t xml:space="preserve"> by AIM/CGE SSP</w:t>
      </w:r>
      <w:r>
        <w:t>1</w:t>
      </w:r>
      <w:r w:rsidRPr="00ED7370">
        <w:t xml:space="preserve"> have shown a downward </w:t>
      </w:r>
      <w:proofErr w:type="gramStart"/>
      <w:r w:rsidRPr="00ED7370">
        <w:t>trend, and</w:t>
      </w:r>
      <w:proofErr w:type="gramEnd"/>
      <w:r w:rsidRPr="00ED7370">
        <w:t xml:space="preserve"> are ultimately lower than the emissions estimated by this work</w:t>
      </w:r>
      <w:r w:rsidRPr="00B47536">
        <w:t xml:space="preserve"> (no-COVID baseline and the default-COVID-WPS scenarios)</w:t>
      </w:r>
      <w:r>
        <w:t>,</w:t>
      </w:r>
      <w:r w:rsidRPr="00ED7370">
        <w:t xml:space="preserve"> and the emissions estimated by GAINS SSP2</w:t>
      </w:r>
      <w:r w:rsidRPr="00CE7188">
        <w:t xml:space="preserve"> are a bit lower than that from</w:t>
      </w:r>
      <w:r>
        <w:t xml:space="preserve"> </w:t>
      </w:r>
      <w:r w:rsidRPr="00ED7370">
        <w:t>this wor</w:t>
      </w:r>
      <w:r>
        <w:t>k</w:t>
      </w:r>
      <w:r w:rsidRPr="00ED7370">
        <w:t>.</w:t>
      </w:r>
    </w:p>
    <w:p w14:paraId="66582178" w14:textId="77777777" w:rsidR="000946A0" w:rsidRDefault="000946A0" w:rsidP="00AA63CD">
      <w:pPr>
        <w:spacing w:after="100" w:afterAutospacing="1" w:line="360" w:lineRule="auto"/>
      </w:pPr>
      <w:r w:rsidRPr="00A62BE9">
        <w:rPr>
          <w:color w:val="4472C4" w:themeColor="accent1"/>
        </w:rPr>
        <w:t>Colombia:</w:t>
      </w:r>
      <w:r>
        <w:t xml:space="preserve"> </w:t>
      </w:r>
      <w:r w:rsidRPr="008D16C8">
        <w:t xml:space="preserve">The emissions estimated by GAINS SSP2 are lower than </w:t>
      </w:r>
      <w:r>
        <w:t xml:space="preserve">that by </w:t>
      </w:r>
      <w:r w:rsidRPr="008D16C8">
        <w:t>AIM/CGE</w:t>
      </w:r>
      <w:r>
        <w:t xml:space="preserve"> model</w:t>
      </w:r>
      <w:r w:rsidRPr="008D16C8">
        <w:t>, and higher than the emissions estimated by this work (no COVID baseline and the default COVID-WPS scenario).</w:t>
      </w:r>
    </w:p>
    <w:p w14:paraId="5E08EAC8" w14:textId="77777777" w:rsidR="000946A0" w:rsidRDefault="000946A0" w:rsidP="00AA63CD">
      <w:pPr>
        <w:spacing w:after="100" w:afterAutospacing="1" w:line="360" w:lineRule="auto"/>
      </w:pPr>
      <w:r w:rsidRPr="00A62BE9">
        <w:rPr>
          <w:color w:val="4472C4" w:themeColor="accent1"/>
        </w:rPr>
        <w:t xml:space="preserve">Cote d'Ivoire: </w:t>
      </w:r>
      <w:r w:rsidRPr="00114240">
        <w:t>The emissions estimated by this work</w:t>
      </w:r>
      <w:r>
        <w:t xml:space="preserve"> </w:t>
      </w:r>
      <w:r w:rsidRPr="008D16C8">
        <w:t xml:space="preserve">(no COVID baseline and the default </w:t>
      </w:r>
      <w:r w:rsidRPr="008D16C8">
        <w:lastRenderedPageBreak/>
        <w:t>COVID-WPS scenario)</w:t>
      </w:r>
      <w:r w:rsidRPr="00114240">
        <w:t xml:space="preserve"> are lower than that by AIM/CGE model, and the emissions estimated by GAINS SSP2 are a bit lower than that from this work.</w:t>
      </w:r>
    </w:p>
    <w:p w14:paraId="1723F3F8" w14:textId="77777777" w:rsidR="000946A0" w:rsidRDefault="000946A0" w:rsidP="00AA63CD">
      <w:pPr>
        <w:spacing w:after="100" w:afterAutospacing="1" w:line="360" w:lineRule="auto"/>
      </w:pPr>
      <w:r w:rsidRPr="00A62BE9">
        <w:rPr>
          <w:color w:val="4472C4" w:themeColor="accent1"/>
        </w:rPr>
        <w:t xml:space="preserve">Dem. Rep. Congo: </w:t>
      </w:r>
      <w:r w:rsidRPr="00BE601F">
        <w:t>The emissions estimated by</w:t>
      </w:r>
      <w:r>
        <w:t xml:space="preserve"> AIM/CGE </w:t>
      </w:r>
      <w:r w:rsidRPr="00BE601F">
        <w:t>and GAINS</w:t>
      </w:r>
      <w:r>
        <w:t xml:space="preserve"> model</w:t>
      </w:r>
      <w:r w:rsidRPr="00BE601F">
        <w:t xml:space="preserve"> are on an increasing trend, and the emissions estimated by GAINS are lower than </w:t>
      </w:r>
      <w:bookmarkStart w:id="63" w:name="_Hlk62590380"/>
      <w:r w:rsidRPr="00BE601F">
        <w:t xml:space="preserve">the estimation under SSP1 and SSP5 </w:t>
      </w:r>
      <w:bookmarkEnd w:id="63"/>
      <w:r w:rsidRPr="00BE601F">
        <w:t>both from AIM/CGE model</w:t>
      </w:r>
      <w:r>
        <w:t>;</w:t>
      </w:r>
      <w:r w:rsidRPr="00BE601F">
        <w:t xml:space="preserve"> </w:t>
      </w:r>
      <w:r>
        <w:t>t</w:t>
      </w:r>
      <w:r w:rsidRPr="00BE601F">
        <w:t>he emissions estimated by this work have basically maintained to 0Mt.</w:t>
      </w:r>
    </w:p>
    <w:p w14:paraId="5953277E" w14:textId="77777777" w:rsidR="000946A0" w:rsidRDefault="000946A0" w:rsidP="00AA63CD">
      <w:pPr>
        <w:spacing w:after="100" w:afterAutospacing="1" w:line="360" w:lineRule="auto"/>
      </w:pPr>
      <w:r w:rsidRPr="00B94B5A">
        <w:rPr>
          <w:color w:val="4472C4" w:themeColor="accent1"/>
        </w:rPr>
        <w:t xml:space="preserve">Egypt: </w:t>
      </w:r>
      <w:bookmarkStart w:id="64" w:name="_Hlk62600506"/>
      <w:r w:rsidRPr="00260A04">
        <w:t xml:space="preserve">The emissions estimated by this work </w:t>
      </w:r>
      <w:r w:rsidRPr="008D16C8">
        <w:t>(no COVID baseline and the default COVID-WPS scenario)</w:t>
      </w:r>
      <w:r w:rsidRPr="00114240">
        <w:t xml:space="preserve"> </w:t>
      </w:r>
      <w:r w:rsidRPr="00260A04">
        <w:t>are lower than that by AIM/CGE model, and the emissions estimated by GAINS SSP2 are lower than that from this work.</w:t>
      </w:r>
    </w:p>
    <w:bookmarkEnd w:id="64"/>
    <w:p w14:paraId="661EE1AA" w14:textId="77777777" w:rsidR="000946A0" w:rsidRDefault="000946A0" w:rsidP="00AA63CD">
      <w:pPr>
        <w:spacing w:after="100" w:afterAutospacing="1" w:line="360" w:lineRule="auto"/>
      </w:pPr>
      <w:r w:rsidRPr="00F24A93">
        <w:rPr>
          <w:color w:val="4472C4" w:themeColor="accent1"/>
        </w:rPr>
        <w:t>Eritrea:</w:t>
      </w:r>
      <w:r w:rsidRPr="00B94B5A">
        <w:t xml:space="preserve"> The emissions estimated by GAINS SSP2 are lower than that by AIM/CGE</w:t>
      </w:r>
      <w:r>
        <w:t xml:space="preserve"> model</w:t>
      </w:r>
      <w:r w:rsidRPr="00B94B5A">
        <w:t>, and higher than the emissions estimated by this work</w:t>
      </w:r>
      <w:r>
        <w:t xml:space="preserve"> </w:t>
      </w:r>
      <w:r w:rsidRPr="00AD4083">
        <w:t>(no COVID baseline and the default COVID-WPS scenario)</w:t>
      </w:r>
      <w:r>
        <w:t>.</w:t>
      </w:r>
      <w:r w:rsidRPr="00B94B5A">
        <w:t xml:space="preserve"> </w:t>
      </w:r>
      <w:r>
        <w:t xml:space="preserve"> </w:t>
      </w:r>
    </w:p>
    <w:p w14:paraId="49C42F3E" w14:textId="77777777" w:rsidR="000946A0" w:rsidRDefault="000946A0" w:rsidP="00AA63CD">
      <w:pPr>
        <w:spacing w:after="100" w:afterAutospacing="1" w:line="360" w:lineRule="auto"/>
      </w:pPr>
      <w:r w:rsidRPr="00F24A93">
        <w:rPr>
          <w:color w:val="4472C4" w:themeColor="accent1"/>
        </w:rPr>
        <w:t xml:space="preserve">Ethiopia: </w:t>
      </w:r>
      <w:r w:rsidRPr="00931009">
        <w:t>The emissions estimated by GAINS SSP2 are lower than that by AIM/CGE</w:t>
      </w:r>
      <w:r>
        <w:t xml:space="preserve"> model</w:t>
      </w:r>
      <w:r w:rsidRPr="00931009">
        <w:t>, and higher than the emissions estimated by this work</w:t>
      </w:r>
      <w:r>
        <w:t xml:space="preserve"> </w:t>
      </w:r>
      <w:r w:rsidRPr="00AD4083">
        <w:t>(no COVID baseline and the default COVID-WPS scenario)</w:t>
      </w:r>
      <w:r>
        <w:t>, and t</w:t>
      </w:r>
      <w:r w:rsidRPr="00931009">
        <w:t>he estimation from AIM/CGE SSP5 maintains a stable growth rate.</w:t>
      </w:r>
    </w:p>
    <w:p w14:paraId="06553A5D" w14:textId="77777777" w:rsidR="000946A0" w:rsidRDefault="000946A0" w:rsidP="00AA63CD">
      <w:pPr>
        <w:spacing w:after="100" w:afterAutospacing="1" w:line="360" w:lineRule="auto"/>
      </w:pPr>
      <w:r w:rsidRPr="006B6F9D">
        <w:rPr>
          <w:color w:val="4472C4" w:themeColor="accent1"/>
        </w:rPr>
        <w:t>Georgia</w:t>
      </w:r>
      <w:r w:rsidRPr="006B6F9D">
        <w:rPr>
          <w:rFonts w:hint="eastAsia"/>
          <w:color w:val="4472C4" w:themeColor="accent1"/>
        </w:rPr>
        <w:t>：</w:t>
      </w:r>
      <w:r w:rsidRPr="00F24A93">
        <w:t>The emissions estimated by GAINS SSP2 are lower than that by AIM/CGE</w:t>
      </w:r>
      <w:r>
        <w:t xml:space="preserve"> model</w:t>
      </w:r>
      <w:r w:rsidRPr="00F24A93">
        <w:t>, and higher than the emissions estimated by this work. The carbon emissions estimated by AIM/CGE SSP1 show a downward trend after 2030, while t</w:t>
      </w:r>
      <w:r>
        <w:rPr>
          <w:rFonts w:hint="eastAsia"/>
        </w:rPr>
        <w:t>hat</w:t>
      </w:r>
      <w:r w:rsidRPr="00F24A93">
        <w:t xml:space="preserve"> by GAINS SSP2 first decline and then show an upward trend after 2030.</w:t>
      </w:r>
    </w:p>
    <w:p w14:paraId="0EACB74A" w14:textId="77777777" w:rsidR="000946A0" w:rsidRDefault="000946A0" w:rsidP="00AA63CD">
      <w:pPr>
        <w:spacing w:after="100" w:afterAutospacing="1" w:line="360" w:lineRule="auto"/>
      </w:pPr>
      <w:r w:rsidRPr="006B6F9D">
        <w:rPr>
          <w:color w:val="4472C4" w:themeColor="accent1"/>
        </w:rPr>
        <w:t xml:space="preserve">Ghana: </w:t>
      </w:r>
      <w:r w:rsidRPr="006B6F9D">
        <w:t xml:space="preserve">The emissions estimated by this work </w:t>
      </w:r>
      <w:r w:rsidRPr="00AD4083">
        <w:t>(no COVID baseline and the default COVID-WPS scenario)</w:t>
      </w:r>
      <w:r>
        <w:t xml:space="preserve"> </w:t>
      </w:r>
      <w:r w:rsidRPr="006B6F9D">
        <w:t>are lower than that by AIM/CGE model, and the emissions estimated by GAINS SSP2 are a bit lower than that from this work.</w:t>
      </w:r>
    </w:p>
    <w:p w14:paraId="13003986" w14:textId="77777777" w:rsidR="000946A0" w:rsidRDefault="000946A0" w:rsidP="00AA63CD">
      <w:pPr>
        <w:spacing w:after="100" w:afterAutospacing="1" w:line="360" w:lineRule="auto"/>
      </w:pPr>
      <w:r w:rsidRPr="006B6F9D">
        <w:rPr>
          <w:color w:val="4472C4" w:themeColor="accent1"/>
        </w:rPr>
        <w:t xml:space="preserve">Guatemala: </w:t>
      </w:r>
      <w:r w:rsidRPr="006B6F9D">
        <w:t>The emissions estimated by this work</w:t>
      </w:r>
      <w:r>
        <w:t xml:space="preserve"> </w:t>
      </w:r>
      <w:r w:rsidRPr="00AD4083">
        <w:t>(no COVID baseline and the default COVID-WPS scenario)</w:t>
      </w:r>
      <w:r w:rsidRPr="006B6F9D">
        <w:t xml:space="preserve"> are lower than that by AIM/CGE model, and the emissions estimated by GAINS </w:t>
      </w:r>
      <w:r w:rsidRPr="006B6F9D">
        <w:lastRenderedPageBreak/>
        <w:t>SSP2 are lower than that from this work. The future annual carbon emissions estimated by GAINS and this work will change little.</w:t>
      </w:r>
    </w:p>
    <w:p w14:paraId="0AAB8088" w14:textId="77777777" w:rsidR="000946A0" w:rsidRDefault="000946A0" w:rsidP="00AA63CD">
      <w:pPr>
        <w:spacing w:after="100" w:afterAutospacing="1" w:line="360" w:lineRule="auto"/>
      </w:pPr>
      <w:r w:rsidRPr="001B5032">
        <w:rPr>
          <w:color w:val="4472C4" w:themeColor="accent1"/>
        </w:rPr>
        <w:t>Haiti:</w:t>
      </w:r>
      <w:r w:rsidRPr="00E872CC">
        <w:t xml:space="preserve"> The emissions estimated by GAINS SSP2 are lower than that by AIM/CGE</w:t>
      </w:r>
      <w:r w:rsidRPr="00A86579">
        <w:t xml:space="preserve"> </w:t>
      </w:r>
      <w:r w:rsidRPr="006B6F9D">
        <w:t>model</w:t>
      </w:r>
      <w:r w:rsidRPr="00E872CC">
        <w:t>, and higher than the emissions estimated by this work</w:t>
      </w:r>
      <w:r>
        <w:t xml:space="preserve"> </w:t>
      </w:r>
      <w:bookmarkStart w:id="65" w:name="_Hlk63669670"/>
      <w:r w:rsidRPr="00AD4083">
        <w:t>(no COVID baseline and the default COVID-WPS scenario)</w:t>
      </w:r>
      <w:bookmarkEnd w:id="65"/>
      <w:r w:rsidRPr="00E872CC">
        <w:t>.</w:t>
      </w:r>
    </w:p>
    <w:p w14:paraId="706E9361" w14:textId="77777777" w:rsidR="000946A0" w:rsidRDefault="000946A0" w:rsidP="00AA63CD">
      <w:pPr>
        <w:spacing w:after="100" w:afterAutospacing="1" w:line="360" w:lineRule="auto"/>
      </w:pPr>
      <w:r w:rsidRPr="001B5032">
        <w:rPr>
          <w:color w:val="4472C4" w:themeColor="accent1"/>
        </w:rPr>
        <w:t xml:space="preserve">Honduras: </w:t>
      </w:r>
      <w:r w:rsidRPr="001B5032">
        <w:t xml:space="preserve">The emissions estimated by </w:t>
      </w:r>
      <w:r>
        <w:t xml:space="preserve">this work </w:t>
      </w:r>
      <w:r w:rsidRPr="00AD4083">
        <w:t>(no COVID baseline and the default COVID-WPS scenario)</w:t>
      </w:r>
      <w:r w:rsidRPr="001B5032">
        <w:t xml:space="preserve"> are lower than that by AIM/CGE</w:t>
      </w:r>
      <w:r w:rsidRPr="00A86579">
        <w:t xml:space="preserve"> </w:t>
      </w:r>
      <w:r w:rsidRPr="006B6F9D">
        <w:t>model</w:t>
      </w:r>
      <w:r w:rsidRPr="001B5032">
        <w:t>, and higher than the emissions estimated by GAINS SSP2. The future annual carbon emissions estimated by GAINS and this work will change little.</w:t>
      </w:r>
    </w:p>
    <w:p w14:paraId="5D18F65C" w14:textId="77777777" w:rsidR="000946A0" w:rsidRDefault="000946A0" w:rsidP="00AA63CD">
      <w:pPr>
        <w:spacing w:after="100" w:afterAutospacing="1" w:line="360" w:lineRule="auto"/>
      </w:pPr>
      <w:r w:rsidRPr="00937A4D">
        <w:rPr>
          <w:color w:val="4472C4" w:themeColor="accent1"/>
        </w:rPr>
        <w:t>Indonesia:</w:t>
      </w:r>
      <w:r w:rsidRPr="001B5032">
        <w:t xml:space="preserve"> The emissions estimated by this work</w:t>
      </w:r>
      <w:r>
        <w:t xml:space="preserve"> and </w:t>
      </w:r>
      <w:r w:rsidRPr="001B5032">
        <w:t>GAINS SSP2</w:t>
      </w:r>
      <w:r>
        <w:t xml:space="preserve"> </w:t>
      </w:r>
      <w:r w:rsidRPr="001B5032">
        <w:t xml:space="preserve">are </w:t>
      </w:r>
      <w:r>
        <w:t xml:space="preserve">both </w:t>
      </w:r>
      <w:r w:rsidRPr="001B5032">
        <w:t>lower than that by AIM/CGE</w:t>
      </w:r>
      <w:r>
        <w:t xml:space="preserve"> </w:t>
      </w:r>
      <w:r w:rsidRPr="006B6F9D">
        <w:t>model</w:t>
      </w:r>
      <w:r>
        <w:t>,</w:t>
      </w:r>
      <w:r w:rsidRPr="001B5032">
        <w:t xml:space="preserve"> </w:t>
      </w:r>
      <w:r>
        <w:t>a</w:t>
      </w:r>
      <w:r w:rsidRPr="001B5032">
        <w:t xml:space="preserve">mong them, the emissions estimated by the default-COVID-WPS scenario are lower than the no-COVID baseline from this work, and higher than </w:t>
      </w:r>
      <w:r>
        <w:t>that</w:t>
      </w:r>
      <w:r w:rsidRPr="001B5032">
        <w:t xml:space="preserve"> by GAINS SSP2.</w:t>
      </w:r>
    </w:p>
    <w:p w14:paraId="21B006A8" w14:textId="77777777" w:rsidR="000946A0" w:rsidRDefault="000946A0" w:rsidP="00AA63CD">
      <w:pPr>
        <w:spacing w:after="100" w:afterAutospacing="1" w:line="360" w:lineRule="auto"/>
      </w:pPr>
      <w:r w:rsidRPr="00770C87">
        <w:rPr>
          <w:color w:val="4472C4" w:themeColor="accent1"/>
        </w:rPr>
        <w:t>Iraq:</w:t>
      </w:r>
      <w:r>
        <w:t xml:space="preserve"> </w:t>
      </w:r>
      <w:r w:rsidRPr="00770C87">
        <w:t>The emissions estimated by GAINS SSP2 are lower than that by AIM/CGE</w:t>
      </w:r>
      <w:r w:rsidRPr="00A86579">
        <w:t xml:space="preserve"> </w:t>
      </w:r>
      <w:r w:rsidRPr="006B6F9D">
        <w:t>model</w:t>
      </w:r>
      <w:r w:rsidRPr="00770C87">
        <w:t>, and higher than the emissions estimated by this work</w:t>
      </w:r>
      <w:r>
        <w:t xml:space="preserve"> </w:t>
      </w:r>
      <w:bookmarkStart w:id="66" w:name="_Hlk63669817"/>
      <w:r w:rsidRPr="00AD4083">
        <w:t>(no COVID baseline and the default COVID-WPS scenario)</w:t>
      </w:r>
      <w:bookmarkEnd w:id="66"/>
      <w:r w:rsidRPr="00770C87">
        <w:t>.</w:t>
      </w:r>
    </w:p>
    <w:p w14:paraId="78FC2FB2" w14:textId="77777777" w:rsidR="000946A0" w:rsidRDefault="000946A0" w:rsidP="00AA63CD">
      <w:pPr>
        <w:spacing w:after="100" w:afterAutospacing="1" w:line="360" w:lineRule="auto"/>
      </w:pPr>
      <w:r w:rsidRPr="00770C87">
        <w:rPr>
          <w:color w:val="4472C4" w:themeColor="accent1"/>
        </w:rPr>
        <w:t>Jordan</w:t>
      </w:r>
      <w:r w:rsidRPr="00770C87">
        <w:rPr>
          <w:rFonts w:hint="eastAsia"/>
          <w:color w:val="4472C4" w:themeColor="accent1"/>
        </w:rPr>
        <w:t>：</w:t>
      </w:r>
      <w:r w:rsidRPr="00770C87">
        <w:t>The emissions estimated by GAINS SSP2 are lower than that by AIM/CGE</w:t>
      </w:r>
      <w:r w:rsidRPr="00A86579">
        <w:t xml:space="preserve"> </w:t>
      </w:r>
      <w:r w:rsidRPr="006B6F9D">
        <w:t>model</w:t>
      </w:r>
      <w:r w:rsidRPr="00770C87">
        <w:t>, and higher than the emissions estimated by this work</w:t>
      </w:r>
      <w:r>
        <w:t xml:space="preserve"> </w:t>
      </w:r>
      <w:r w:rsidRPr="00AD4083">
        <w:t>(no COVID baseline and the default COVID-WPS scenario)</w:t>
      </w:r>
      <w:r w:rsidRPr="00770C87">
        <w:t>.</w:t>
      </w:r>
    </w:p>
    <w:p w14:paraId="7DBEC99B" w14:textId="77777777" w:rsidR="000946A0" w:rsidRDefault="000946A0" w:rsidP="00AA63CD">
      <w:pPr>
        <w:spacing w:after="100" w:afterAutospacing="1" w:line="360" w:lineRule="auto"/>
      </w:pPr>
      <w:r w:rsidRPr="00BB7CEE">
        <w:rPr>
          <w:color w:val="4472C4" w:themeColor="accent1"/>
        </w:rPr>
        <w:t>Kenya</w:t>
      </w:r>
      <w:r w:rsidRPr="00BB7CEE">
        <w:rPr>
          <w:rFonts w:hint="eastAsia"/>
          <w:color w:val="4472C4" w:themeColor="accent1"/>
        </w:rPr>
        <w:t>：</w:t>
      </w:r>
      <w:proofErr w:type="gramStart"/>
      <w:r w:rsidRPr="00770C87">
        <w:t>Similar to</w:t>
      </w:r>
      <w:proofErr w:type="gramEnd"/>
      <w:r>
        <w:t xml:space="preserve"> </w:t>
      </w:r>
      <w:r w:rsidRPr="00770C87">
        <w:t>Iraq</w:t>
      </w:r>
      <w:r>
        <w:t xml:space="preserve"> </w:t>
      </w:r>
      <w:r>
        <w:rPr>
          <w:rFonts w:hint="eastAsia"/>
        </w:rPr>
        <w:t>and</w:t>
      </w:r>
      <w:r w:rsidRPr="00770C87">
        <w:t xml:space="preserve"> Jordan</w:t>
      </w:r>
      <w:r>
        <w:t>,</w:t>
      </w:r>
      <w:r w:rsidRPr="00770C87">
        <w:t xml:space="preserve"> </w:t>
      </w:r>
      <w:r>
        <w:t>t</w:t>
      </w:r>
      <w:r w:rsidRPr="00770C87">
        <w:t>he emissions estimated by GAINS SSP2 are lower than that by AIM/CGE</w:t>
      </w:r>
      <w:r w:rsidRPr="00A86579">
        <w:t xml:space="preserve"> </w:t>
      </w:r>
      <w:r w:rsidRPr="006B6F9D">
        <w:t>model</w:t>
      </w:r>
      <w:r w:rsidRPr="00770C87">
        <w:t>, and higher than the emissions estimated by this work</w:t>
      </w:r>
      <w:r>
        <w:t xml:space="preserve"> </w:t>
      </w:r>
      <w:r w:rsidRPr="00AD4083">
        <w:t>(no COVID baseline and the default COVID-WPS scenario)</w:t>
      </w:r>
      <w:r w:rsidRPr="00770C87">
        <w:t>.</w:t>
      </w:r>
    </w:p>
    <w:p w14:paraId="1B492896" w14:textId="77777777" w:rsidR="000946A0" w:rsidRDefault="000946A0" w:rsidP="00AA63CD">
      <w:pPr>
        <w:spacing w:after="100" w:afterAutospacing="1" w:line="360" w:lineRule="auto"/>
      </w:pPr>
      <w:r w:rsidRPr="00BB7CEE">
        <w:rPr>
          <w:color w:val="4472C4" w:themeColor="accent1"/>
        </w:rPr>
        <w:t>Kyrgyzstan:</w:t>
      </w:r>
      <w:r w:rsidRPr="00BB7CEE">
        <w:t xml:space="preserve"> The emissions estimated by GAINS SSP2 are lower than that by AIM/CGE</w:t>
      </w:r>
      <w:r w:rsidRPr="00A86579">
        <w:t xml:space="preserve"> </w:t>
      </w:r>
      <w:r w:rsidRPr="006B6F9D">
        <w:t>model</w:t>
      </w:r>
      <w:r w:rsidRPr="00BB7CEE">
        <w:t>, and higher than the emissions estimated by this work</w:t>
      </w:r>
      <w:r>
        <w:t xml:space="preserve"> </w:t>
      </w:r>
      <w:r w:rsidRPr="00AD4083">
        <w:t>(no COVID baseline and the default COVID-WPS scenario)</w:t>
      </w:r>
      <w:r w:rsidRPr="00BB7CEE">
        <w:t>.</w:t>
      </w:r>
      <w:r>
        <w:t xml:space="preserve"> </w:t>
      </w:r>
      <w:r w:rsidRPr="00BB7CEE">
        <w:t>And the emission trends estimated by GAINS SSP2 and this work are roughly the same.</w:t>
      </w:r>
    </w:p>
    <w:p w14:paraId="60A6BDE9" w14:textId="77777777" w:rsidR="000946A0" w:rsidRDefault="000946A0" w:rsidP="00AA63CD">
      <w:pPr>
        <w:spacing w:after="100" w:afterAutospacing="1" w:line="360" w:lineRule="auto"/>
      </w:pPr>
      <w:r w:rsidRPr="004F2B22">
        <w:rPr>
          <w:color w:val="4472C4" w:themeColor="accent1"/>
        </w:rPr>
        <w:lastRenderedPageBreak/>
        <w:t>Lao People's Dem. Rep.</w:t>
      </w:r>
      <w:r>
        <w:rPr>
          <w:color w:val="4472C4" w:themeColor="accent1"/>
        </w:rPr>
        <w:t xml:space="preserve">: </w:t>
      </w:r>
      <w:r w:rsidRPr="00AD4083">
        <w:t xml:space="preserve">The history emissions sourced from IEA have grown rapidly, making the carbon emissions estimated by this work </w:t>
      </w:r>
      <w:bookmarkStart w:id="67" w:name="_Hlk63670266"/>
      <w:r w:rsidRPr="00AD4083">
        <w:t xml:space="preserve">(no COVID baseline and the default COVID-WPS scenario) </w:t>
      </w:r>
      <w:bookmarkEnd w:id="67"/>
      <w:r w:rsidRPr="00AD4083">
        <w:t xml:space="preserve">higher than </w:t>
      </w:r>
      <w:r>
        <w:t xml:space="preserve">that </w:t>
      </w:r>
      <w:r w:rsidRPr="00AD4083">
        <w:t>by AIM/CGE and GAINS</w:t>
      </w:r>
      <w:r w:rsidRPr="00A86579">
        <w:t xml:space="preserve"> </w:t>
      </w:r>
      <w:r w:rsidRPr="006B6F9D">
        <w:t>model</w:t>
      </w:r>
      <w:r w:rsidRPr="00AD4083">
        <w:t>. Among them, the estimation from GAINS</w:t>
      </w:r>
      <w:r>
        <w:t xml:space="preserve"> is </w:t>
      </w:r>
      <w:r w:rsidRPr="00AD4083">
        <w:t>the lowest.</w:t>
      </w:r>
    </w:p>
    <w:p w14:paraId="77D06F0E" w14:textId="77777777" w:rsidR="000946A0" w:rsidRDefault="000946A0" w:rsidP="00AA63CD">
      <w:pPr>
        <w:spacing w:after="100" w:afterAutospacing="1" w:line="360" w:lineRule="auto"/>
      </w:pPr>
      <w:r w:rsidRPr="003B7CB3">
        <w:rPr>
          <w:color w:val="4472C4" w:themeColor="accent1"/>
        </w:rPr>
        <w:t xml:space="preserve">Lebanon: </w:t>
      </w:r>
      <w:r w:rsidRPr="003B7CB3">
        <w:t>AIM/CGE SSP5 and SSP1 have the highest estimated emissions, and the estimation of SSP1 is decreasing year by year</w:t>
      </w:r>
      <w:r>
        <w:t xml:space="preserve"> after 2020</w:t>
      </w:r>
      <w:r w:rsidRPr="003B7CB3">
        <w:t>. The emissions estimated by this work</w:t>
      </w:r>
      <w:r>
        <w:t xml:space="preserve"> </w:t>
      </w:r>
      <w:r w:rsidRPr="00AD4083">
        <w:t xml:space="preserve">(no COVID baseline and the default COVID-WPS scenario) </w:t>
      </w:r>
      <w:r w:rsidRPr="003B7CB3">
        <w:t>will continue to rise in the future and exceed the emissions estimated by the GAINS model</w:t>
      </w:r>
      <w:r>
        <w:t>.</w:t>
      </w:r>
    </w:p>
    <w:p w14:paraId="12415D02" w14:textId="77777777" w:rsidR="000946A0" w:rsidRDefault="000946A0" w:rsidP="00AA63CD">
      <w:pPr>
        <w:spacing w:after="100" w:afterAutospacing="1" w:line="360" w:lineRule="auto"/>
      </w:pPr>
      <w:r w:rsidRPr="003B7CB3">
        <w:rPr>
          <w:color w:val="4472C4" w:themeColor="accent1"/>
        </w:rPr>
        <w:t>Mali:</w:t>
      </w:r>
      <w:r w:rsidRPr="003B7CB3">
        <w:t xml:space="preserve"> The emissions estimated by GAINS SSP2 are lower than that by AIM/CGE</w:t>
      </w:r>
      <w:r w:rsidRPr="00A86579">
        <w:t xml:space="preserve"> </w:t>
      </w:r>
      <w:r w:rsidRPr="006B6F9D">
        <w:t>model</w:t>
      </w:r>
      <w:r w:rsidRPr="003B7CB3">
        <w:t>, and higher than the emissions estimated by this work</w:t>
      </w:r>
      <w:r>
        <w:t xml:space="preserve"> </w:t>
      </w:r>
      <w:r w:rsidRPr="00AD4083">
        <w:t>(no COVID baseline and the default COVID-WPS scenario)</w:t>
      </w:r>
      <w:r w:rsidRPr="003B7CB3">
        <w:t>.</w:t>
      </w:r>
    </w:p>
    <w:p w14:paraId="7099BF02" w14:textId="77777777" w:rsidR="000946A0" w:rsidRDefault="000946A0" w:rsidP="00AA63CD">
      <w:pPr>
        <w:spacing w:after="100" w:afterAutospacing="1" w:line="360" w:lineRule="auto"/>
      </w:pPr>
      <w:r w:rsidRPr="00346E2A">
        <w:rPr>
          <w:color w:val="4472C4" w:themeColor="accent1"/>
        </w:rPr>
        <w:t>Mongolia</w:t>
      </w:r>
      <w:r w:rsidRPr="00346E2A">
        <w:rPr>
          <w:rFonts w:hint="eastAsia"/>
          <w:color w:val="4472C4" w:themeColor="accent1"/>
        </w:rPr>
        <w:t>：</w:t>
      </w:r>
      <w:r w:rsidRPr="000E3CE7">
        <w:t>The emissions estimated in this work</w:t>
      </w:r>
      <w:r>
        <w:t xml:space="preserve"> </w:t>
      </w:r>
      <w:r w:rsidRPr="00AD4083">
        <w:t>(no COVID baseline and the default COVID-WPS scenario)</w:t>
      </w:r>
      <w:r w:rsidRPr="000E3CE7">
        <w:t xml:space="preserve"> are about twice the emissions estimated by GAINS SSP2 and about three times t</w:t>
      </w:r>
      <w:r>
        <w:rPr>
          <w:rFonts w:hint="eastAsia"/>
        </w:rPr>
        <w:t>hat</w:t>
      </w:r>
      <w:r w:rsidRPr="000E3CE7">
        <w:t xml:space="preserve"> by AIM/CGE</w:t>
      </w:r>
      <w:r w:rsidRPr="00A86579">
        <w:t xml:space="preserve"> </w:t>
      </w:r>
      <w:r w:rsidRPr="006B6F9D">
        <w:t>model</w:t>
      </w:r>
      <w:r w:rsidRPr="000E3CE7">
        <w:t>.</w:t>
      </w:r>
      <w:r>
        <w:t xml:space="preserve"> </w:t>
      </w:r>
    </w:p>
    <w:p w14:paraId="5541B326" w14:textId="77777777" w:rsidR="000946A0" w:rsidRDefault="000946A0" w:rsidP="00AA63CD">
      <w:pPr>
        <w:spacing w:after="100" w:afterAutospacing="1" w:line="360" w:lineRule="auto"/>
      </w:pPr>
      <w:r w:rsidRPr="00346E2A">
        <w:rPr>
          <w:color w:val="4472C4" w:themeColor="accent1"/>
        </w:rPr>
        <w:t xml:space="preserve">Morocco: </w:t>
      </w:r>
      <w:r w:rsidRPr="00770C87">
        <w:t>The emissions estimated by GAINS SSP2 are lower than that by AIM/CGE</w:t>
      </w:r>
      <w:r w:rsidRPr="00A86579">
        <w:t xml:space="preserve"> </w:t>
      </w:r>
      <w:r w:rsidRPr="006B6F9D">
        <w:t>model</w:t>
      </w:r>
      <w:r w:rsidRPr="00770C87">
        <w:t xml:space="preserve">, and </w:t>
      </w:r>
      <w:r>
        <w:t xml:space="preserve">slightly </w:t>
      </w:r>
      <w:r w:rsidRPr="00770C87">
        <w:t>higher than the emissions estimated by this work</w:t>
      </w:r>
      <w:r>
        <w:t>;</w:t>
      </w:r>
      <w:r w:rsidRPr="000E3CE7">
        <w:t xml:space="preserve"> the emissions estimated by the default-COVID-WPS scenario are </w:t>
      </w:r>
      <w:r>
        <w:t xml:space="preserve">a bit </w:t>
      </w:r>
      <w:r w:rsidRPr="000E3CE7">
        <w:t>lower than the no-COVID baseline from this work</w:t>
      </w:r>
      <w:r>
        <w:t>.</w:t>
      </w:r>
    </w:p>
    <w:p w14:paraId="5482A9B8" w14:textId="77777777" w:rsidR="000946A0" w:rsidRDefault="000946A0" w:rsidP="00AA63CD">
      <w:pPr>
        <w:spacing w:after="100" w:afterAutospacing="1" w:line="360" w:lineRule="auto"/>
      </w:pPr>
      <w:r w:rsidRPr="00346E2A">
        <w:rPr>
          <w:color w:val="4472C4" w:themeColor="accent1"/>
        </w:rPr>
        <w:t>Mozambique:</w:t>
      </w:r>
      <w:r w:rsidRPr="00254A70">
        <w:t xml:space="preserve"> </w:t>
      </w:r>
      <w:r>
        <w:t>T</w:t>
      </w:r>
      <w:r w:rsidRPr="00254A70">
        <w:t>he emissions estimated by GAINS SSP2 are lower than that by AIM/CGE</w:t>
      </w:r>
      <w:r w:rsidRPr="00A86579">
        <w:t xml:space="preserve"> </w:t>
      </w:r>
      <w:r w:rsidRPr="006B6F9D">
        <w:t>model</w:t>
      </w:r>
      <w:r w:rsidRPr="00254A70">
        <w:t>, and higher than the emissions estimated by this work</w:t>
      </w:r>
      <w:r>
        <w:t xml:space="preserve"> </w:t>
      </w:r>
      <w:r w:rsidRPr="00AD4083">
        <w:t>(no COVID baseline and the default COVID-WPS scenario)</w:t>
      </w:r>
      <w:r w:rsidRPr="00254A70">
        <w:t>.</w:t>
      </w:r>
    </w:p>
    <w:p w14:paraId="33B5EDC8" w14:textId="77777777" w:rsidR="000946A0" w:rsidRDefault="000946A0" w:rsidP="00AA63CD">
      <w:pPr>
        <w:spacing w:after="100" w:afterAutospacing="1" w:line="360" w:lineRule="auto"/>
      </w:pPr>
      <w:r w:rsidRPr="00346E2A">
        <w:rPr>
          <w:color w:val="4472C4" w:themeColor="accent1"/>
        </w:rPr>
        <w:t>Myanmar:</w:t>
      </w:r>
      <w:r w:rsidRPr="00254A70">
        <w:t xml:space="preserve"> </w:t>
      </w:r>
      <w:r w:rsidRPr="00260A04">
        <w:t>The emissions estimated by this work are lower than that by AIM/CGE model, and the emissions estimated by GAINS SSP2 are lower than that from this work</w:t>
      </w:r>
      <w:r>
        <w:t xml:space="preserve"> </w:t>
      </w:r>
      <w:r w:rsidRPr="00AD4083">
        <w:t>(no COVID baseline and the default COVID-WPS scenario)</w:t>
      </w:r>
      <w:r w:rsidRPr="00260A04">
        <w:t>.</w:t>
      </w:r>
    </w:p>
    <w:p w14:paraId="656FE7BF" w14:textId="77777777" w:rsidR="000946A0" w:rsidRDefault="000946A0" w:rsidP="00AA63CD">
      <w:pPr>
        <w:spacing w:after="100" w:afterAutospacing="1" w:line="360" w:lineRule="auto"/>
      </w:pPr>
      <w:r w:rsidRPr="00346E2A">
        <w:rPr>
          <w:color w:val="4472C4" w:themeColor="accent1"/>
        </w:rPr>
        <w:t xml:space="preserve">Namibia: </w:t>
      </w:r>
      <w:r w:rsidRPr="00770C87">
        <w:t>The emissions estimated by GAINS SSP2 are lower than that by AIM/CGE</w:t>
      </w:r>
      <w:r w:rsidRPr="00A86579">
        <w:t xml:space="preserve"> </w:t>
      </w:r>
      <w:r w:rsidRPr="006B6F9D">
        <w:t>model</w:t>
      </w:r>
      <w:r w:rsidRPr="00770C87">
        <w:t xml:space="preserve">, and </w:t>
      </w:r>
      <w:r>
        <w:t xml:space="preserve">slightly </w:t>
      </w:r>
      <w:r w:rsidRPr="00770C87">
        <w:t>higher than the emissions estimated by this work</w:t>
      </w:r>
      <w:r>
        <w:t xml:space="preserve"> </w:t>
      </w:r>
      <w:r w:rsidRPr="00AD4083">
        <w:t xml:space="preserve">(no COVID baseline and the </w:t>
      </w:r>
      <w:r w:rsidRPr="00AD4083">
        <w:lastRenderedPageBreak/>
        <w:t>default COVID-WPS scenario)</w:t>
      </w:r>
      <w:r>
        <w:t>.</w:t>
      </w:r>
    </w:p>
    <w:p w14:paraId="111A7F47" w14:textId="77777777" w:rsidR="000946A0" w:rsidRPr="00254A70" w:rsidRDefault="000946A0" w:rsidP="00AA63CD">
      <w:pPr>
        <w:spacing w:after="100" w:afterAutospacing="1" w:line="360" w:lineRule="auto"/>
      </w:pPr>
      <w:r w:rsidRPr="00346E2A">
        <w:rPr>
          <w:color w:val="4472C4" w:themeColor="accent1"/>
        </w:rPr>
        <w:t>Nepal:</w:t>
      </w:r>
      <w:r w:rsidRPr="00254A70">
        <w:t xml:space="preserve"> </w:t>
      </w:r>
      <w:r>
        <w:t>T</w:t>
      </w:r>
      <w:r w:rsidRPr="00254A70">
        <w:t xml:space="preserve">he estimation of AIM/CGE SSP5 </w:t>
      </w:r>
      <w:r>
        <w:t>is</w:t>
      </w:r>
      <w:r w:rsidRPr="00254A70">
        <w:t xml:space="preserve"> the highest</w:t>
      </w:r>
      <w:r>
        <w:t>,</w:t>
      </w:r>
      <w:r w:rsidRPr="00254A70">
        <w:t xml:space="preserve"> while GAINS SSP2 estimates the lowest emissions. </w:t>
      </w:r>
      <w:r>
        <w:t>T</w:t>
      </w:r>
      <w:r w:rsidRPr="00254A70">
        <w:t>he emissions estimated by AIM/CGE SSP</w:t>
      </w:r>
      <w:r>
        <w:t>1</w:t>
      </w:r>
      <w:r w:rsidRPr="00254A70">
        <w:t xml:space="preserve"> </w:t>
      </w:r>
      <w:r>
        <w:t>are a bit</w:t>
      </w:r>
      <w:r w:rsidRPr="00254A70">
        <w:t xml:space="preserve"> higher than the emissions adjusted in this work (no-COVID baseline)</w:t>
      </w:r>
      <w:r>
        <w:t>, and that</w:t>
      </w:r>
      <w:r w:rsidRPr="00254A70">
        <w:t xml:space="preserve"> by the</w:t>
      </w:r>
      <w:r w:rsidRPr="00B72DC0">
        <w:t xml:space="preserve"> no-COVID baseline</w:t>
      </w:r>
      <w:r w:rsidRPr="00254A70">
        <w:t xml:space="preserve"> are a bit</w:t>
      </w:r>
      <w:r>
        <w:t xml:space="preserve"> higher</w:t>
      </w:r>
      <w:r w:rsidRPr="00254A70">
        <w:t xml:space="preserve"> than the </w:t>
      </w:r>
      <w:r w:rsidRPr="00B72DC0">
        <w:t>default-COVID-WPS scenario</w:t>
      </w:r>
      <w:r w:rsidRPr="00254A70">
        <w:t xml:space="preserve"> from this work.</w:t>
      </w:r>
    </w:p>
    <w:p w14:paraId="4091880E" w14:textId="77777777" w:rsidR="000946A0" w:rsidRDefault="000946A0" w:rsidP="00AA63CD">
      <w:pPr>
        <w:spacing w:after="100" w:afterAutospacing="1" w:line="360" w:lineRule="auto"/>
      </w:pPr>
      <w:r w:rsidRPr="00346E2A">
        <w:rPr>
          <w:color w:val="4472C4" w:themeColor="accent1"/>
        </w:rPr>
        <w:t xml:space="preserve">Nicaragua: </w:t>
      </w:r>
      <w:r w:rsidRPr="00260A04">
        <w:t>The emissions estimated by this work</w:t>
      </w:r>
      <w:r>
        <w:t xml:space="preserve"> </w:t>
      </w:r>
      <w:r w:rsidRPr="006A700A">
        <w:t>(no COVID baseline and the default COVID-WPS scenario)</w:t>
      </w:r>
      <w:r w:rsidRPr="00260A04">
        <w:t xml:space="preserve"> are lower than that by AIM/CGE model, and the emissions </w:t>
      </w:r>
      <w:r w:rsidRPr="00DC736E">
        <w:t xml:space="preserve">close to </w:t>
      </w:r>
      <w:r>
        <w:t xml:space="preserve">0 Mt </w:t>
      </w:r>
      <w:r w:rsidRPr="00260A04">
        <w:t>estimated by GAINS SSP2 are lower than that from this work.</w:t>
      </w:r>
    </w:p>
    <w:p w14:paraId="2A1D62F2" w14:textId="77777777" w:rsidR="000946A0" w:rsidRDefault="000946A0" w:rsidP="00AA63CD">
      <w:pPr>
        <w:spacing w:after="100" w:afterAutospacing="1" w:line="360" w:lineRule="auto"/>
      </w:pPr>
      <w:r w:rsidRPr="00346E2A">
        <w:rPr>
          <w:color w:val="4472C4" w:themeColor="accent1"/>
        </w:rPr>
        <w:t xml:space="preserve">Niger: </w:t>
      </w:r>
      <w:r w:rsidRPr="00770C87">
        <w:t>The emissions estimated by GAINS SSP2 are lower than that by AIM/CGE</w:t>
      </w:r>
      <w:r w:rsidRPr="00A86579">
        <w:t xml:space="preserve"> </w:t>
      </w:r>
      <w:r w:rsidRPr="006B6F9D">
        <w:t>model</w:t>
      </w:r>
      <w:r w:rsidRPr="00770C87">
        <w:t>, and higher than the emissions estimated by this work</w:t>
      </w:r>
      <w:r>
        <w:t xml:space="preserve"> </w:t>
      </w:r>
      <w:r w:rsidRPr="006A700A">
        <w:t>(no COVID baseline and the default COVID-WPS scenario)</w:t>
      </w:r>
      <w:r w:rsidRPr="00770C87">
        <w:t>.</w:t>
      </w:r>
    </w:p>
    <w:p w14:paraId="446999EF" w14:textId="77777777" w:rsidR="000946A0" w:rsidRDefault="000946A0" w:rsidP="00AA63CD">
      <w:pPr>
        <w:spacing w:after="100" w:afterAutospacing="1" w:line="360" w:lineRule="auto"/>
      </w:pPr>
      <w:r w:rsidRPr="00346E2A">
        <w:rPr>
          <w:color w:val="4472C4" w:themeColor="accent1"/>
        </w:rPr>
        <w:t>Nigeria:</w:t>
      </w:r>
      <w:r w:rsidRPr="006A700A">
        <w:t xml:space="preserve"> </w:t>
      </w:r>
      <w:proofErr w:type="gramStart"/>
      <w:r w:rsidRPr="00770C87">
        <w:t>Similar to</w:t>
      </w:r>
      <w:proofErr w:type="gramEnd"/>
      <w:r w:rsidRPr="006A700A">
        <w:t xml:space="preserve"> Niger</w:t>
      </w:r>
      <w:r>
        <w:t>,</w:t>
      </w:r>
      <w:r w:rsidRPr="006A700A">
        <w:t xml:space="preserve"> </w:t>
      </w:r>
      <w:r>
        <w:t>t</w:t>
      </w:r>
      <w:r w:rsidRPr="00770C87">
        <w:t>he emissions estimated by GAINS SSP2 are lower than that by AIM/CGE</w:t>
      </w:r>
      <w:r w:rsidRPr="00A86579">
        <w:t xml:space="preserve"> </w:t>
      </w:r>
      <w:r w:rsidRPr="006B6F9D">
        <w:t>model</w:t>
      </w:r>
      <w:r w:rsidRPr="00770C87">
        <w:t>, and higher than the emissions estimated by this work.</w:t>
      </w:r>
      <w:r w:rsidRPr="006A700A">
        <w:t xml:space="preserve"> And there is a large gap in emissions among </w:t>
      </w:r>
      <w:r>
        <w:t xml:space="preserve">the </w:t>
      </w:r>
      <w:r w:rsidRPr="006A700A">
        <w:t>several scenarios.</w:t>
      </w:r>
    </w:p>
    <w:p w14:paraId="22432C42" w14:textId="77777777" w:rsidR="000946A0" w:rsidRDefault="000946A0" w:rsidP="00AA63CD">
      <w:pPr>
        <w:spacing w:after="100" w:afterAutospacing="1" w:line="360" w:lineRule="auto"/>
      </w:pPr>
      <w:r w:rsidRPr="00346E2A">
        <w:rPr>
          <w:color w:val="4472C4" w:themeColor="accent1"/>
        </w:rPr>
        <w:t>Oman:</w:t>
      </w:r>
      <w:r w:rsidRPr="00346E2A">
        <w:t xml:space="preserve"> The history emissions sourced from IEA have grown rapidly, making the emissions estimated by this work (no COVID baseline and the default COVID-WPS scenario) higher than that by AIM/CGE and GAINS</w:t>
      </w:r>
      <w:r w:rsidRPr="00A86579">
        <w:t xml:space="preserve"> </w:t>
      </w:r>
      <w:r w:rsidRPr="006B6F9D">
        <w:t>model</w:t>
      </w:r>
      <w:r w:rsidRPr="00346E2A">
        <w:t>. Among them, the estimation from GAINS is the lowest</w:t>
      </w:r>
      <w:r>
        <w:t xml:space="preserve">, </w:t>
      </w:r>
      <w:r w:rsidRPr="00346E2A">
        <w:t xml:space="preserve">and the gap with </w:t>
      </w:r>
      <w:r w:rsidRPr="007F47D9">
        <w:t xml:space="preserve">emissions estimated by </w:t>
      </w:r>
      <w:r w:rsidRPr="00346E2A">
        <w:t>AIM/CGE SSP1 is narrowing</w:t>
      </w:r>
      <w:r>
        <w:rPr>
          <w:rFonts w:hint="eastAsia"/>
        </w:rPr>
        <w:t>.</w:t>
      </w:r>
    </w:p>
    <w:p w14:paraId="0605AFEE" w14:textId="77777777" w:rsidR="000946A0" w:rsidRDefault="000946A0" w:rsidP="00AA63CD">
      <w:pPr>
        <w:spacing w:after="100" w:afterAutospacing="1" w:line="360" w:lineRule="auto"/>
      </w:pPr>
      <w:r w:rsidRPr="009643C5">
        <w:rPr>
          <w:color w:val="4472C4" w:themeColor="accent1"/>
        </w:rPr>
        <w:t>Pakistan</w:t>
      </w:r>
      <w:r w:rsidRPr="009643C5">
        <w:rPr>
          <w:rFonts w:hint="eastAsia"/>
          <w:color w:val="4472C4" w:themeColor="accent1"/>
        </w:rPr>
        <w:t>：</w:t>
      </w:r>
      <w:r w:rsidRPr="007F47D9">
        <w:t>Except for the historical scenarios indicated by the green line, the estimated emissions trends of the other five scenarios are relatively similar, and the emissions from high to low are</w:t>
      </w:r>
      <w:r>
        <w:t xml:space="preserve"> AIM/CGE </w:t>
      </w:r>
      <w:r w:rsidRPr="007F47D9">
        <w:t xml:space="preserve">SSP5, </w:t>
      </w:r>
      <w:r w:rsidRPr="00254A70">
        <w:t>this work (no-COVID baseline)</w:t>
      </w:r>
      <w:r>
        <w:t xml:space="preserve">, </w:t>
      </w:r>
      <w:r w:rsidRPr="00254A70">
        <w:t>this work</w:t>
      </w:r>
      <w:r w:rsidRPr="007F47D9">
        <w:t xml:space="preserve"> </w:t>
      </w:r>
      <w:r>
        <w:t>(</w:t>
      </w:r>
      <w:r w:rsidRPr="00B72DC0">
        <w:t>default-COVID-WPS</w:t>
      </w:r>
      <w:r>
        <w:t>),</w:t>
      </w:r>
      <w:r w:rsidRPr="007F47D9">
        <w:t xml:space="preserve"> </w:t>
      </w:r>
      <w:r w:rsidRPr="00770C87">
        <w:t>GAINS SSP2</w:t>
      </w:r>
      <w:r>
        <w:rPr>
          <w:rFonts w:hint="eastAsia"/>
        </w:rPr>
        <w:t xml:space="preserve"> </w:t>
      </w:r>
      <w:r>
        <w:t xml:space="preserve">and </w:t>
      </w:r>
      <w:r w:rsidRPr="00346E2A">
        <w:t>AIM/CGE SSP1</w:t>
      </w:r>
      <w:r>
        <w:t>.</w:t>
      </w:r>
    </w:p>
    <w:p w14:paraId="233AE9AC" w14:textId="77777777" w:rsidR="000946A0" w:rsidRDefault="000946A0" w:rsidP="00AA63CD">
      <w:pPr>
        <w:spacing w:after="100" w:afterAutospacing="1" w:line="360" w:lineRule="auto"/>
      </w:pPr>
      <w:r w:rsidRPr="009643C5">
        <w:rPr>
          <w:color w:val="4472C4" w:themeColor="accent1"/>
        </w:rPr>
        <w:t xml:space="preserve">Paraguay: </w:t>
      </w:r>
      <w:r>
        <w:t>The emissions estimated by GAINS model are lower than that by AIM/CGE model, and the emissions adjusted in this work (no-COVID baseline) are a bit higher than that from GAINS SSP2.</w:t>
      </w:r>
    </w:p>
    <w:p w14:paraId="26232568" w14:textId="77777777" w:rsidR="000946A0" w:rsidRDefault="000946A0" w:rsidP="00AA63CD">
      <w:pPr>
        <w:spacing w:after="100" w:afterAutospacing="1" w:line="360" w:lineRule="auto"/>
      </w:pPr>
      <w:r w:rsidRPr="009643C5">
        <w:rPr>
          <w:color w:val="4472C4" w:themeColor="accent1"/>
        </w:rPr>
        <w:lastRenderedPageBreak/>
        <w:t xml:space="preserve">Peru: </w:t>
      </w:r>
      <w:r w:rsidRPr="00075FEB">
        <w:t>The estimated emissions of AIM/CGE</w:t>
      </w:r>
      <w:r>
        <w:t xml:space="preserve"> </w:t>
      </w:r>
      <w:r w:rsidRPr="006B6F9D">
        <w:t>model</w:t>
      </w:r>
      <w:r w:rsidRPr="00075FEB">
        <w:t xml:space="preserve"> are much higher than t</w:t>
      </w:r>
      <w:r>
        <w:t>hat by</w:t>
      </w:r>
      <w:r w:rsidRPr="00075FEB">
        <w:t xml:space="preserve"> GAINS</w:t>
      </w:r>
      <w:r>
        <w:t xml:space="preserve"> model</w:t>
      </w:r>
      <w:r w:rsidRPr="00075FEB">
        <w:t>, and the estimated emissions of GAINS are higher than</w:t>
      </w:r>
      <w:r>
        <w:t xml:space="preserve"> </w:t>
      </w:r>
      <w:r w:rsidRPr="00346E2A">
        <w:t xml:space="preserve">this work </w:t>
      </w:r>
      <w:bookmarkStart w:id="68" w:name="_Hlk63670833"/>
      <w:r w:rsidRPr="00346E2A">
        <w:t>(no COVID baseline and the default COVID-WPS scenario)</w:t>
      </w:r>
      <w:bookmarkEnd w:id="68"/>
      <w:r>
        <w:t>;</w:t>
      </w:r>
      <w:r w:rsidRPr="00E17723">
        <w:t xml:space="preserve"> </w:t>
      </w:r>
      <w:r>
        <w:t>t</w:t>
      </w:r>
      <w:r w:rsidRPr="00E17723">
        <w:t>he emission gap between AIM/CGE SSP1 and SSP5 is widening.</w:t>
      </w:r>
    </w:p>
    <w:p w14:paraId="2D5EC9EB" w14:textId="77777777" w:rsidR="000946A0" w:rsidRDefault="000946A0" w:rsidP="00AA63CD">
      <w:pPr>
        <w:spacing w:after="100" w:afterAutospacing="1" w:line="360" w:lineRule="auto"/>
      </w:pPr>
      <w:r w:rsidRPr="009643C5">
        <w:rPr>
          <w:color w:val="4472C4" w:themeColor="accent1"/>
        </w:rPr>
        <w:t xml:space="preserve">Philippines: </w:t>
      </w:r>
      <w:r>
        <w:t>T</w:t>
      </w:r>
      <w:r w:rsidRPr="007F47D9">
        <w:t>he emissions from high to low are</w:t>
      </w:r>
      <w:r>
        <w:t xml:space="preserve"> AIM/CGE </w:t>
      </w:r>
      <w:r w:rsidRPr="007F47D9">
        <w:t xml:space="preserve">SSP5, </w:t>
      </w:r>
      <w:r w:rsidRPr="008A6799">
        <w:t>GAINS SSP2</w:t>
      </w:r>
      <w:r>
        <w:t xml:space="preserve">, </w:t>
      </w:r>
      <w:r w:rsidRPr="00254A70">
        <w:t>this work (no-COVID baseline)</w:t>
      </w:r>
      <w:r>
        <w:t xml:space="preserve">, </w:t>
      </w:r>
      <w:r w:rsidRPr="00254A70">
        <w:t>this work</w:t>
      </w:r>
      <w:r w:rsidRPr="007F47D9">
        <w:t xml:space="preserve"> </w:t>
      </w:r>
      <w:r>
        <w:t>(</w:t>
      </w:r>
      <w:r w:rsidRPr="00B72DC0">
        <w:t>default-COVID-WPS</w:t>
      </w:r>
      <w:r>
        <w:t>),</w:t>
      </w:r>
      <w:r>
        <w:rPr>
          <w:rFonts w:hint="eastAsia"/>
        </w:rPr>
        <w:t xml:space="preserve"> </w:t>
      </w:r>
      <w:r>
        <w:t xml:space="preserve">and </w:t>
      </w:r>
      <w:r w:rsidRPr="00346E2A">
        <w:t>AIM/CGE SSP1</w:t>
      </w:r>
      <w:r>
        <w:t>.</w:t>
      </w:r>
      <w:r w:rsidRPr="00FD0D65">
        <w:t xml:space="preserve"> After 2030, the growth rate of emissions estimated by AIM/CGE SSP5 will accelerate.</w:t>
      </w:r>
    </w:p>
    <w:p w14:paraId="28750C9F" w14:textId="77777777" w:rsidR="000946A0" w:rsidRDefault="000946A0" w:rsidP="00AA63CD">
      <w:pPr>
        <w:spacing w:after="100" w:afterAutospacing="1" w:line="360" w:lineRule="auto"/>
      </w:pPr>
      <w:r w:rsidRPr="009643C5">
        <w:rPr>
          <w:color w:val="4472C4" w:themeColor="accent1"/>
        </w:rPr>
        <w:t>Qatar:</w:t>
      </w:r>
      <w:r w:rsidRPr="00FD0D65">
        <w:t xml:space="preserve"> The emissions estimated by AIM/CGE SSP5 are much higher than other scenarios. The emissions estimated by this work</w:t>
      </w:r>
      <w:r>
        <w:t xml:space="preserve"> </w:t>
      </w:r>
      <w:r w:rsidRPr="00346E2A">
        <w:t>(no COVID baseline and the default COVID-WPS scenario)</w:t>
      </w:r>
      <w:r w:rsidRPr="00FD0D65">
        <w:t xml:space="preserve"> increase year by year and exceed </w:t>
      </w:r>
      <w:r>
        <w:t>that</w:t>
      </w:r>
      <w:r w:rsidRPr="00FD0D65">
        <w:t xml:space="preserve"> by GAINS model in the </w:t>
      </w:r>
      <w:proofErr w:type="gramStart"/>
      <w:r w:rsidRPr="00FD0D65">
        <w:t>future, but</w:t>
      </w:r>
      <w:proofErr w:type="gramEnd"/>
      <w:r w:rsidRPr="00FD0D65">
        <w:t xml:space="preserve"> are still lower than the emissions estimated by AIM/CGE SSP1.</w:t>
      </w:r>
    </w:p>
    <w:p w14:paraId="2D71F7D8" w14:textId="77777777" w:rsidR="000946A0" w:rsidRDefault="000946A0" w:rsidP="00AA63CD">
      <w:pPr>
        <w:spacing w:after="100" w:afterAutospacing="1" w:line="360" w:lineRule="auto"/>
      </w:pPr>
      <w:r w:rsidRPr="009643C5">
        <w:rPr>
          <w:color w:val="4472C4" w:themeColor="accent1"/>
        </w:rPr>
        <w:t>Rep. Congo:</w:t>
      </w:r>
      <w:r>
        <w:rPr>
          <w:rFonts w:hint="eastAsia"/>
        </w:rPr>
        <w:t xml:space="preserve"> </w:t>
      </w:r>
      <w:r w:rsidRPr="00770C87">
        <w:t>The emissions estimated by GAINS SSP2 are lower than that by AIM/CGE, and higher than the emissions estimated by this work</w:t>
      </w:r>
      <w:r>
        <w:t xml:space="preserve"> </w:t>
      </w:r>
      <w:r w:rsidRPr="00346E2A">
        <w:t>(no COVID baseline and the default COVID-WPS scenario)</w:t>
      </w:r>
      <w:r w:rsidRPr="00770C87">
        <w:t>.</w:t>
      </w:r>
      <w:r w:rsidRPr="009643C5">
        <w:t xml:space="preserve"> The emissions estimated by</w:t>
      </w:r>
      <w:r>
        <w:t xml:space="preserve"> AIM/CGE</w:t>
      </w:r>
      <w:r w:rsidRPr="009643C5">
        <w:t xml:space="preserve"> SSP5 are </w:t>
      </w:r>
      <w:r>
        <w:rPr>
          <w:rFonts w:hint="eastAsia"/>
        </w:rPr>
        <w:t>higher</w:t>
      </w:r>
      <w:r w:rsidRPr="009643C5">
        <w:t xml:space="preserve"> than</w:t>
      </w:r>
      <w:r>
        <w:t xml:space="preserve"> </w:t>
      </w:r>
      <w:r>
        <w:rPr>
          <w:rFonts w:hint="eastAsia"/>
        </w:rPr>
        <w:t>that</w:t>
      </w:r>
      <w:r w:rsidRPr="009643C5">
        <w:t xml:space="preserve"> by</w:t>
      </w:r>
      <w:r>
        <w:t xml:space="preserve"> AIM/CGE </w:t>
      </w:r>
      <w:r w:rsidRPr="009643C5">
        <w:t>SSP</w:t>
      </w:r>
      <w:r>
        <w:t>1</w:t>
      </w:r>
      <w:r w:rsidRPr="009643C5">
        <w:t>, and the gap is increasing year by year.</w:t>
      </w:r>
    </w:p>
    <w:p w14:paraId="083DE945" w14:textId="77777777" w:rsidR="000946A0" w:rsidRDefault="000946A0" w:rsidP="00AA63CD">
      <w:pPr>
        <w:spacing w:after="100" w:afterAutospacing="1" w:line="360" w:lineRule="auto"/>
      </w:pPr>
      <w:r w:rsidRPr="00E468D7">
        <w:rPr>
          <w:color w:val="4472C4" w:themeColor="accent1"/>
        </w:rPr>
        <w:t xml:space="preserve">Saudi Arabia: </w:t>
      </w:r>
      <w:r w:rsidRPr="00C37E05">
        <w:t xml:space="preserve">The emissions estimated by this work </w:t>
      </w:r>
      <w:r w:rsidRPr="00346E2A">
        <w:t>(no COVID baseline and the default COVID-WPS scenario)</w:t>
      </w:r>
      <w:r>
        <w:t xml:space="preserve"> </w:t>
      </w:r>
      <w:r w:rsidRPr="00C37E05">
        <w:t>are lower than that by GAINS SSP2, and higher than the emissions estimated by</w:t>
      </w:r>
      <w:r>
        <w:t xml:space="preserve"> AIM/CGE model</w:t>
      </w:r>
      <w:r w:rsidRPr="00C37E05">
        <w:t>.</w:t>
      </w:r>
      <w:r w:rsidRPr="00644EAD">
        <w:t xml:space="preserve"> AIM/CGE SSP1 estimates the lowest emissions and will be less than 400Mt after 2025.</w:t>
      </w:r>
    </w:p>
    <w:p w14:paraId="4A2AC0B3" w14:textId="77777777" w:rsidR="000946A0" w:rsidRDefault="000946A0" w:rsidP="00AA63CD">
      <w:pPr>
        <w:spacing w:after="100" w:afterAutospacing="1" w:line="360" w:lineRule="auto"/>
      </w:pPr>
      <w:r w:rsidRPr="00E468D7">
        <w:rPr>
          <w:color w:val="4472C4" w:themeColor="accent1"/>
        </w:rPr>
        <w:t xml:space="preserve">Senegal: </w:t>
      </w:r>
      <w:r w:rsidRPr="003B7CB3">
        <w:t xml:space="preserve">The emissions estimated by GAINS SSP2 are lower than that by AIM/CGE, and </w:t>
      </w:r>
      <w:r>
        <w:t xml:space="preserve">a bit </w:t>
      </w:r>
      <w:r w:rsidRPr="003B7CB3">
        <w:t>higher than the emissions estimated by this work</w:t>
      </w:r>
      <w:r w:rsidRPr="00356F46">
        <w:t xml:space="preserve"> (no COVID baseline and the default COVID-WPS scenario)</w:t>
      </w:r>
      <w:r w:rsidRPr="003B7CB3">
        <w:t>.</w:t>
      </w:r>
    </w:p>
    <w:p w14:paraId="652F7B8D" w14:textId="77777777" w:rsidR="000946A0" w:rsidRDefault="000946A0" w:rsidP="00AA63CD">
      <w:pPr>
        <w:spacing w:after="100" w:afterAutospacing="1" w:line="360" w:lineRule="auto"/>
      </w:pPr>
      <w:r w:rsidRPr="00E468D7">
        <w:rPr>
          <w:color w:val="4472C4" w:themeColor="accent1"/>
        </w:rPr>
        <w:t>South Sudan:</w:t>
      </w:r>
      <w:r w:rsidRPr="00644EAD">
        <w:t xml:space="preserve"> The emissions estimated by the</w:t>
      </w:r>
      <w:r>
        <w:t xml:space="preserve"> AIM/CGE </w:t>
      </w:r>
      <w:r w:rsidRPr="00644EAD">
        <w:t>and GAINS models are negligible,</w:t>
      </w:r>
      <w:r w:rsidRPr="000E3CE7">
        <w:t xml:space="preserve"> </w:t>
      </w:r>
      <w:r>
        <w:t xml:space="preserve">and </w:t>
      </w:r>
      <w:r w:rsidRPr="000E3CE7">
        <w:t xml:space="preserve">the emissions estimated by the default-COVID-WPS scenario are </w:t>
      </w:r>
      <w:r>
        <w:t xml:space="preserve">close to </w:t>
      </w:r>
      <w:r w:rsidRPr="000E3CE7">
        <w:t>the no-COVID baseline from this work</w:t>
      </w:r>
      <w:r>
        <w:t>.</w:t>
      </w:r>
    </w:p>
    <w:p w14:paraId="69A3B8F8" w14:textId="77777777" w:rsidR="000946A0" w:rsidRDefault="000946A0" w:rsidP="00AA63CD">
      <w:pPr>
        <w:spacing w:after="100" w:afterAutospacing="1" w:line="360" w:lineRule="auto"/>
      </w:pPr>
      <w:r w:rsidRPr="00E468D7">
        <w:rPr>
          <w:color w:val="4472C4" w:themeColor="accent1"/>
        </w:rPr>
        <w:lastRenderedPageBreak/>
        <w:t>Sri Lanka:</w:t>
      </w:r>
      <w:r w:rsidRPr="00644EAD">
        <w:t xml:space="preserve"> The emissions estimated by this work </w:t>
      </w:r>
      <w:r w:rsidRPr="00346E2A">
        <w:t>(no COVID baseline and the default COVID-WPS scenario)</w:t>
      </w:r>
      <w:r>
        <w:t xml:space="preserve"> </w:t>
      </w:r>
      <w:r w:rsidRPr="00644EAD">
        <w:t>are lower than that by AIM/CGE model, and the emissions estimated by GAINS SSP2 are lower than that from this work.</w:t>
      </w:r>
      <w:r w:rsidRPr="00356F46">
        <w:t xml:space="preserve"> The emissions estimated by the AIM/CGE model will start to rise in 2030, and AIM/CGE </w:t>
      </w:r>
      <w:r>
        <w:t xml:space="preserve">SSP1 </w:t>
      </w:r>
      <w:r w:rsidRPr="00356F46">
        <w:t xml:space="preserve">will be equal to the </w:t>
      </w:r>
      <w:r>
        <w:t xml:space="preserve">that </w:t>
      </w:r>
      <w:r w:rsidRPr="00356F46">
        <w:t>by this work in 2040.</w:t>
      </w:r>
    </w:p>
    <w:p w14:paraId="48FBFFC0" w14:textId="77777777" w:rsidR="000946A0" w:rsidRDefault="000946A0" w:rsidP="00AA63CD">
      <w:pPr>
        <w:spacing w:after="100" w:afterAutospacing="1" w:line="360" w:lineRule="auto"/>
      </w:pPr>
      <w:r w:rsidRPr="00E468D7">
        <w:rPr>
          <w:color w:val="4472C4" w:themeColor="accent1"/>
        </w:rPr>
        <w:t xml:space="preserve">Sudan: </w:t>
      </w:r>
      <w:r w:rsidRPr="00356F46">
        <w:t>The emissions estimated by GAINS SSP2 are lower than that by AIM/CGE</w:t>
      </w:r>
      <w:r w:rsidRPr="00A86579">
        <w:t xml:space="preserve"> </w:t>
      </w:r>
      <w:r w:rsidRPr="006B6F9D">
        <w:t>model</w:t>
      </w:r>
      <w:r w:rsidRPr="00356F46">
        <w:t xml:space="preserve">, and </w:t>
      </w:r>
      <w:r>
        <w:t xml:space="preserve">much </w:t>
      </w:r>
      <w:r w:rsidRPr="00356F46">
        <w:t>higher than the emissions estimated by this work (no COVID baseline and the default COVID-WPS scenario).</w:t>
      </w:r>
    </w:p>
    <w:p w14:paraId="068F33AF" w14:textId="77777777" w:rsidR="000946A0" w:rsidRDefault="000946A0" w:rsidP="00AA63CD">
      <w:pPr>
        <w:spacing w:after="100" w:afterAutospacing="1" w:line="360" w:lineRule="auto"/>
      </w:pPr>
      <w:r w:rsidRPr="00E468D7">
        <w:rPr>
          <w:color w:val="4472C4" w:themeColor="accent1"/>
        </w:rPr>
        <w:t xml:space="preserve">Sum of emerging emitters: </w:t>
      </w:r>
      <w:r w:rsidRPr="00356F46">
        <w:t>The emissions estimated by GAINS SSP2 are lower than that by AIM/CGE</w:t>
      </w:r>
      <w:r w:rsidRPr="00A86579">
        <w:t xml:space="preserve"> </w:t>
      </w:r>
      <w:r w:rsidRPr="006B6F9D">
        <w:t>model</w:t>
      </w:r>
      <w:r w:rsidRPr="00356F46">
        <w:t xml:space="preserve">, and </w:t>
      </w:r>
      <w:r>
        <w:t xml:space="preserve">a bit </w:t>
      </w:r>
      <w:r w:rsidRPr="00356F46">
        <w:t>higher than the emissions estimated by this work (no COVID baseline).</w:t>
      </w:r>
    </w:p>
    <w:p w14:paraId="3EBE6643" w14:textId="086CE071" w:rsidR="000946A0" w:rsidRDefault="000946A0" w:rsidP="00AA63CD">
      <w:pPr>
        <w:spacing w:after="100" w:afterAutospacing="1" w:line="360" w:lineRule="auto"/>
      </w:pPr>
      <w:bookmarkStart w:id="69" w:name="_Hlk63671360"/>
      <w:r w:rsidRPr="00E468D7">
        <w:rPr>
          <w:color w:val="4472C4" w:themeColor="accent1"/>
        </w:rPr>
        <w:t>Tajikistan:</w:t>
      </w:r>
      <w:r w:rsidRPr="0096395C">
        <w:t xml:space="preserve"> The emissions estimated by GAINS SSP2 are lower than that by AIM/CGE</w:t>
      </w:r>
      <w:r w:rsidRPr="00A86579">
        <w:t xml:space="preserve"> </w:t>
      </w:r>
      <w:r w:rsidRPr="006B6F9D">
        <w:t>model</w:t>
      </w:r>
      <w:r w:rsidRPr="0096395C">
        <w:t>, and higher than the emissions estimated by this work (no COVID baseline and the default COVID-WPS scenario).</w:t>
      </w:r>
      <w:bookmarkEnd w:id="69"/>
      <w:r w:rsidRPr="0096395C">
        <w:t xml:space="preserve"> </w:t>
      </w:r>
      <w:r>
        <w:t>T</w:t>
      </w:r>
      <w:r w:rsidRPr="004B740C">
        <w:t>he emission trend after 2020 estimated by this work is relatively flat.</w:t>
      </w:r>
    </w:p>
    <w:p w14:paraId="29660031" w14:textId="77777777" w:rsidR="000946A0" w:rsidRDefault="000946A0" w:rsidP="00AA63CD">
      <w:pPr>
        <w:spacing w:after="100" w:afterAutospacing="1" w:line="360" w:lineRule="auto"/>
      </w:pPr>
      <w:r w:rsidRPr="00693E5A">
        <w:rPr>
          <w:color w:val="4472C4" w:themeColor="accent1"/>
        </w:rPr>
        <w:t>Tanzania</w:t>
      </w:r>
      <w:r w:rsidRPr="00E468D7">
        <w:rPr>
          <w:color w:val="4472C4" w:themeColor="accent1"/>
        </w:rPr>
        <w:t>:</w:t>
      </w:r>
      <w:r w:rsidRPr="0096395C">
        <w:t xml:space="preserve"> The emissions estimated by GAINS SSP2 are lower than that by AIM/CGE</w:t>
      </w:r>
      <w:r w:rsidRPr="00A86579">
        <w:t xml:space="preserve"> </w:t>
      </w:r>
      <w:r w:rsidRPr="006B6F9D">
        <w:t>model</w:t>
      </w:r>
      <w:r w:rsidRPr="0096395C">
        <w:t>, and higher than the emissions estimated by this work (no COVID baseline and the default COVID-WPS scenario).</w:t>
      </w:r>
    </w:p>
    <w:p w14:paraId="49222833" w14:textId="77777777" w:rsidR="000946A0" w:rsidRDefault="000946A0" w:rsidP="00AA63CD">
      <w:pPr>
        <w:spacing w:after="100" w:afterAutospacing="1" w:line="360" w:lineRule="auto"/>
      </w:pPr>
      <w:r w:rsidRPr="00E468D7">
        <w:rPr>
          <w:color w:val="4472C4" w:themeColor="accent1"/>
        </w:rPr>
        <w:t xml:space="preserve">Turkey: </w:t>
      </w:r>
      <w:r>
        <w:t>A</w:t>
      </w:r>
      <w:r>
        <w:rPr>
          <w:rFonts w:hint="eastAsia"/>
        </w:rPr>
        <w:t>fter</w:t>
      </w:r>
      <w:r>
        <w:t xml:space="preserve"> 2020, t</w:t>
      </w:r>
      <w:r w:rsidRPr="00491525">
        <w:t>he emissions from high to low are this work (no-COVID baseline), this work (default-COVID-WPS)</w:t>
      </w:r>
      <w:r>
        <w:t>,</w:t>
      </w:r>
      <w:r w:rsidRPr="00491525">
        <w:t xml:space="preserve"> GAINS SSP2,</w:t>
      </w:r>
      <w:r>
        <w:t xml:space="preserve"> AIM/CGE </w:t>
      </w:r>
      <w:r w:rsidRPr="00491525">
        <w:t>SSP5, and AIM/CGE SSP1.</w:t>
      </w:r>
    </w:p>
    <w:p w14:paraId="3E6D028C" w14:textId="77777777" w:rsidR="000946A0" w:rsidRDefault="000946A0" w:rsidP="00AA63CD">
      <w:pPr>
        <w:spacing w:after="100" w:afterAutospacing="1" w:line="360" w:lineRule="auto"/>
      </w:pPr>
      <w:r w:rsidRPr="00E468D7">
        <w:rPr>
          <w:color w:val="4472C4" w:themeColor="accent1"/>
        </w:rPr>
        <w:t xml:space="preserve">Turkmenistan: </w:t>
      </w:r>
      <w:r w:rsidRPr="00491525">
        <w:t xml:space="preserve">The </w:t>
      </w:r>
      <w:r>
        <w:t>estimation</w:t>
      </w:r>
      <w:r w:rsidRPr="00491525">
        <w:t xml:space="preserve"> of the GAINS model shows a downward trend and stabilizes after 2030. </w:t>
      </w:r>
      <w:r>
        <w:t>And t</w:t>
      </w:r>
      <w:r w:rsidRPr="00491525">
        <w:t>he emissions from high to low are this work (no-COVID baseline), this work (default-COVID-WPS)</w:t>
      </w:r>
      <w:r>
        <w:t xml:space="preserve">, AIM/CGE </w:t>
      </w:r>
      <w:r w:rsidRPr="00491525">
        <w:t>SSP5, AIM/CGE SSP1</w:t>
      </w:r>
      <w:r>
        <w:t xml:space="preserve"> and</w:t>
      </w:r>
      <w:r w:rsidRPr="007508D8">
        <w:t xml:space="preserve"> GAINS SSP2</w:t>
      </w:r>
      <w:r w:rsidRPr="00491525">
        <w:t>.</w:t>
      </w:r>
    </w:p>
    <w:p w14:paraId="77077C6A" w14:textId="77777777" w:rsidR="000946A0" w:rsidRDefault="000946A0" w:rsidP="00AA63CD">
      <w:pPr>
        <w:spacing w:after="100" w:afterAutospacing="1" w:line="360" w:lineRule="auto"/>
      </w:pPr>
      <w:r w:rsidRPr="00E468D7">
        <w:rPr>
          <w:color w:val="4472C4" w:themeColor="accent1"/>
        </w:rPr>
        <w:t xml:space="preserve">Uganda: </w:t>
      </w:r>
      <w:r w:rsidRPr="00770C87">
        <w:t>The emissions estimated by GAINS SSP2 are lower than that by AIM/CGE</w:t>
      </w:r>
      <w:r>
        <w:t xml:space="preserve"> model</w:t>
      </w:r>
      <w:r w:rsidRPr="00770C87">
        <w:t>, and higher than the emissions estimated by this work</w:t>
      </w:r>
      <w:r>
        <w:t xml:space="preserve"> </w:t>
      </w:r>
      <w:r w:rsidRPr="006A700A">
        <w:t>(no COVID baseline and the default COVID-WPS scenario)</w:t>
      </w:r>
      <w:r w:rsidRPr="00770C87">
        <w:t>.</w:t>
      </w:r>
      <w:r w:rsidRPr="00CF79C1">
        <w:t xml:space="preserve"> The emissions estimated by the AIM/CGE SSP1 model are approximately twice t</w:t>
      </w:r>
      <w:r>
        <w:t xml:space="preserve">han </w:t>
      </w:r>
      <w:r>
        <w:rPr>
          <w:rFonts w:hint="eastAsia"/>
        </w:rPr>
        <w:t>that</w:t>
      </w:r>
      <w:r w:rsidRPr="00CF79C1">
        <w:t xml:space="preserve"> by the GAINS model.</w:t>
      </w:r>
    </w:p>
    <w:p w14:paraId="753CDA40" w14:textId="77777777" w:rsidR="000946A0" w:rsidRDefault="000946A0" w:rsidP="00AA63CD">
      <w:pPr>
        <w:spacing w:after="100" w:afterAutospacing="1" w:line="360" w:lineRule="auto"/>
      </w:pPr>
      <w:r w:rsidRPr="003354F3">
        <w:rPr>
          <w:color w:val="4472C4" w:themeColor="accent1"/>
        </w:rPr>
        <w:lastRenderedPageBreak/>
        <w:t>United Arab Emirates:</w:t>
      </w:r>
      <w:r w:rsidRPr="00CF79C1">
        <w:t xml:space="preserve"> </w:t>
      </w:r>
      <w:r w:rsidRPr="00770C87">
        <w:t>The emissions estimated by GAINS SSP2 are lower than that by AIM/CGE</w:t>
      </w:r>
      <w:r>
        <w:t xml:space="preserve"> model</w:t>
      </w:r>
      <w:r w:rsidRPr="00770C87">
        <w:t>, and higher than the emissions estimated by this work</w:t>
      </w:r>
      <w:r>
        <w:t xml:space="preserve"> </w:t>
      </w:r>
      <w:r w:rsidRPr="006A700A">
        <w:t>(no COVID baseline and the default COVID-WPS scenario)</w:t>
      </w:r>
      <w:r w:rsidRPr="00770C87">
        <w:t>.</w:t>
      </w:r>
      <w:r w:rsidRPr="00CF79C1">
        <w:t xml:space="preserve"> The emissions estimated by</w:t>
      </w:r>
      <w:r>
        <w:t xml:space="preserve"> AIM/CGE </w:t>
      </w:r>
      <w:r w:rsidRPr="00CF79C1">
        <w:t xml:space="preserve">SSP5 will grow the fastest in the future, </w:t>
      </w:r>
      <w:r>
        <w:t xml:space="preserve">and </w:t>
      </w:r>
      <w:r w:rsidRPr="000E3CE7">
        <w:t xml:space="preserve">the emissions estimated by the default-COVID-WPS scenario are </w:t>
      </w:r>
      <w:r>
        <w:t xml:space="preserve">close to </w:t>
      </w:r>
      <w:r w:rsidRPr="000E3CE7">
        <w:t>the no-COVID baseline from this work</w:t>
      </w:r>
      <w:r>
        <w:t>.</w:t>
      </w:r>
    </w:p>
    <w:p w14:paraId="3A8DD13F" w14:textId="7D98CD9D" w:rsidR="000946A0" w:rsidRDefault="009669F6" w:rsidP="00AA63CD">
      <w:pPr>
        <w:spacing w:after="100" w:afterAutospacing="1" w:line="360" w:lineRule="auto"/>
      </w:pPr>
      <w:r>
        <w:rPr>
          <w:color w:val="4472C4" w:themeColor="accent1"/>
        </w:rPr>
        <w:t>Vietnam</w:t>
      </w:r>
      <w:r w:rsidR="000946A0" w:rsidRPr="003354F3">
        <w:rPr>
          <w:color w:val="4472C4" w:themeColor="accent1"/>
        </w:rPr>
        <w:t xml:space="preserve">: </w:t>
      </w:r>
      <w:r w:rsidR="000946A0" w:rsidRPr="00A86579">
        <w:t xml:space="preserve">The emissions estimated by AIM / CGE SSP5 will grow the fastest in the future, surpassing </w:t>
      </w:r>
      <w:r w:rsidR="000946A0">
        <w:t>t</w:t>
      </w:r>
      <w:r w:rsidR="000946A0" w:rsidRPr="00A86579">
        <w:t xml:space="preserve">he emissions </w:t>
      </w:r>
      <w:r w:rsidR="000946A0" w:rsidRPr="00770C87">
        <w:t>estimated by this work</w:t>
      </w:r>
      <w:r w:rsidR="000946A0" w:rsidRPr="00A86579">
        <w:t xml:space="preserve"> </w:t>
      </w:r>
      <w:r w:rsidR="000946A0" w:rsidRPr="00491525">
        <w:t>(default-COVID-WPS)</w:t>
      </w:r>
      <w:r w:rsidR="000946A0">
        <w:t xml:space="preserve"> </w:t>
      </w:r>
      <w:r w:rsidR="000946A0" w:rsidRPr="00A86579">
        <w:t>after 2025</w:t>
      </w:r>
      <w:r w:rsidR="000946A0">
        <w:t>,</w:t>
      </w:r>
      <w:r w:rsidR="000946A0" w:rsidRPr="00A86579">
        <w:t xml:space="preserve"> and exceeding </w:t>
      </w:r>
      <w:r w:rsidR="000946A0" w:rsidRPr="00491525">
        <w:t>this work (no-COVID baseline)</w:t>
      </w:r>
      <w:r w:rsidR="000946A0">
        <w:t xml:space="preserve"> </w:t>
      </w:r>
      <w:r w:rsidR="000946A0" w:rsidRPr="00A86579">
        <w:t>after 2030.</w:t>
      </w:r>
      <w:r w:rsidR="000946A0" w:rsidRPr="00E468D7">
        <w:rPr>
          <w:color w:val="4472C4" w:themeColor="accent1"/>
        </w:rPr>
        <w:t xml:space="preserve"> </w:t>
      </w:r>
      <w:r w:rsidR="000946A0" w:rsidRPr="00770C87">
        <w:t xml:space="preserve">The emissions estimated by </w:t>
      </w:r>
      <w:r w:rsidR="000946A0" w:rsidRPr="00422699">
        <w:t>AIM / CGE SSP</w:t>
      </w:r>
      <w:r w:rsidR="000946A0">
        <w:t xml:space="preserve">1 </w:t>
      </w:r>
      <w:r w:rsidR="000946A0" w:rsidRPr="00770C87">
        <w:t xml:space="preserve">are lower than that by </w:t>
      </w:r>
      <w:r w:rsidR="000946A0">
        <w:t>this work</w:t>
      </w:r>
      <w:r w:rsidR="000946A0" w:rsidRPr="00770C87">
        <w:t xml:space="preserve">, and higher than the emissions estimated by </w:t>
      </w:r>
      <w:r w:rsidR="000946A0" w:rsidRPr="00422699">
        <w:t>GAINS SSP2</w:t>
      </w:r>
      <w:r w:rsidR="000946A0">
        <w:t>.</w:t>
      </w:r>
    </w:p>
    <w:p w14:paraId="6DA12B6F" w14:textId="77777777" w:rsidR="000946A0" w:rsidRPr="00422699" w:rsidRDefault="000946A0" w:rsidP="00AA63CD">
      <w:pPr>
        <w:spacing w:after="100" w:afterAutospacing="1" w:line="360" w:lineRule="auto"/>
      </w:pPr>
      <w:r w:rsidRPr="003354F3">
        <w:rPr>
          <w:color w:val="4472C4" w:themeColor="accent1"/>
        </w:rPr>
        <w:t xml:space="preserve">Zambia: </w:t>
      </w:r>
      <w:r w:rsidRPr="00770C87">
        <w:t>The emissions estimated by GAINS SSP2 are lower than that by AIM/CGE</w:t>
      </w:r>
      <w:r>
        <w:t xml:space="preserve"> model</w:t>
      </w:r>
      <w:r w:rsidRPr="00770C87">
        <w:t>, and higher than the emissions estimated by this work</w:t>
      </w:r>
      <w:r>
        <w:t xml:space="preserve"> </w:t>
      </w:r>
      <w:r w:rsidRPr="006A700A">
        <w:t>(no COVID baseline and the default COVID-WPS scenario)</w:t>
      </w:r>
      <w:r w:rsidRPr="00770C87">
        <w:t>.</w:t>
      </w:r>
    </w:p>
    <w:p w14:paraId="78F98C9C" w14:textId="77777777" w:rsidR="00052B68" w:rsidRPr="000946A0" w:rsidRDefault="00052B68" w:rsidP="00AA63CD">
      <w:pPr>
        <w:spacing w:after="100" w:afterAutospacing="1" w:line="360" w:lineRule="auto"/>
      </w:pPr>
    </w:p>
    <w:p w14:paraId="18943B27" w14:textId="77777777" w:rsidR="00052B68" w:rsidRPr="00214EFC" w:rsidRDefault="00052B68" w:rsidP="00AA63CD">
      <w:pPr>
        <w:spacing w:after="100" w:afterAutospacing="1" w:line="360" w:lineRule="auto"/>
      </w:pPr>
    </w:p>
    <w:p w14:paraId="09AE1206" w14:textId="0EDFD55F" w:rsidR="00052B68" w:rsidRPr="00214EFC" w:rsidRDefault="00052B68" w:rsidP="00AA63CD">
      <w:pPr>
        <w:pStyle w:val="2"/>
        <w:spacing w:after="100" w:afterAutospacing="1" w:line="360" w:lineRule="auto"/>
      </w:pPr>
      <w:r w:rsidRPr="00214EFC">
        <w:t>References</w:t>
      </w:r>
      <w:r w:rsidR="00D03807" w:rsidRPr="00214EFC">
        <w:t xml:space="preserve"> for Supporting Results</w:t>
      </w:r>
    </w:p>
    <w:p w14:paraId="277AFE89" w14:textId="4C29A5D0" w:rsidR="00C478D6" w:rsidRPr="00C478D6" w:rsidRDefault="00763922" w:rsidP="00C478D6">
      <w:pPr>
        <w:pStyle w:val="afd"/>
      </w:pPr>
      <w:r>
        <w:fldChar w:fldCharType="begin"/>
      </w:r>
      <w:r w:rsidR="00C478D6">
        <w:instrText xml:space="preserve"> ADDIN ZOTERO_BIBL {"uncited":[],"omitted":[],"custom":[]} CSL_BIBLIOGRAPHY </w:instrText>
      </w:r>
      <w:r>
        <w:fldChar w:fldCharType="separate"/>
      </w:r>
      <w:r w:rsidR="00C478D6" w:rsidRPr="00C478D6">
        <w:t>22.</w:t>
      </w:r>
      <w:r w:rsidR="00C478D6" w:rsidRPr="00C478D6">
        <w:tab/>
        <w:t xml:space="preserve">Rubin, E. </w:t>
      </w:r>
      <w:r w:rsidR="00C478D6" w:rsidRPr="00C478D6">
        <w:rPr>
          <w:i/>
          <w:iCs/>
        </w:rPr>
        <w:t>et al.</w:t>
      </w:r>
      <w:r w:rsidR="00C478D6" w:rsidRPr="00C478D6">
        <w:t xml:space="preserve"> </w:t>
      </w:r>
      <w:r w:rsidR="00C478D6" w:rsidRPr="00C478D6">
        <w:rPr>
          <w:i/>
          <w:iCs/>
        </w:rPr>
        <w:t>IPCC Special Report on Carbon dioxide Capture and Storage: Technical Summary</w:t>
      </w:r>
      <w:r w:rsidR="00C478D6" w:rsidRPr="00C478D6">
        <w:t>. 34.</w:t>
      </w:r>
    </w:p>
    <w:p w14:paraId="3483A091" w14:textId="77777777" w:rsidR="00C478D6" w:rsidRPr="00C478D6" w:rsidRDefault="00C478D6" w:rsidP="00C478D6">
      <w:pPr>
        <w:pStyle w:val="afd"/>
      </w:pPr>
      <w:r w:rsidRPr="00C478D6">
        <w:t>23.</w:t>
      </w:r>
      <w:r w:rsidRPr="00C478D6">
        <w:tab/>
        <w:t xml:space="preserve">Varun, Bhat, I. K. &amp; Prakash, R. LCA of renewable energy for electricity generation systems—A review. </w:t>
      </w:r>
      <w:r w:rsidRPr="00C478D6">
        <w:rPr>
          <w:i/>
          <w:iCs/>
        </w:rPr>
        <w:t>Renewable and Sustainable Energy Reviews</w:t>
      </w:r>
      <w:r w:rsidRPr="00C478D6">
        <w:t xml:space="preserve"> </w:t>
      </w:r>
      <w:r w:rsidRPr="00C478D6">
        <w:rPr>
          <w:b/>
          <w:bCs/>
        </w:rPr>
        <w:t>13</w:t>
      </w:r>
      <w:r w:rsidRPr="00C478D6">
        <w:t>, 1067–1073 (2009).</w:t>
      </w:r>
    </w:p>
    <w:p w14:paraId="38B3B501" w14:textId="77777777" w:rsidR="00C478D6" w:rsidRPr="00C478D6" w:rsidRDefault="00C478D6" w:rsidP="00C478D6">
      <w:pPr>
        <w:pStyle w:val="afd"/>
      </w:pPr>
      <w:r w:rsidRPr="00C478D6">
        <w:t>24.</w:t>
      </w:r>
      <w:r w:rsidRPr="00C478D6">
        <w:tab/>
        <w:t xml:space="preserve">Abdallah, L. &amp; El-Shennawy, T. Reducing Carbon Dioxide Emissions from Electricity Sector Using Smart Electric Grid Applications. </w:t>
      </w:r>
      <w:r w:rsidRPr="00C478D6">
        <w:rPr>
          <w:i/>
          <w:iCs/>
        </w:rPr>
        <w:t>Journal of Engineering</w:t>
      </w:r>
      <w:r w:rsidRPr="00C478D6">
        <w:t xml:space="preserve"> </w:t>
      </w:r>
      <w:r w:rsidRPr="00C478D6">
        <w:rPr>
          <w:b/>
          <w:bCs/>
        </w:rPr>
        <w:t>2013</w:t>
      </w:r>
      <w:r w:rsidRPr="00C478D6">
        <w:t>, 1–8 (2013).</w:t>
      </w:r>
    </w:p>
    <w:p w14:paraId="6133ACC8" w14:textId="77777777" w:rsidR="00C478D6" w:rsidRPr="00C478D6" w:rsidRDefault="00C478D6" w:rsidP="00C478D6">
      <w:pPr>
        <w:pStyle w:val="afd"/>
      </w:pPr>
      <w:r w:rsidRPr="00C478D6">
        <w:t>25.</w:t>
      </w:r>
      <w:r w:rsidRPr="00C478D6">
        <w:tab/>
        <w:t xml:space="preserve">Mouli, G. R. C. </w:t>
      </w:r>
      <w:r w:rsidRPr="00C478D6">
        <w:rPr>
          <w:i/>
          <w:iCs/>
        </w:rPr>
        <w:t>et al.</w:t>
      </w:r>
      <w:r w:rsidRPr="00C478D6">
        <w:t xml:space="preserve"> Economic and CO2 Emission Benefits of a Solar Powered Electric </w:t>
      </w:r>
      <w:r w:rsidRPr="00C478D6">
        <w:lastRenderedPageBreak/>
        <w:t xml:space="preserve">Vehicle Charging Station for Workplaces in the Netherlands. in </w:t>
      </w:r>
      <w:r w:rsidRPr="00C478D6">
        <w:rPr>
          <w:i/>
          <w:iCs/>
        </w:rPr>
        <w:t>2016 IEEE Transportation Electrification Conference and Expo (ITEC)</w:t>
      </w:r>
      <w:r w:rsidRPr="00C478D6">
        <w:t xml:space="preserve"> 1–7 (IEEE, 2016). doi:10.1109/ITEC.2016.7520273.</w:t>
      </w:r>
    </w:p>
    <w:p w14:paraId="16786CD8" w14:textId="77777777" w:rsidR="00C478D6" w:rsidRPr="00C478D6" w:rsidRDefault="00C478D6" w:rsidP="00C478D6">
      <w:pPr>
        <w:pStyle w:val="afd"/>
      </w:pPr>
      <w:r w:rsidRPr="00C478D6">
        <w:t>26.</w:t>
      </w:r>
      <w:r w:rsidRPr="00C478D6">
        <w:tab/>
        <w:t xml:space="preserve">Mondal, M. A. H., Bryan, E., Ringler, C., Mekonnen, D. &amp; Rosegrant, M. Ethiopian energy status and demand scenarios: Prospects to improve energy efficiency and mitigate GHG emissions. </w:t>
      </w:r>
      <w:r w:rsidRPr="00C478D6">
        <w:rPr>
          <w:i/>
          <w:iCs/>
        </w:rPr>
        <w:t>Energy</w:t>
      </w:r>
      <w:r w:rsidRPr="00C478D6">
        <w:t xml:space="preserve"> </w:t>
      </w:r>
      <w:r w:rsidRPr="00C478D6">
        <w:rPr>
          <w:b/>
          <w:bCs/>
        </w:rPr>
        <w:t>149</w:t>
      </w:r>
      <w:r w:rsidRPr="00C478D6">
        <w:t>, 161–172 (2018).</w:t>
      </w:r>
    </w:p>
    <w:p w14:paraId="24F45B6F" w14:textId="77777777" w:rsidR="00C478D6" w:rsidRPr="00C478D6" w:rsidRDefault="00C478D6" w:rsidP="00C478D6">
      <w:pPr>
        <w:pStyle w:val="afd"/>
      </w:pPr>
      <w:r w:rsidRPr="00C478D6">
        <w:t>27.</w:t>
      </w:r>
      <w:r w:rsidRPr="00C478D6">
        <w:tab/>
        <w:t xml:space="preserve">Uganda National Ro ads Authority,. </w:t>
      </w:r>
      <w:r w:rsidRPr="00C478D6">
        <w:rPr>
          <w:i/>
          <w:iCs/>
        </w:rPr>
        <w:t>Road Transportation</w:t>
      </w:r>
      <w:r w:rsidRPr="00C478D6">
        <w:t>. (2019).</w:t>
      </w:r>
    </w:p>
    <w:p w14:paraId="4D64774F" w14:textId="77777777" w:rsidR="00C478D6" w:rsidRPr="00C478D6" w:rsidRDefault="00C478D6" w:rsidP="00C478D6">
      <w:pPr>
        <w:pStyle w:val="afd"/>
      </w:pPr>
      <w:r w:rsidRPr="00C478D6">
        <w:t>28.</w:t>
      </w:r>
      <w:r w:rsidRPr="00C478D6">
        <w:tab/>
        <w:t>Nabasa, D. The contribution of road transport to the economic development of Uganda. (Makerere University, 2018).</w:t>
      </w:r>
    </w:p>
    <w:p w14:paraId="2241DE34" w14:textId="77777777" w:rsidR="00C478D6" w:rsidRPr="00C478D6" w:rsidRDefault="00C478D6" w:rsidP="00C478D6">
      <w:pPr>
        <w:pStyle w:val="afd"/>
      </w:pPr>
      <w:r w:rsidRPr="00C478D6">
        <w:t>29.</w:t>
      </w:r>
      <w:r w:rsidRPr="00C478D6">
        <w:tab/>
        <w:t>Electricity Regulation Authority. Install Capacity. https://www.era.go.ug/index.php/stats/generation-statistics/installed-capacity (2019).</w:t>
      </w:r>
    </w:p>
    <w:p w14:paraId="53F635D3" w14:textId="77777777" w:rsidR="00C478D6" w:rsidRPr="00C478D6" w:rsidRDefault="00C478D6" w:rsidP="00C478D6">
      <w:pPr>
        <w:pStyle w:val="afd"/>
      </w:pPr>
      <w:r w:rsidRPr="00C478D6">
        <w:t>30.</w:t>
      </w:r>
      <w:r w:rsidRPr="00C478D6">
        <w:tab/>
        <w:t xml:space="preserve">Uganda Bureau of Statistics. </w:t>
      </w:r>
      <w:r w:rsidRPr="00C478D6">
        <w:rPr>
          <w:i/>
          <w:iCs/>
        </w:rPr>
        <w:t>Population Projections 2018</w:t>
      </w:r>
      <w:r w:rsidRPr="00C478D6">
        <w:t>. (2019).</w:t>
      </w:r>
    </w:p>
    <w:p w14:paraId="277BBDB0" w14:textId="77777777" w:rsidR="00C478D6" w:rsidRPr="00C478D6" w:rsidRDefault="00C478D6" w:rsidP="00C478D6">
      <w:pPr>
        <w:pStyle w:val="afd"/>
      </w:pPr>
      <w:r w:rsidRPr="00C478D6">
        <w:t>31.</w:t>
      </w:r>
      <w:r w:rsidRPr="00C478D6">
        <w:tab/>
        <w:t xml:space="preserve">BACI database. </w:t>
      </w:r>
      <w:r w:rsidRPr="00C478D6">
        <w:rPr>
          <w:i/>
          <w:iCs/>
        </w:rPr>
        <w:t>BACI HS6 REV.1992(1995-2018)</w:t>
      </w:r>
      <w:r w:rsidRPr="00C478D6">
        <w:t>. (2018).</w:t>
      </w:r>
    </w:p>
    <w:p w14:paraId="5128E134" w14:textId="77777777" w:rsidR="00C478D6" w:rsidRPr="00C478D6" w:rsidRDefault="00C478D6" w:rsidP="00C478D6">
      <w:pPr>
        <w:pStyle w:val="afd"/>
      </w:pPr>
      <w:r w:rsidRPr="00C478D6">
        <w:t>32.</w:t>
      </w:r>
      <w:r w:rsidRPr="00C478D6">
        <w:tab/>
        <w:t xml:space="preserve">Busia. How can Uganda export so much more gold than it mines? Economics. </w:t>
      </w:r>
      <w:r w:rsidRPr="00C478D6">
        <w:rPr>
          <w:i/>
          <w:iCs/>
        </w:rPr>
        <w:t>Economics</w:t>
      </w:r>
      <w:r w:rsidRPr="00C478D6">
        <w:t xml:space="preserve"> (2019).</w:t>
      </w:r>
    </w:p>
    <w:p w14:paraId="285460AF" w14:textId="77777777" w:rsidR="00C478D6" w:rsidRPr="00C478D6" w:rsidRDefault="00C478D6" w:rsidP="00C478D6">
      <w:pPr>
        <w:pStyle w:val="afd"/>
      </w:pPr>
      <w:r w:rsidRPr="00C478D6">
        <w:t>33.</w:t>
      </w:r>
      <w:r w:rsidRPr="00C478D6">
        <w:tab/>
        <w:t xml:space="preserve">Dun&amp;bradstreet. </w:t>
      </w:r>
      <w:r w:rsidRPr="00C478D6">
        <w:rPr>
          <w:i/>
          <w:iCs/>
        </w:rPr>
        <w:t>Aerospace Products &amp; Parts Manufacturing Companies In Uganda</w:t>
      </w:r>
      <w:r w:rsidRPr="00C478D6">
        <w:t>. (2020).</w:t>
      </w:r>
    </w:p>
    <w:p w14:paraId="480DD66A" w14:textId="77777777" w:rsidR="00C478D6" w:rsidRPr="00C478D6" w:rsidRDefault="00C478D6" w:rsidP="00C478D6">
      <w:pPr>
        <w:pStyle w:val="afd"/>
      </w:pPr>
      <w:r w:rsidRPr="00C478D6">
        <w:t>34.</w:t>
      </w:r>
      <w:r w:rsidRPr="00C478D6">
        <w:tab/>
        <w:t xml:space="preserve">National Statistical Office of Mongolia. </w:t>
      </w:r>
      <w:r w:rsidRPr="00C478D6">
        <w:rPr>
          <w:i/>
          <w:iCs/>
        </w:rPr>
        <w:t>Statistical Yearbook</w:t>
      </w:r>
      <w:r w:rsidRPr="00C478D6">
        <w:t>.</w:t>
      </w:r>
    </w:p>
    <w:p w14:paraId="55E78D3A" w14:textId="77777777" w:rsidR="00C478D6" w:rsidRPr="00C478D6" w:rsidRDefault="00C478D6" w:rsidP="00C478D6">
      <w:pPr>
        <w:pStyle w:val="afd"/>
      </w:pPr>
      <w:r w:rsidRPr="00C478D6">
        <w:t>35.</w:t>
      </w:r>
      <w:r w:rsidRPr="00C478D6">
        <w:tab/>
        <w:t xml:space="preserve">Ryu, H., Dorjragchaa, S., Kim, Y. &amp; Kim, K. Electricity-generation mix considering energy security and carbon emission mitigation: Case of Korea and Mongolia. </w:t>
      </w:r>
      <w:r w:rsidRPr="00C478D6">
        <w:rPr>
          <w:i/>
          <w:iCs/>
        </w:rPr>
        <w:t>Energy</w:t>
      </w:r>
      <w:r w:rsidRPr="00C478D6">
        <w:t xml:space="preserve"> </w:t>
      </w:r>
      <w:r w:rsidRPr="00C478D6">
        <w:rPr>
          <w:b/>
          <w:bCs/>
        </w:rPr>
        <w:t>64</w:t>
      </w:r>
      <w:r w:rsidRPr="00C478D6">
        <w:t xml:space="preserve">, </w:t>
      </w:r>
      <w:r w:rsidRPr="00C478D6">
        <w:lastRenderedPageBreak/>
        <w:t>1071–1079 (2014).</w:t>
      </w:r>
    </w:p>
    <w:p w14:paraId="2F21D96A" w14:textId="77777777" w:rsidR="00C478D6" w:rsidRPr="00C478D6" w:rsidRDefault="00C478D6" w:rsidP="00C478D6">
      <w:pPr>
        <w:pStyle w:val="afd"/>
      </w:pPr>
      <w:r w:rsidRPr="00C478D6">
        <w:t>36.</w:t>
      </w:r>
      <w:r w:rsidRPr="00C478D6">
        <w:tab/>
        <w:t xml:space="preserve">Davaakhuu, O., Sharma, K. &amp; Oczkowski, E. Has foreign investment played a role in Mongolia’s export success? </w:t>
      </w:r>
      <w:r w:rsidRPr="00C478D6">
        <w:rPr>
          <w:i/>
          <w:iCs/>
        </w:rPr>
        <w:t>Post-Communist Economies</w:t>
      </w:r>
      <w:r w:rsidRPr="00C478D6">
        <w:t xml:space="preserve"> </w:t>
      </w:r>
      <w:r w:rsidRPr="00C478D6">
        <w:rPr>
          <w:b/>
          <w:bCs/>
        </w:rPr>
        <w:t>27</w:t>
      </w:r>
      <w:r w:rsidRPr="00C478D6">
        <w:t>, 256–267 (2015).</w:t>
      </w:r>
    </w:p>
    <w:p w14:paraId="409E8E33" w14:textId="77777777" w:rsidR="00C478D6" w:rsidRPr="00C478D6" w:rsidRDefault="00C478D6" w:rsidP="00C478D6">
      <w:pPr>
        <w:pStyle w:val="afd"/>
      </w:pPr>
      <w:r w:rsidRPr="00C478D6">
        <w:t>37.</w:t>
      </w:r>
      <w:r w:rsidRPr="00C478D6">
        <w:tab/>
        <w:t xml:space="preserve">Allen, M. </w:t>
      </w:r>
      <w:r w:rsidRPr="00C478D6">
        <w:rPr>
          <w:i/>
          <w:iCs/>
        </w:rPr>
        <w:t>et al.</w:t>
      </w:r>
      <w:r w:rsidRPr="00C478D6">
        <w:t xml:space="preserve"> </w:t>
      </w:r>
      <w:r w:rsidRPr="00C478D6">
        <w:rPr>
          <w:i/>
          <w:iCs/>
        </w:rPr>
        <w:t>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w:t>
      </w:r>
      <w:r w:rsidRPr="00C478D6">
        <w:t>. (2018).</w:t>
      </w:r>
    </w:p>
    <w:p w14:paraId="1DC21A70" w14:textId="77777777" w:rsidR="00C478D6" w:rsidRPr="00C478D6" w:rsidRDefault="00C478D6" w:rsidP="00C478D6">
      <w:pPr>
        <w:pStyle w:val="afd"/>
      </w:pPr>
      <w:r w:rsidRPr="00C478D6">
        <w:t>38.</w:t>
      </w:r>
      <w:r w:rsidRPr="00C478D6">
        <w:tab/>
        <w:t xml:space="preserve">United Nations. World Economic Situation and Prospects 2020. </w:t>
      </w:r>
      <w:r w:rsidRPr="00C478D6">
        <w:rPr>
          <w:i/>
          <w:iCs/>
        </w:rPr>
        <w:t>World Economic Situation and Prospects</w:t>
      </w:r>
      <w:r w:rsidRPr="00C478D6">
        <w:t xml:space="preserve"> 163–170 (2020).</w:t>
      </w:r>
    </w:p>
    <w:p w14:paraId="2A1FB198" w14:textId="68A971D2" w:rsidR="00B92C00" w:rsidRPr="00214EFC" w:rsidRDefault="00763922" w:rsidP="00963F64">
      <w:pPr>
        <w:spacing w:after="100" w:afterAutospacing="1" w:line="360" w:lineRule="auto"/>
      </w:pPr>
      <w:r>
        <w:fldChar w:fldCharType="end"/>
      </w:r>
    </w:p>
    <w:p w14:paraId="2260D510" w14:textId="61F99545" w:rsidR="00EE352C" w:rsidRDefault="00EE352C" w:rsidP="00AA63CD">
      <w:pPr>
        <w:widowControl/>
        <w:spacing w:before="0" w:after="100" w:afterAutospacing="1" w:line="360" w:lineRule="auto"/>
        <w:jc w:val="left"/>
      </w:pPr>
      <w:r>
        <w:br w:type="page"/>
      </w:r>
    </w:p>
    <w:p w14:paraId="40D24A83" w14:textId="3585CDC9" w:rsidR="00EE352C" w:rsidRPr="00214EFC" w:rsidRDefault="00EE352C" w:rsidP="00AA63CD">
      <w:pPr>
        <w:pStyle w:val="1"/>
        <w:numPr>
          <w:ilvl w:val="0"/>
          <w:numId w:val="47"/>
        </w:numPr>
        <w:spacing w:after="100" w:afterAutospacing="1" w:line="360" w:lineRule="auto"/>
        <w:ind w:firstLine="0"/>
        <w:rPr>
          <w:rStyle w:val="addressChar"/>
          <w:rFonts w:eastAsiaTheme="minorEastAsia" w:cs="Times New Roman"/>
          <w:b/>
          <w:sz w:val="24"/>
        </w:rPr>
      </w:pPr>
      <w:bookmarkStart w:id="70" w:name="_Ref67687366"/>
      <w:r w:rsidRPr="00214EFC">
        <w:rPr>
          <w:rStyle w:val="addressChar"/>
          <w:rFonts w:eastAsiaTheme="minorEastAsia" w:cs="Times New Roman"/>
          <w:b/>
          <w:sz w:val="24"/>
        </w:rPr>
        <w:lastRenderedPageBreak/>
        <w:t>Supp</w:t>
      </w:r>
      <w:r>
        <w:rPr>
          <w:rStyle w:val="addressChar"/>
          <w:rFonts w:eastAsiaTheme="minorEastAsia" w:cs="Times New Roman"/>
          <w:b/>
          <w:sz w:val="24"/>
        </w:rPr>
        <w:t>lementary</w:t>
      </w:r>
      <w:r w:rsidRPr="00214EFC">
        <w:rPr>
          <w:rStyle w:val="addressChar"/>
          <w:rFonts w:eastAsiaTheme="minorEastAsia" w:cs="Times New Roman"/>
          <w:b/>
          <w:sz w:val="24"/>
        </w:rPr>
        <w:t xml:space="preserve"> Data</w:t>
      </w:r>
      <w:bookmarkEnd w:id="70"/>
    </w:p>
    <w:p w14:paraId="5E81515D" w14:textId="3CC8463F" w:rsidR="00EE352C" w:rsidRPr="00214EFC" w:rsidRDefault="00EE352C" w:rsidP="00AA63CD">
      <w:pPr>
        <w:pStyle w:val="2"/>
        <w:numPr>
          <w:ilvl w:val="1"/>
          <w:numId w:val="47"/>
        </w:numPr>
        <w:spacing w:after="100" w:afterAutospacing="1" w:line="360" w:lineRule="auto"/>
        <w:ind w:firstLine="0"/>
      </w:pPr>
      <w:r w:rsidRPr="00214EFC">
        <w:t xml:space="preserve">The 59 countries with fast-growing </w:t>
      </w:r>
      <w:r w:rsidR="009669F6" w:rsidRPr="009669F6">
        <w:t>CO</w:t>
      </w:r>
      <w:r w:rsidR="009669F6" w:rsidRPr="009669F6">
        <w:rPr>
          <w:vertAlign w:val="subscript"/>
        </w:rPr>
        <w:t>2</w:t>
      </w:r>
      <w:r w:rsidRPr="00214EFC">
        <w:t xml:space="preserve"> emissions</w:t>
      </w:r>
    </w:p>
    <w:p w14:paraId="221B4B75" w14:textId="4AD80164" w:rsidR="00EE352C" w:rsidRPr="00214EFC" w:rsidRDefault="00EE352C" w:rsidP="00AA63CD">
      <w:pPr>
        <w:spacing w:after="100" w:afterAutospacing="1" w:line="360" w:lineRule="auto"/>
      </w:pPr>
      <w:r w:rsidRPr="00214EFC">
        <w:t xml:space="preserve">The 59 countries with fast-growing </w:t>
      </w:r>
      <w:r w:rsidR="009669F6" w:rsidRPr="009669F6">
        <w:t>CO</w:t>
      </w:r>
      <w:r w:rsidR="009669F6" w:rsidRPr="009669F6">
        <w:rPr>
          <w:vertAlign w:val="subscript"/>
        </w:rPr>
        <w:t>2</w:t>
      </w:r>
      <w:r w:rsidRPr="00214EFC">
        <w:t xml:space="preserve"> emissions are listed in</w:t>
      </w:r>
      <w:r w:rsidR="00963F64">
        <w:t xml:space="preserve"> </w:t>
      </w:r>
      <w:r w:rsidR="00963F64">
        <w:fldChar w:fldCharType="begin"/>
      </w:r>
      <w:r w:rsidR="00963F64">
        <w:instrText xml:space="preserve"> REF _Ref67776512 \h </w:instrText>
      </w:r>
      <w:r w:rsidR="00963F64">
        <w:fldChar w:fldCharType="separate"/>
      </w:r>
      <w:r w:rsidR="00963F64" w:rsidRPr="00214EFC">
        <w:t xml:space="preserve">Table S </w:t>
      </w:r>
      <w:r w:rsidR="00963F64">
        <w:rPr>
          <w:noProof/>
        </w:rPr>
        <w:t>7</w:t>
      </w:r>
      <w:r w:rsidR="00963F64">
        <w:fldChar w:fldCharType="end"/>
      </w:r>
      <w:r w:rsidR="009D5752">
        <w:t xml:space="preserve"> </w:t>
      </w:r>
      <w:r w:rsidR="009D5752">
        <w:rPr>
          <w:rFonts w:hint="eastAsia"/>
        </w:rPr>
        <w:t>(</w:t>
      </w:r>
      <w:r w:rsidR="009D5752">
        <w:t xml:space="preserve">also in the EXCEL file: </w:t>
      </w:r>
      <w:r w:rsidR="009D5752" w:rsidRPr="009D5752">
        <w:rPr>
          <w:i/>
          <w:iCs/>
        </w:rPr>
        <w:t>SupplementaryData1.xlsx</w:t>
      </w:r>
      <w:r w:rsidR="009D5752">
        <w:t>)</w:t>
      </w:r>
      <w:r w:rsidRPr="00214EFC">
        <w:t xml:space="preserve">. The developing stages of the countries vary from least developed countries (LDC), developing economies (DE), and economies in transition (EIT). </w:t>
      </w:r>
    </w:p>
    <w:p w14:paraId="0C2A85D9" w14:textId="1F5AAA3F" w:rsidR="00EE352C" w:rsidRPr="00214EFC" w:rsidRDefault="00EE352C" w:rsidP="00AA63CD">
      <w:pPr>
        <w:pStyle w:val="af6"/>
        <w:spacing w:after="100" w:afterAutospacing="1" w:line="360" w:lineRule="auto"/>
      </w:pPr>
      <w:bookmarkStart w:id="71" w:name="_Ref67776512"/>
      <w:r w:rsidRPr="00214EFC">
        <w:t xml:space="preserve">Table S </w:t>
      </w:r>
      <w:fldSimple w:instr=" SEQ Table_S \* ARABIC ">
        <w:r w:rsidR="00A80F2F">
          <w:rPr>
            <w:noProof/>
          </w:rPr>
          <w:t>7</w:t>
        </w:r>
      </w:fldSimple>
      <w:bookmarkEnd w:id="71"/>
      <w:r w:rsidRPr="00214EFC">
        <w:t xml:space="preserve"> The 59 countries with fast-growing </w:t>
      </w:r>
      <w:r w:rsidR="009669F6" w:rsidRPr="009669F6">
        <w:t>CO</w:t>
      </w:r>
      <w:r w:rsidR="009669F6" w:rsidRPr="009669F6">
        <w:rPr>
          <w:vertAlign w:val="subscript"/>
        </w:rPr>
        <w:t>2</w:t>
      </w:r>
      <w:r w:rsidRPr="00214EFC">
        <w:t xml:space="preserve"> emissions and their developing stage</w:t>
      </w:r>
      <w:r w:rsidRPr="00214EFC">
        <w:fldChar w:fldCharType="begin"/>
      </w:r>
      <w:r w:rsidR="00C478D6">
        <w:instrText xml:space="preserve"> ADDIN ZOTERO_ITEM CSL_CITATION {"citationID":"QJ48Q8ed","properties":{"formattedCitation":"\\super 38\\nosupersub{}","plainCitation":"38","noteIndex":0},"citationItems":[{"id":1342,"uris":["http://zotero.org/users/4340498/items/9WZN3S3J"],"uri":["http://zotero.org/users/4340498/items/9WZN3S3J"],"itemData":{"id":1342,"type":"article-journal","container-title":"World Economic Situation and Prospects","language":"en","page":"163-170","source":"Zotero","title":"World Economic Situation and Prospects 2020","author":[{"family":"United Nations","given":""}],"issued":{"date-parts":[["2020"]]}}}],"schema":"https://github.com/citation-style-language/schema/raw/master/csl-citation.json"} </w:instrText>
      </w:r>
      <w:r w:rsidRPr="00214EFC">
        <w:fldChar w:fldCharType="separate"/>
      </w:r>
      <w:r w:rsidR="00C478D6" w:rsidRPr="00C478D6">
        <w:rPr>
          <w:kern w:val="0"/>
          <w:szCs w:val="24"/>
          <w:vertAlign w:val="superscript"/>
        </w:rPr>
        <w:t>38</w:t>
      </w:r>
      <w:r w:rsidRPr="00214EFC">
        <w:fldChar w:fldCharType="end"/>
      </w:r>
      <w:r w:rsidRPr="00214EFC">
        <w:t>.</w:t>
      </w:r>
    </w:p>
    <w:tbl>
      <w:tblPr>
        <w:tblW w:w="8217" w:type="dxa"/>
        <w:tblBorders>
          <w:top w:val="single" w:sz="4" w:space="0" w:color="auto"/>
          <w:bottom w:val="single" w:sz="4" w:space="0" w:color="auto"/>
        </w:tblBorders>
        <w:tblLook w:val="04A0" w:firstRow="1" w:lastRow="0" w:firstColumn="1" w:lastColumn="0" w:noHBand="0" w:noVBand="1"/>
      </w:tblPr>
      <w:tblGrid>
        <w:gridCol w:w="4111"/>
        <w:gridCol w:w="4106"/>
      </w:tblGrid>
      <w:tr w:rsidR="00EE352C" w:rsidRPr="00214EFC" w14:paraId="423027E7" w14:textId="77777777" w:rsidTr="00FB69CA">
        <w:trPr>
          <w:trHeight w:val="262"/>
        </w:trPr>
        <w:tc>
          <w:tcPr>
            <w:tcW w:w="4111" w:type="dxa"/>
            <w:tcBorders>
              <w:top w:val="single" w:sz="12" w:space="0" w:color="auto"/>
              <w:bottom w:val="single" w:sz="4" w:space="0" w:color="auto"/>
            </w:tcBorders>
            <w:shd w:val="clear" w:color="auto" w:fill="auto"/>
            <w:noWrap/>
            <w:vAlign w:val="center"/>
            <w:hideMark/>
          </w:tcPr>
          <w:p w14:paraId="565D8E1A"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Country</w:t>
            </w:r>
          </w:p>
        </w:tc>
        <w:tc>
          <w:tcPr>
            <w:tcW w:w="4106" w:type="dxa"/>
            <w:tcBorders>
              <w:top w:val="single" w:sz="12" w:space="0" w:color="auto"/>
              <w:bottom w:val="single" w:sz="4" w:space="0" w:color="auto"/>
            </w:tcBorders>
            <w:shd w:val="clear" w:color="auto" w:fill="auto"/>
            <w:noWrap/>
            <w:vAlign w:val="center"/>
            <w:hideMark/>
          </w:tcPr>
          <w:p w14:paraId="5E216518"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Country</w:t>
            </w:r>
          </w:p>
        </w:tc>
      </w:tr>
      <w:tr w:rsidR="00EE352C" w:rsidRPr="00214EFC" w14:paraId="7F0CD126" w14:textId="77777777" w:rsidTr="00FB69CA">
        <w:trPr>
          <w:trHeight w:val="262"/>
        </w:trPr>
        <w:tc>
          <w:tcPr>
            <w:tcW w:w="4111" w:type="dxa"/>
            <w:tcBorders>
              <w:top w:val="single" w:sz="4" w:space="0" w:color="auto"/>
            </w:tcBorders>
            <w:shd w:val="clear" w:color="auto" w:fill="auto"/>
            <w:noWrap/>
            <w:vAlign w:val="center"/>
            <w:hideMark/>
          </w:tcPr>
          <w:p w14:paraId="4C77AF1F"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Lao People's Dem. Rep.</w:t>
            </w:r>
          </w:p>
        </w:tc>
        <w:tc>
          <w:tcPr>
            <w:tcW w:w="4106" w:type="dxa"/>
            <w:tcBorders>
              <w:top w:val="single" w:sz="4" w:space="0" w:color="auto"/>
            </w:tcBorders>
            <w:shd w:val="clear" w:color="auto" w:fill="auto"/>
            <w:noWrap/>
            <w:vAlign w:val="center"/>
            <w:hideMark/>
          </w:tcPr>
          <w:p w14:paraId="268608D0"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Kenya</w:t>
            </w:r>
          </w:p>
        </w:tc>
      </w:tr>
      <w:tr w:rsidR="00EE352C" w:rsidRPr="00214EFC" w14:paraId="0F6C1A0B" w14:textId="77777777" w:rsidTr="00FB69CA">
        <w:trPr>
          <w:trHeight w:val="262"/>
        </w:trPr>
        <w:tc>
          <w:tcPr>
            <w:tcW w:w="4111" w:type="dxa"/>
            <w:shd w:val="clear" w:color="auto" w:fill="auto"/>
            <w:noWrap/>
            <w:vAlign w:val="center"/>
            <w:hideMark/>
          </w:tcPr>
          <w:p w14:paraId="29C0AAD9"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Myanmar</w:t>
            </w:r>
          </w:p>
        </w:tc>
        <w:tc>
          <w:tcPr>
            <w:tcW w:w="4106" w:type="dxa"/>
            <w:shd w:val="clear" w:color="auto" w:fill="auto"/>
            <w:noWrap/>
            <w:vAlign w:val="center"/>
            <w:hideMark/>
          </w:tcPr>
          <w:p w14:paraId="5F670D0A"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Uganda</w:t>
            </w:r>
          </w:p>
        </w:tc>
      </w:tr>
      <w:tr w:rsidR="00EE352C" w:rsidRPr="00214EFC" w14:paraId="448EC471" w14:textId="77777777" w:rsidTr="00FB69CA">
        <w:trPr>
          <w:trHeight w:val="262"/>
        </w:trPr>
        <w:tc>
          <w:tcPr>
            <w:tcW w:w="4111" w:type="dxa"/>
            <w:shd w:val="clear" w:color="auto" w:fill="auto"/>
            <w:noWrap/>
            <w:vAlign w:val="center"/>
            <w:hideMark/>
          </w:tcPr>
          <w:p w14:paraId="412FD091"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Zambia</w:t>
            </w:r>
          </w:p>
        </w:tc>
        <w:tc>
          <w:tcPr>
            <w:tcW w:w="4106" w:type="dxa"/>
            <w:shd w:val="clear" w:color="auto" w:fill="auto"/>
            <w:noWrap/>
            <w:vAlign w:val="center"/>
            <w:hideMark/>
          </w:tcPr>
          <w:p w14:paraId="626129D5"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Qatar</w:t>
            </w:r>
          </w:p>
        </w:tc>
      </w:tr>
      <w:tr w:rsidR="00EE352C" w:rsidRPr="00214EFC" w14:paraId="106FF5AA" w14:textId="77777777" w:rsidTr="00FB69CA">
        <w:trPr>
          <w:trHeight w:val="262"/>
        </w:trPr>
        <w:tc>
          <w:tcPr>
            <w:tcW w:w="4111" w:type="dxa"/>
            <w:shd w:val="clear" w:color="auto" w:fill="auto"/>
            <w:noWrap/>
            <w:vAlign w:val="center"/>
            <w:hideMark/>
          </w:tcPr>
          <w:p w14:paraId="34130AC1"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Mozambique</w:t>
            </w:r>
          </w:p>
        </w:tc>
        <w:tc>
          <w:tcPr>
            <w:tcW w:w="4106" w:type="dxa"/>
            <w:shd w:val="clear" w:color="auto" w:fill="auto"/>
            <w:noWrap/>
            <w:vAlign w:val="center"/>
            <w:hideMark/>
          </w:tcPr>
          <w:p w14:paraId="59905093"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Pakistan</w:t>
            </w:r>
          </w:p>
        </w:tc>
      </w:tr>
      <w:tr w:rsidR="00EE352C" w:rsidRPr="00214EFC" w14:paraId="1D85DDC7" w14:textId="77777777" w:rsidTr="00FB69CA">
        <w:trPr>
          <w:trHeight w:val="262"/>
        </w:trPr>
        <w:tc>
          <w:tcPr>
            <w:tcW w:w="4111" w:type="dxa"/>
            <w:shd w:val="clear" w:color="auto" w:fill="auto"/>
            <w:noWrap/>
            <w:vAlign w:val="center"/>
            <w:hideMark/>
          </w:tcPr>
          <w:p w14:paraId="32304191"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Tajikistan</w:t>
            </w:r>
          </w:p>
        </w:tc>
        <w:tc>
          <w:tcPr>
            <w:tcW w:w="4106" w:type="dxa"/>
            <w:shd w:val="clear" w:color="auto" w:fill="auto"/>
            <w:noWrap/>
            <w:vAlign w:val="center"/>
            <w:hideMark/>
          </w:tcPr>
          <w:p w14:paraId="0050241B"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Turkey</w:t>
            </w:r>
          </w:p>
        </w:tc>
      </w:tr>
      <w:tr w:rsidR="00EE352C" w:rsidRPr="00214EFC" w14:paraId="57EA2795" w14:textId="77777777" w:rsidTr="00FB69CA">
        <w:trPr>
          <w:trHeight w:val="262"/>
        </w:trPr>
        <w:tc>
          <w:tcPr>
            <w:tcW w:w="4111" w:type="dxa"/>
            <w:shd w:val="clear" w:color="auto" w:fill="auto"/>
            <w:noWrap/>
            <w:vAlign w:val="center"/>
            <w:hideMark/>
          </w:tcPr>
          <w:p w14:paraId="3399D717"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Nepal</w:t>
            </w:r>
          </w:p>
        </w:tc>
        <w:tc>
          <w:tcPr>
            <w:tcW w:w="4106" w:type="dxa"/>
            <w:shd w:val="clear" w:color="auto" w:fill="auto"/>
            <w:noWrap/>
            <w:vAlign w:val="center"/>
            <w:hideMark/>
          </w:tcPr>
          <w:p w14:paraId="2FDD4D45"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Indonesia</w:t>
            </w:r>
          </w:p>
        </w:tc>
      </w:tr>
      <w:tr w:rsidR="00EE352C" w:rsidRPr="00214EFC" w14:paraId="027796DA" w14:textId="77777777" w:rsidTr="00FB69CA">
        <w:trPr>
          <w:trHeight w:val="262"/>
        </w:trPr>
        <w:tc>
          <w:tcPr>
            <w:tcW w:w="4111" w:type="dxa"/>
            <w:shd w:val="clear" w:color="auto" w:fill="auto"/>
            <w:noWrap/>
            <w:vAlign w:val="center"/>
            <w:hideMark/>
          </w:tcPr>
          <w:p w14:paraId="4CFD5EF6"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Botswana</w:t>
            </w:r>
          </w:p>
        </w:tc>
        <w:tc>
          <w:tcPr>
            <w:tcW w:w="4106" w:type="dxa"/>
            <w:shd w:val="clear" w:color="auto" w:fill="auto"/>
            <w:noWrap/>
            <w:vAlign w:val="center"/>
            <w:hideMark/>
          </w:tcPr>
          <w:p w14:paraId="2F30E96C"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Mongolia</w:t>
            </w:r>
          </w:p>
        </w:tc>
      </w:tr>
      <w:tr w:rsidR="00EE352C" w:rsidRPr="00214EFC" w14:paraId="41C2721E" w14:textId="77777777" w:rsidTr="00FB69CA">
        <w:trPr>
          <w:trHeight w:val="262"/>
        </w:trPr>
        <w:tc>
          <w:tcPr>
            <w:tcW w:w="4111" w:type="dxa"/>
            <w:shd w:val="clear" w:color="auto" w:fill="auto"/>
            <w:noWrap/>
            <w:vAlign w:val="center"/>
            <w:hideMark/>
          </w:tcPr>
          <w:p w14:paraId="40E2C8AA"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Cambodia</w:t>
            </w:r>
          </w:p>
        </w:tc>
        <w:tc>
          <w:tcPr>
            <w:tcW w:w="4106" w:type="dxa"/>
            <w:shd w:val="clear" w:color="auto" w:fill="auto"/>
            <w:noWrap/>
            <w:vAlign w:val="center"/>
            <w:hideMark/>
          </w:tcPr>
          <w:p w14:paraId="573906B0"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Algeria</w:t>
            </w:r>
          </w:p>
        </w:tc>
      </w:tr>
      <w:tr w:rsidR="00EE352C" w:rsidRPr="00214EFC" w14:paraId="2434F678" w14:textId="77777777" w:rsidTr="00FB69CA">
        <w:trPr>
          <w:trHeight w:val="262"/>
        </w:trPr>
        <w:tc>
          <w:tcPr>
            <w:tcW w:w="4111" w:type="dxa"/>
            <w:shd w:val="clear" w:color="auto" w:fill="auto"/>
            <w:noWrap/>
            <w:vAlign w:val="center"/>
            <w:hideMark/>
          </w:tcPr>
          <w:p w14:paraId="5BA0BD1E"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Ethiopia</w:t>
            </w:r>
          </w:p>
        </w:tc>
        <w:tc>
          <w:tcPr>
            <w:tcW w:w="4106" w:type="dxa"/>
            <w:shd w:val="clear" w:color="auto" w:fill="auto"/>
            <w:noWrap/>
            <w:vAlign w:val="center"/>
            <w:hideMark/>
          </w:tcPr>
          <w:p w14:paraId="40840808"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Jordan</w:t>
            </w:r>
          </w:p>
        </w:tc>
      </w:tr>
      <w:tr w:rsidR="00EE352C" w:rsidRPr="00214EFC" w14:paraId="63B36FFE" w14:textId="77777777" w:rsidTr="00FB69CA">
        <w:trPr>
          <w:trHeight w:val="262"/>
        </w:trPr>
        <w:tc>
          <w:tcPr>
            <w:tcW w:w="4111" w:type="dxa"/>
            <w:shd w:val="clear" w:color="auto" w:fill="auto"/>
            <w:noWrap/>
            <w:vAlign w:val="center"/>
            <w:hideMark/>
          </w:tcPr>
          <w:p w14:paraId="1EE03216"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Sri Lanka</w:t>
            </w:r>
          </w:p>
        </w:tc>
        <w:tc>
          <w:tcPr>
            <w:tcW w:w="4106" w:type="dxa"/>
            <w:shd w:val="clear" w:color="auto" w:fill="auto"/>
            <w:noWrap/>
            <w:vAlign w:val="center"/>
            <w:hideMark/>
          </w:tcPr>
          <w:p w14:paraId="19EE3D54"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Iraq</w:t>
            </w:r>
          </w:p>
        </w:tc>
      </w:tr>
      <w:tr w:rsidR="00EE352C" w:rsidRPr="00214EFC" w14:paraId="25F26287" w14:textId="77777777" w:rsidTr="00FB69CA">
        <w:trPr>
          <w:trHeight w:val="262"/>
        </w:trPr>
        <w:tc>
          <w:tcPr>
            <w:tcW w:w="4111" w:type="dxa"/>
            <w:shd w:val="clear" w:color="auto" w:fill="auto"/>
            <w:noWrap/>
            <w:vAlign w:val="center"/>
            <w:hideMark/>
          </w:tcPr>
          <w:p w14:paraId="75DC511E"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Georgia</w:t>
            </w:r>
          </w:p>
        </w:tc>
        <w:tc>
          <w:tcPr>
            <w:tcW w:w="4106" w:type="dxa"/>
            <w:shd w:val="clear" w:color="auto" w:fill="auto"/>
            <w:noWrap/>
            <w:vAlign w:val="center"/>
            <w:hideMark/>
          </w:tcPr>
          <w:p w14:paraId="2020D0AE"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Ghana</w:t>
            </w:r>
          </w:p>
        </w:tc>
      </w:tr>
      <w:tr w:rsidR="00EE352C" w:rsidRPr="00214EFC" w14:paraId="23CBED14" w14:textId="77777777" w:rsidTr="00FB69CA">
        <w:trPr>
          <w:trHeight w:val="262"/>
        </w:trPr>
        <w:tc>
          <w:tcPr>
            <w:tcW w:w="4111" w:type="dxa"/>
            <w:shd w:val="clear" w:color="auto" w:fill="auto"/>
            <w:noWrap/>
            <w:vAlign w:val="center"/>
            <w:hideMark/>
          </w:tcPr>
          <w:p w14:paraId="5EBA9B2D"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Cote d'Ivoire</w:t>
            </w:r>
          </w:p>
        </w:tc>
        <w:tc>
          <w:tcPr>
            <w:tcW w:w="4106" w:type="dxa"/>
            <w:shd w:val="clear" w:color="auto" w:fill="auto"/>
            <w:noWrap/>
            <w:vAlign w:val="center"/>
            <w:hideMark/>
          </w:tcPr>
          <w:p w14:paraId="37DFE7C9"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Eritrea</w:t>
            </w:r>
          </w:p>
        </w:tc>
      </w:tr>
      <w:tr w:rsidR="00EE352C" w:rsidRPr="00214EFC" w14:paraId="072B17D7" w14:textId="77777777" w:rsidTr="00FB69CA">
        <w:trPr>
          <w:trHeight w:val="262"/>
        </w:trPr>
        <w:tc>
          <w:tcPr>
            <w:tcW w:w="4111" w:type="dxa"/>
            <w:shd w:val="clear" w:color="auto" w:fill="auto"/>
            <w:noWrap/>
            <w:vAlign w:val="center"/>
            <w:hideMark/>
          </w:tcPr>
          <w:p w14:paraId="6152D0AF"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Tanzania</w:t>
            </w:r>
          </w:p>
        </w:tc>
        <w:tc>
          <w:tcPr>
            <w:tcW w:w="4106" w:type="dxa"/>
            <w:shd w:val="clear" w:color="auto" w:fill="auto"/>
            <w:noWrap/>
            <w:vAlign w:val="center"/>
            <w:hideMark/>
          </w:tcPr>
          <w:p w14:paraId="411CC129"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Azerbaijan</w:t>
            </w:r>
          </w:p>
        </w:tc>
      </w:tr>
      <w:tr w:rsidR="00EE352C" w:rsidRPr="00214EFC" w14:paraId="28235BBB" w14:textId="77777777" w:rsidTr="00FB69CA">
        <w:trPr>
          <w:trHeight w:val="262"/>
        </w:trPr>
        <w:tc>
          <w:tcPr>
            <w:tcW w:w="4111" w:type="dxa"/>
            <w:shd w:val="clear" w:color="auto" w:fill="auto"/>
            <w:noWrap/>
            <w:vAlign w:val="center"/>
            <w:hideMark/>
          </w:tcPr>
          <w:p w14:paraId="1B3E53B2"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Philippines</w:t>
            </w:r>
          </w:p>
        </w:tc>
        <w:tc>
          <w:tcPr>
            <w:tcW w:w="4106" w:type="dxa"/>
            <w:shd w:val="clear" w:color="auto" w:fill="auto"/>
            <w:noWrap/>
            <w:vAlign w:val="center"/>
            <w:hideMark/>
          </w:tcPr>
          <w:p w14:paraId="411D9D2B"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Namibia</w:t>
            </w:r>
          </w:p>
        </w:tc>
      </w:tr>
      <w:tr w:rsidR="00EE352C" w:rsidRPr="00214EFC" w14:paraId="1E0675BA" w14:textId="77777777" w:rsidTr="00FB69CA">
        <w:trPr>
          <w:trHeight w:val="262"/>
        </w:trPr>
        <w:tc>
          <w:tcPr>
            <w:tcW w:w="4111" w:type="dxa"/>
            <w:shd w:val="clear" w:color="auto" w:fill="auto"/>
            <w:noWrap/>
            <w:vAlign w:val="center"/>
            <w:hideMark/>
          </w:tcPr>
          <w:p w14:paraId="6F82D7FE"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Dem. Rep. Congo</w:t>
            </w:r>
          </w:p>
        </w:tc>
        <w:tc>
          <w:tcPr>
            <w:tcW w:w="4106" w:type="dxa"/>
            <w:shd w:val="clear" w:color="auto" w:fill="auto"/>
            <w:noWrap/>
            <w:vAlign w:val="center"/>
            <w:hideMark/>
          </w:tcPr>
          <w:p w14:paraId="09A51AEC"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Armenia</w:t>
            </w:r>
          </w:p>
        </w:tc>
      </w:tr>
      <w:tr w:rsidR="00EE352C" w:rsidRPr="00214EFC" w14:paraId="5EA9973B" w14:textId="77777777" w:rsidTr="00FB69CA">
        <w:trPr>
          <w:trHeight w:val="262"/>
        </w:trPr>
        <w:tc>
          <w:tcPr>
            <w:tcW w:w="4111" w:type="dxa"/>
            <w:shd w:val="clear" w:color="auto" w:fill="auto"/>
            <w:noWrap/>
            <w:vAlign w:val="center"/>
            <w:hideMark/>
          </w:tcPr>
          <w:p w14:paraId="78DF1791"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Mali</w:t>
            </w:r>
          </w:p>
        </w:tc>
        <w:tc>
          <w:tcPr>
            <w:tcW w:w="4106" w:type="dxa"/>
            <w:shd w:val="clear" w:color="auto" w:fill="auto"/>
            <w:noWrap/>
            <w:vAlign w:val="center"/>
            <w:hideMark/>
          </w:tcPr>
          <w:p w14:paraId="2197FBF5"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Colombia</w:t>
            </w:r>
          </w:p>
        </w:tc>
      </w:tr>
      <w:tr w:rsidR="00EE352C" w:rsidRPr="00214EFC" w14:paraId="10D4ECEC" w14:textId="77777777" w:rsidTr="00FB69CA">
        <w:trPr>
          <w:trHeight w:val="262"/>
        </w:trPr>
        <w:tc>
          <w:tcPr>
            <w:tcW w:w="4111" w:type="dxa"/>
            <w:shd w:val="clear" w:color="auto" w:fill="auto"/>
            <w:noWrap/>
            <w:vAlign w:val="center"/>
            <w:hideMark/>
          </w:tcPr>
          <w:p w14:paraId="2B1B993D"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Haiti</w:t>
            </w:r>
          </w:p>
        </w:tc>
        <w:tc>
          <w:tcPr>
            <w:tcW w:w="4106" w:type="dxa"/>
            <w:shd w:val="clear" w:color="auto" w:fill="auto"/>
            <w:noWrap/>
            <w:vAlign w:val="center"/>
            <w:hideMark/>
          </w:tcPr>
          <w:p w14:paraId="5CD274BA"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Sudan</w:t>
            </w:r>
          </w:p>
        </w:tc>
      </w:tr>
      <w:tr w:rsidR="00EE352C" w:rsidRPr="00214EFC" w14:paraId="0B8F70A1" w14:textId="77777777" w:rsidTr="00FB69CA">
        <w:trPr>
          <w:trHeight w:val="262"/>
        </w:trPr>
        <w:tc>
          <w:tcPr>
            <w:tcW w:w="4111" w:type="dxa"/>
            <w:shd w:val="clear" w:color="auto" w:fill="auto"/>
            <w:noWrap/>
            <w:vAlign w:val="center"/>
            <w:hideMark/>
          </w:tcPr>
          <w:p w14:paraId="5391DC0C"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Bolivia</w:t>
            </w:r>
          </w:p>
        </w:tc>
        <w:tc>
          <w:tcPr>
            <w:tcW w:w="4106" w:type="dxa"/>
            <w:shd w:val="clear" w:color="auto" w:fill="auto"/>
            <w:noWrap/>
            <w:vAlign w:val="center"/>
            <w:hideMark/>
          </w:tcPr>
          <w:p w14:paraId="1DB388AF"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United Arab Emirates</w:t>
            </w:r>
          </w:p>
        </w:tc>
      </w:tr>
      <w:tr w:rsidR="00EE352C" w:rsidRPr="00214EFC" w14:paraId="7DD65778" w14:textId="77777777" w:rsidTr="00FB69CA">
        <w:trPr>
          <w:trHeight w:val="262"/>
        </w:trPr>
        <w:tc>
          <w:tcPr>
            <w:tcW w:w="4111" w:type="dxa"/>
            <w:shd w:val="clear" w:color="auto" w:fill="auto"/>
            <w:noWrap/>
            <w:vAlign w:val="center"/>
            <w:hideMark/>
          </w:tcPr>
          <w:p w14:paraId="18E075CE"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Paraguay</w:t>
            </w:r>
          </w:p>
        </w:tc>
        <w:tc>
          <w:tcPr>
            <w:tcW w:w="4106" w:type="dxa"/>
            <w:shd w:val="clear" w:color="auto" w:fill="auto"/>
            <w:noWrap/>
            <w:vAlign w:val="center"/>
            <w:hideMark/>
          </w:tcPr>
          <w:p w14:paraId="761424D8"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Saudi Arabia</w:t>
            </w:r>
          </w:p>
        </w:tc>
      </w:tr>
      <w:tr w:rsidR="00EE352C" w:rsidRPr="00214EFC" w14:paraId="3B84FF3A" w14:textId="77777777" w:rsidTr="00FB69CA">
        <w:trPr>
          <w:trHeight w:val="262"/>
        </w:trPr>
        <w:tc>
          <w:tcPr>
            <w:tcW w:w="4111" w:type="dxa"/>
            <w:shd w:val="clear" w:color="auto" w:fill="auto"/>
            <w:noWrap/>
            <w:vAlign w:val="center"/>
            <w:hideMark/>
          </w:tcPr>
          <w:p w14:paraId="22E6911B"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Nigeria</w:t>
            </w:r>
          </w:p>
        </w:tc>
        <w:tc>
          <w:tcPr>
            <w:tcW w:w="4106" w:type="dxa"/>
            <w:shd w:val="clear" w:color="auto" w:fill="auto"/>
            <w:noWrap/>
            <w:vAlign w:val="center"/>
            <w:hideMark/>
          </w:tcPr>
          <w:p w14:paraId="02596BB0"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Chile</w:t>
            </w:r>
          </w:p>
        </w:tc>
      </w:tr>
      <w:tr w:rsidR="00EE352C" w:rsidRPr="00214EFC" w14:paraId="59F2D2B7" w14:textId="77777777" w:rsidTr="00FB69CA">
        <w:trPr>
          <w:trHeight w:val="262"/>
        </w:trPr>
        <w:tc>
          <w:tcPr>
            <w:tcW w:w="4111" w:type="dxa"/>
            <w:shd w:val="clear" w:color="auto" w:fill="auto"/>
            <w:noWrap/>
            <w:vAlign w:val="center"/>
            <w:hideMark/>
          </w:tcPr>
          <w:p w14:paraId="78402810"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lastRenderedPageBreak/>
              <w:t>Rep. Congo</w:t>
            </w:r>
          </w:p>
        </w:tc>
        <w:tc>
          <w:tcPr>
            <w:tcW w:w="4106" w:type="dxa"/>
            <w:shd w:val="clear" w:color="auto" w:fill="auto"/>
            <w:noWrap/>
            <w:vAlign w:val="center"/>
            <w:hideMark/>
          </w:tcPr>
          <w:p w14:paraId="504DF668"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Honduras</w:t>
            </w:r>
          </w:p>
        </w:tc>
      </w:tr>
      <w:tr w:rsidR="00EE352C" w:rsidRPr="00214EFC" w14:paraId="16E1C57F" w14:textId="77777777" w:rsidTr="00FB69CA">
        <w:trPr>
          <w:trHeight w:val="262"/>
        </w:trPr>
        <w:tc>
          <w:tcPr>
            <w:tcW w:w="4111" w:type="dxa"/>
            <w:shd w:val="clear" w:color="auto" w:fill="auto"/>
            <w:noWrap/>
            <w:vAlign w:val="center"/>
            <w:hideMark/>
          </w:tcPr>
          <w:p w14:paraId="538A95A3"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Niger</w:t>
            </w:r>
          </w:p>
        </w:tc>
        <w:tc>
          <w:tcPr>
            <w:tcW w:w="4106" w:type="dxa"/>
            <w:shd w:val="clear" w:color="auto" w:fill="auto"/>
            <w:noWrap/>
            <w:vAlign w:val="center"/>
            <w:hideMark/>
          </w:tcPr>
          <w:p w14:paraId="069B8248"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Morocco</w:t>
            </w:r>
          </w:p>
        </w:tc>
      </w:tr>
      <w:tr w:rsidR="00EE352C" w:rsidRPr="00214EFC" w14:paraId="74B8576C" w14:textId="77777777" w:rsidTr="00FB69CA">
        <w:trPr>
          <w:trHeight w:val="262"/>
        </w:trPr>
        <w:tc>
          <w:tcPr>
            <w:tcW w:w="4111" w:type="dxa"/>
            <w:shd w:val="clear" w:color="auto" w:fill="auto"/>
            <w:noWrap/>
            <w:vAlign w:val="center"/>
            <w:hideMark/>
          </w:tcPr>
          <w:p w14:paraId="6E625B98"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Bangladesh</w:t>
            </w:r>
          </w:p>
        </w:tc>
        <w:tc>
          <w:tcPr>
            <w:tcW w:w="4106" w:type="dxa"/>
            <w:shd w:val="clear" w:color="auto" w:fill="auto"/>
            <w:noWrap/>
            <w:vAlign w:val="center"/>
            <w:hideMark/>
          </w:tcPr>
          <w:p w14:paraId="4E60DAD7"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Cameroon</w:t>
            </w:r>
          </w:p>
        </w:tc>
      </w:tr>
      <w:tr w:rsidR="00EE352C" w:rsidRPr="00214EFC" w14:paraId="44D8D3CA" w14:textId="77777777" w:rsidTr="00FB69CA">
        <w:trPr>
          <w:trHeight w:val="262"/>
        </w:trPr>
        <w:tc>
          <w:tcPr>
            <w:tcW w:w="4111" w:type="dxa"/>
            <w:shd w:val="clear" w:color="auto" w:fill="auto"/>
            <w:noWrap/>
            <w:vAlign w:val="center"/>
            <w:hideMark/>
          </w:tcPr>
          <w:p w14:paraId="5EFECAF6"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Kyrgyzstan</w:t>
            </w:r>
          </w:p>
        </w:tc>
        <w:tc>
          <w:tcPr>
            <w:tcW w:w="4106" w:type="dxa"/>
            <w:shd w:val="clear" w:color="auto" w:fill="auto"/>
            <w:noWrap/>
            <w:vAlign w:val="center"/>
            <w:hideMark/>
          </w:tcPr>
          <w:p w14:paraId="6FBD1B9A"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Angola</w:t>
            </w:r>
          </w:p>
        </w:tc>
      </w:tr>
      <w:tr w:rsidR="00EE352C" w:rsidRPr="00214EFC" w14:paraId="58A1F58E" w14:textId="77777777" w:rsidTr="00FB69CA">
        <w:trPr>
          <w:trHeight w:val="262"/>
        </w:trPr>
        <w:tc>
          <w:tcPr>
            <w:tcW w:w="4111" w:type="dxa"/>
            <w:shd w:val="clear" w:color="auto" w:fill="auto"/>
            <w:noWrap/>
            <w:vAlign w:val="center"/>
            <w:hideMark/>
          </w:tcPr>
          <w:p w14:paraId="4D41B523"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Oman</w:t>
            </w:r>
          </w:p>
        </w:tc>
        <w:tc>
          <w:tcPr>
            <w:tcW w:w="4106" w:type="dxa"/>
            <w:shd w:val="clear" w:color="auto" w:fill="auto"/>
            <w:noWrap/>
            <w:vAlign w:val="center"/>
            <w:hideMark/>
          </w:tcPr>
          <w:p w14:paraId="6CCEE7DD"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Turkmenistan</w:t>
            </w:r>
          </w:p>
        </w:tc>
      </w:tr>
      <w:tr w:rsidR="00EE352C" w:rsidRPr="00214EFC" w14:paraId="57C326FF" w14:textId="77777777" w:rsidTr="00FB69CA">
        <w:trPr>
          <w:trHeight w:val="262"/>
        </w:trPr>
        <w:tc>
          <w:tcPr>
            <w:tcW w:w="4111" w:type="dxa"/>
            <w:shd w:val="clear" w:color="auto" w:fill="auto"/>
            <w:noWrap/>
            <w:vAlign w:val="center"/>
            <w:hideMark/>
          </w:tcPr>
          <w:p w14:paraId="5856348E"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Guatemala</w:t>
            </w:r>
          </w:p>
        </w:tc>
        <w:tc>
          <w:tcPr>
            <w:tcW w:w="4106" w:type="dxa"/>
            <w:shd w:val="clear" w:color="auto" w:fill="auto"/>
            <w:noWrap/>
            <w:vAlign w:val="center"/>
            <w:hideMark/>
          </w:tcPr>
          <w:p w14:paraId="7E2B21F8"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Nicaragua</w:t>
            </w:r>
          </w:p>
        </w:tc>
      </w:tr>
      <w:tr w:rsidR="00EE352C" w:rsidRPr="00214EFC" w14:paraId="58698950" w14:textId="77777777" w:rsidTr="00FB69CA">
        <w:trPr>
          <w:trHeight w:val="262"/>
        </w:trPr>
        <w:tc>
          <w:tcPr>
            <w:tcW w:w="4111" w:type="dxa"/>
            <w:shd w:val="clear" w:color="auto" w:fill="auto"/>
            <w:noWrap/>
            <w:vAlign w:val="center"/>
            <w:hideMark/>
          </w:tcPr>
          <w:p w14:paraId="74BBE0DF" w14:textId="42F91302" w:rsidR="00EE352C" w:rsidRPr="00214EFC" w:rsidRDefault="009669F6" w:rsidP="00AA63CD">
            <w:pPr>
              <w:pStyle w:val="Table"/>
              <w:spacing w:after="100" w:afterAutospacing="1" w:line="360" w:lineRule="auto"/>
              <w:rPr>
                <w:rStyle w:val="revised"/>
                <w:rFonts w:ascii="Times New Roman" w:hAnsi="Times New Roman" w:cs="Times New Roman"/>
                <w:color w:val="auto"/>
                <w:sz w:val="20"/>
                <w:lang w:val="en-US"/>
              </w:rPr>
            </w:pPr>
            <w:r>
              <w:rPr>
                <w:rStyle w:val="revised"/>
                <w:rFonts w:ascii="Times New Roman" w:hAnsi="Times New Roman" w:cs="Times New Roman"/>
                <w:color w:val="auto"/>
                <w:sz w:val="20"/>
                <w:lang w:val="en-US"/>
              </w:rPr>
              <w:t>Vietnam</w:t>
            </w:r>
          </w:p>
        </w:tc>
        <w:tc>
          <w:tcPr>
            <w:tcW w:w="4106" w:type="dxa"/>
            <w:shd w:val="clear" w:color="auto" w:fill="auto"/>
            <w:noWrap/>
            <w:vAlign w:val="center"/>
            <w:hideMark/>
          </w:tcPr>
          <w:p w14:paraId="66AEBBDA"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Peru</w:t>
            </w:r>
          </w:p>
        </w:tc>
      </w:tr>
      <w:tr w:rsidR="00EE352C" w:rsidRPr="00214EFC" w14:paraId="2AF7815D" w14:textId="77777777" w:rsidTr="00FB69CA">
        <w:trPr>
          <w:trHeight w:val="262"/>
        </w:trPr>
        <w:tc>
          <w:tcPr>
            <w:tcW w:w="4111" w:type="dxa"/>
            <w:shd w:val="clear" w:color="auto" w:fill="auto"/>
            <w:noWrap/>
            <w:vAlign w:val="center"/>
            <w:hideMark/>
          </w:tcPr>
          <w:p w14:paraId="63C5AA36"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Senegal</w:t>
            </w:r>
          </w:p>
        </w:tc>
        <w:tc>
          <w:tcPr>
            <w:tcW w:w="4106" w:type="dxa"/>
            <w:shd w:val="clear" w:color="auto" w:fill="auto"/>
            <w:noWrap/>
            <w:vAlign w:val="center"/>
            <w:hideMark/>
          </w:tcPr>
          <w:p w14:paraId="311FC5E4"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South Sudan</w:t>
            </w:r>
          </w:p>
        </w:tc>
      </w:tr>
      <w:tr w:rsidR="00EE352C" w:rsidRPr="00214EFC" w14:paraId="7C18D923" w14:textId="77777777" w:rsidTr="00FB69CA">
        <w:trPr>
          <w:trHeight w:val="262"/>
        </w:trPr>
        <w:tc>
          <w:tcPr>
            <w:tcW w:w="4111" w:type="dxa"/>
            <w:shd w:val="clear" w:color="auto" w:fill="auto"/>
            <w:noWrap/>
            <w:vAlign w:val="center"/>
            <w:hideMark/>
          </w:tcPr>
          <w:p w14:paraId="742A95D6"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Benin</w:t>
            </w:r>
          </w:p>
        </w:tc>
        <w:tc>
          <w:tcPr>
            <w:tcW w:w="4106" w:type="dxa"/>
            <w:shd w:val="clear" w:color="auto" w:fill="auto"/>
            <w:noWrap/>
            <w:vAlign w:val="center"/>
            <w:hideMark/>
          </w:tcPr>
          <w:p w14:paraId="20C336C5"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Egypt</w:t>
            </w:r>
          </w:p>
        </w:tc>
      </w:tr>
      <w:tr w:rsidR="00EE352C" w:rsidRPr="00214EFC" w14:paraId="49198C3C" w14:textId="77777777" w:rsidTr="00FB69CA">
        <w:trPr>
          <w:trHeight w:val="262"/>
        </w:trPr>
        <w:tc>
          <w:tcPr>
            <w:tcW w:w="4111" w:type="dxa"/>
            <w:tcBorders>
              <w:bottom w:val="single" w:sz="12" w:space="0" w:color="auto"/>
            </w:tcBorders>
            <w:shd w:val="clear" w:color="auto" w:fill="auto"/>
            <w:noWrap/>
            <w:vAlign w:val="center"/>
            <w:hideMark/>
          </w:tcPr>
          <w:p w14:paraId="604F0F0C"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r w:rsidRPr="00214EFC">
              <w:rPr>
                <w:rStyle w:val="revised"/>
                <w:rFonts w:ascii="Times New Roman" w:hAnsi="Times New Roman" w:cs="Times New Roman"/>
                <w:color w:val="auto"/>
                <w:sz w:val="20"/>
                <w:lang w:val="en-US"/>
              </w:rPr>
              <w:t>Lebanon</w:t>
            </w:r>
          </w:p>
        </w:tc>
        <w:tc>
          <w:tcPr>
            <w:tcW w:w="4106" w:type="dxa"/>
            <w:tcBorders>
              <w:bottom w:val="single" w:sz="12" w:space="0" w:color="auto"/>
            </w:tcBorders>
            <w:shd w:val="clear" w:color="auto" w:fill="auto"/>
            <w:noWrap/>
            <w:vAlign w:val="center"/>
            <w:hideMark/>
          </w:tcPr>
          <w:p w14:paraId="54011899" w14:textId="77777777" w:rsidR="00EE352C" w:rsidRPr="00214EFC" w:rsidRDefault="00EE352C" w:rsidP="00AA63CD">
            <w:pPr>
              <w:pStyle w:val="Table"/>
              <w:spacing w:after="100" w:afterAutospacing="1" w:line="360" w:lineRule="auto"/>
              <w:rPr>
                <w:rStyle w:val="revised"/>
                <w:rFonts w:ascii="Times New Roman" w:hAnsi="Times New Roman" w:cs="Times New Roman"/>
                <w:color w:val="auto"/>
                <w:sz w:val="20"/>
                <w:lang w:val="en-US"/>
              </w:rPr>
            </w:pPr>
          </w:p>
        </w:tc>
      </w:tr>
    </w:tbl>
    <w:p w14:paraId="7425ADCA" w14:textId="77777777" w:rsidR="00EE352C" w:rsidRDefault="00EE352C" w:rsidP="00AA63CD">
      <w:pPr>
        <w:spacing w:after="100" w:afterAutospacing="1" w:line="360" w:lineRule="auto"/>
      </w:pPr>
    </w:p>
    <w:p w14:paraId="64890FF9" w14:textId="0113A839" w:rsidR="00EE352C" w:rsidRDefault="009669F6" w:rsidP="00AA63CD">
      <w:pPr>
        <w:pStyle w:val="2"/>
        <w:numPr>
          <w:ilvl w:val="1"/>
          <w:numId w:val="47"/>
        </w:numPr>
        <w:spacing w:after="100" w:afterAutospacing="1" w:line="360" w:lineRule="auto"/>
        <w:ind w:firstLine="0"/>
      </w:pPr>
      <w:r w:rsidRPr="009669F6">
        <w:t>CO</w:t>
      </w:r>
      <w:r w:rsidRPr="009669F6">
        <w:rPr>
          <w:vertAlign w:val="subscript"/>
        </w:rPr>
        <w:t>2</w:t>
      </w:r>
      <w:r w:rsidR="00EE352C">
        <w:t xml:space="preserve"> </w:t>
      </w:r>
      <w:r w:rsidR="00EE352C">
        <w:rPr>
          <w:rFonts w:hint="eastAsia"/>
        </w:rPr>
        <w:t>emiss</w:t>
      </w:r>
      <w:r w:rsidR="00EE352C">
        <w:t xml:space="preserve">ions </w:t>
      </w:r>
      <w:r w:rsidR="00EE352C">
        <w:rPr>
          <w:rFonts w:hint="eastAsia"/>
        </w:rPr>
        <w:t>of</w:t>
      </w:r>
      <w:r w:rsidR="00EE352C">
        <w:t xml:space="preserve"> different COVID scenarios over 2020-2024</w:t>
      </w:r>
    </w:p>
    <w:p w14:paraId="2628BEB8" w14:textId="77777777" w:rsidR="008C3811" w:rsidRPr="00E309AB" w:rsidRDefault="008C3811" w:rsidP="00AA63CD">
      <w:pPr>
        <w:spacing w:after="100" w:afterAutospacing="1" w:line="360" w:lineRule="auto"/>
      </w:pPr>
    </w:p>
    <w:p w14:paraId="3B33DE2C" w14:textId="50674B82" w:rsidR="00E77FC2" w:rsidRPr="00E309AB" w:rsidRDefault="00E77FC2" w:rsidP="00AA63CD">
      <w:pPr>
        <w:spacing w:after="100" w:afterAutospacing="1" w:line="360" w:lineRule="auto"/>
      </w:pPr>
      <w:r>
        <w:rPr>
          <w:rFonts w:hint="eastAsia"/>
        </w:rPr>
        <w:t>A</w:t>
      </w:r>
      <w:r>
        <w:t xml:space="preserve">s described in section 1.1.3, the lockdown scenarios for COVID are defined from dimensions of number of lockdowns, duration, and strictness. In our models, the baseline scenario, </w:t>
      </w:r>
      <w:proofErr w:type="gramStart"/>
      <w:r>
        <w:t>i.e.</w:t>
      </w:r>
      <w:proofErr w:type="gramEnd"/>
      <w:r>
        <w:t xml:space="preserve"> the situation without COVID lockdown is also provided. The four lockdown scenarios over 2020-2024 are shown in </w:t>
      </w:r>
      <w:r>
        <w:fldChar w:fldCharType="begin"/>
      </w:r>
      <w:r>
        <w:instrText xml:space="preserve"> REF _Ref67675247 \h </w:instrText>
      </w:r>
      <w:r>
        <w:fldChar w:fldCharType="separate"/>
      </w:r>
      <w:r w:rsidR="00E309AB">
        <w:t xml:space="preserve">Table S </w:t>
      </w:r>
      <w:r w:rsidR="00E309AB">
        <w:rPr>
          <w:noProof/>
        </w:rPr>
        <w:t>6</w:t>
      </w:r>
      <w:r>
        <w:fldChar w:fldCharType="end"/>
      </w:r>
      <w:r>
        <w:t xml:space="preserve">. The detailed </w:t>
      </w:r>
      <w:r w:rsidR="009669F6" w:rsidRPr="009669F6">
        <w:t>CO</w:t>
      </w:r>
      <w:r w:rsidR="009669F6" w:rsidRPr="009669F6">
        <w:rPr>
          <w:vertAlign w:val="subscript"/>
        </w:rPr>
        <w:t>2</w:t>
      </w:r>
      <w:r>
        <w:t xml:space="preserve"> emissions data under the four scenarios are provided in the EXCEL file: </w:t>
      </w:r>
      <w:r w:rsidRPr="00DF60E6">
        <w:rPr>
          <w:i/>
          <w:iCs/>
        </w:rPr>
        <w:t>SupplementaryData</w:t>
      </w:r>
      <w:r>
        <w:rPr>
          <w:i/>
          <w:iCs/>
        </w:rPr>
        <w:t>2</w:t>
      </w:r>
      <w:r w:rsidRPr="00DF60E6">
        <w:rPr>
          <w:i/>
          <w:iCs/>
        </w:rPr>
        <w:t>.xlsx</w:t>
      </w:r>
      <w:r>
        <w:t>.</w:t>
      </w:r>
    </w:p>
    <w:p w14:paraId="7936AB61" w14:textId="3C35D41E" w:rsidR="00EE352C" w:rsidRDefault="00E77FC2" w:rsidP="00AA63CD">
      <w:pPr>
        <w:pStyle w:val="af6"/>
        <w:spacing w:after="100" w:afterAutospacing="1" w:line="360" w:lineRule="auto"/>
      </w:pPr>
      <w:bookmarkStart w:id="72" w:name="_Ref67675247"/>
      <w:r>
        <w:t xml:space="preserve">Table S </w:t>
      </w:r>
      <w:fldSimple w:instr=" SEQ Table_S \* ARABIC ">
        <w:r w:rsidR="00A80F2F">
          <w:rPr>
            <w:noProof/>
          </w:rPr>
          <w:t>8</w:t>
        </w:r>
      </w:fldSimple>
      <w:bookmarkEnd w:id="72"/>
      <w:r>
        <w:t xml:space="preserve"> S</w:t>
      </w:r>
      <w:r>
        <w:rPr>
          <w:rFonts w:hint="eastAsia"/>
        </w:rPr>
        <w:t>c</w:t>
      </w:r>
      <w:r>
        <w:t>enario settings of the COVID lockdown</w:t>
      </w:r>
    </w:p>
    <w:tbl>
      <w:tblPr>
        <w:tblW w:w="8306" w:type="dxa"/>
        <w:tblLook w:val="04A0" w:firstRow="1" w:lastRow="0" w:firstColumn="1" w:lastColumn="0" w:noHBand="0" w:noVBand="1"/>
      </w:tblPr>
      <w:tblGrid>
        <w:gridCol w:w="2351"/>
        <w:gridCol w:w="974"/>
        <w:gridCol w:w="1485"/>
        <w:gridCol w:w="1767"/>
        <w:gridCol w:w="1729"/>
      </w:tblGrid>
      <w:tr w:rsidR="00EF781A" w:rsidRPr="00E309AB" w14:paraId="780B245D" w14:textId="77777777" w:rsidTr="00CD5AB7">
        <w:trPr>
          <w:trHeight w:val="281"/>
        </w:trPr>
        <w:tc>
          <w:tcPr>
            <w:tcW w:w="2351" w:type="dxa"/>
            <w:tcBorders>
              <w:top w:val="single" w:sz="8" w:space="0" w:color="auto"/>
              <w:left w:val="nil"/>
              <w:bottom w:val="nil"/>
              <w:right w:val="nil"/>
            </w:tcBorders>
            <w:shd w:val="clear" w:color="auto" w:fill="auto"/>
            <w:noWrap/>
            <w:vAlign w:val="center"/>
            <w:hideMark/>
          </w:tcPr>
          <w:p w14:paraId="5CAD208E" w14:textId="33BD7D21" w:rsidR="00CD5AB7" w:rsidRPr="005951B5" w:rsidRDefault="00EF781A" w:rsidP="00AA63CD">
            <w:pPr>
              <w:widowControl/>
              <w:spacing w:before="0" w:after="100" w:afterAutospacing="1" w:line="360" w:lineRule="auto"/>
              <w:jc w:val="left"/>
              <w:rPr>
                <w:rFonts w:eastAsia="等线"/>
                <w:kern w:val="0"/>
              </w:rPr>
            </w:pPr>
            <w:r>
              <w:rPr>
                <w:rFonts w:eastAsia="等线"/>
                <w:kern w:val="0"/>
              </w:rPr>
              <w:t>D</w:t>
            </w:r>
            <w:r>
              <w:rPr>
                <w:rFonts w:eastAsia="等线" w:hint="eastAsia"/>
                <w:kern w:val="0"/>
              </w:rPr>
              <w:t>imen</w:t>
            </w:r>
            <w:r>
              <w:rPr>
                <w:rFonts w:eastAsia="等线"/>
                <w:kern w:val="0"/>
              </w:rPr>
              <w:t>sion</w:t>
            </w:r>
          </w:p>
        </w:tc>
        <w:tc>
          <w:tcPr>
            <w:tcW w:w="974" w:type="dxa"/>
            <w:tcBorders>
              <w:top w:val="single" w:sz="8" w:space="0" w:color="auto"/>
              <w:left w:val="nil"/>
              <w:bottom w:val="nil"/>
              <w:right w:val="nil"/>
            </w:tcBorders>
            <w:shd w:val="clear" w:color="auto" w:fill="auto"/>
            <w:noWrap/>
            <w:vAlign w:val="center"/>
            <w:hideMark/>
          </w:tcPr>
          <w:p w14:paraId="78C6BDC0" w14:textId="77777777" w:rsidR="00CD5AB7" w:rsidRPr="00E309AB" w:rsidRDefault="00CD5AB7" w:rsidP="00AA63CD">
            <w:pPr>
              <w:widowControl/>
              <w:spacing w:before="0" w:after="100" w:afterAutospacing="1" w:line="360" w:lineRule="auto"/>
              <w:jc w:val="left"/>
              <w:rPr>
                <w:rFonts w:eastAsia="等线"/>
                <w:kern w:val="0"/>
              </w:rPr>
            </w:pPr>
            <w:r w:rsidRPr="00E309AB">
              <w:rPr>
                <w:rFonts w:eastAsia="等线"/>
                <w:kern w:val="0"/>
              </w:rPr>
              <w:t>Baseline</w:t>
            </w:r>
          </w:p>
        </w:tc>
        <w:tc>
          <w:tcPr>
            <w:tcW w:w="1485" w:type="dxa"/>
            <w:tcBorders>
              <w:top w:val="single" w:sz="8" w:space="0" w:color="auto"/>
              <w:left w:val="nil"/>
              <w:bottom w:val="nil"/>
              <w:right w:val="nil"/>
            </w:tcBorders>
            <w:shd w:val="clear" w:color="auto" w:fill="auto"/>
            <w:noWrap/>
            <w:vAlign w:val="center"/>
            <w:hideMark/>
          </w:tcPr>
          <w:p w14:paraId="7B6A6A9A" w14:textId="77777777" w:rsidR="00CD5AB7" w:rsidRPr="00E309AB" w:rsidRDefault="00CD5AB7" w:rsidP="00AA63CD">
            <w:pPr>
              <w:widowControl/>
              <w:spacing w:before="0" w:after="100" w:afterAutospacing="1" w:line="360" w:lineRule="auto"/>
              <w:jc w:val="left"/>
              <w:rPr>
                <w:rFonts w:eastAsia="等线"/>
                <w:kern w:val="0"/>
              </w:rPr>
            </w:pPr>
            <w:r w:rsidRPr="00E309AB">
              <w:rPr>
                <w:rFonts w:eastAsia="等线"/>
                <w:kern w:val="0"/>
              </w:rPr>
              <w:t>Mild lockdown</w:t>
            </w:r>
          </w:p>
        </w:tc>
        <w:tc>
          <w:tcPr>
            <w:tcW w:w="1767" w:type="dxa"/>
            <w:tcBorders>
              <w:top w:val="single" w:sz="8" w:space="0" w:color="auto"/>
              <w:left w:val="nil"/>
              <w:bottom w:val="nil"/>
              <w:right w:val="nil"/>
            </w:tcBorders>
            <w:shd w:val="clear" w:color="auto" w:fill="auto"/>
            <w:noWrap/>
            <w:vAlign w:val="center"/>
            <w:hideMark/>
          </w:tcPr>
          <w:p w14:paraId="3C889FE4" w14:textId="77777777" w:rsidR="00CD5AB7" w:rsidRPr="00E309AB" w:rsidRDefault="00CD5AB7" w:rsidP="00AA63CD">
            <w:pPr>
              <w:widowControl/>
              <w:spacing w:before="0" w:after="100" w:afterAutospacing="1" w:line="360" w:lineRule="auto"/>
              <w:jc w:val="left"/>
              <w:rPr>
                <w:rFonts w:eastAsia="等线"/>
                <w:kern w:val="0"/>
              </w:rPr>
            </w:pPr>
            <w:r w:rsidRPr="00E309AB">
              <w:rPr>
                <w:rFonts w:eastAsia="等线"/>
                <w:kern w:val="0"/>
              </w:rPr>
              <w:t>Default lockdown</w:t>
            </w:r>
          </w:p>
        </w:tc>
        <w:tc>
          <w:tcPr>
            <w:tcW w:w="1729" w:type="dxa"/>
            <w:tcBorders>
              <w:top w:val="single" w:sz="8" w:space="0" w:color="auto"/>
              <w:left w:val="nil"/>
              <w:bottom w:val="nil"/>
              <w:right w:val="nil"/>
            </w:tcBorders>
            <w:shd w:val="clear" w:color="auto" w:fill="auto"/>
            <w:noWrap/>
            <w:vAlign w:val="center"/>
            <w:hideMark/>
          </w:tcPr>
          <w:p w14:paraId="606AB0BD" w14:textId="77777777" w:rsidR="00CD5AB7" w:rsidRPr="00E309AB" w:rsidRDefault="00CD5AB7" w:rsidP="00AA63CD">
            <w:pPr>
              <w:widowControl/>
              <w:spacing w:before="0" w:after="100" w:afterAutospacing="1" w:line="360" w:lineRule="auto"/>
              <w:jc w:val="left"/>
              <w:rPr>
                <w:rFonts w:eastAsia="等线"/>
                <w:kern w:val="0"/>
              </w:rPr>
            </w:pPr>
            <w:r w:rsidRPr="00E309AB">
              <w:rPr>
                <w:rFonts w:eastAsia="等线"/>
                <w:kern w:val="0"/>
              </w:rPr>
              <w:t>Severe lockdown</w:t>
            </w:r>
          </w:p>
        </w:tc>
      </w:tr>
      <w:tr w:rsidR="00EF781A" w:rsidRPr="00E309AB" w14:paraId="3CB47855" w14:textId="77777777" w:rsidTr="00CD5AB7">
        <w:trPr>
          <w:trHeight w:val="281"/>
        </w:trPr>
        <w:tc>
          <w:tcPr>
            <w:tcW w:w="2351" w:type="dxa"/>
            <w:tcBorders>
              <w:top w:val="single" w:sz="4" w:space="0" w:color="auto"/>
              <w:left w:val="nil"/>
              <w:bottom w:val="nil"/>
              <w:right w:val="nil"/>
            </w:tcBorders>
            <w:shd w:val="clear" w:color="auto" w:fill="auto"/>
            <w:noWrap/>
            <w:vAlign w:val="center"/>
            <w:hideMark/>
          </w:tcPr>
          <w:p w14:paraId="5E7EFE97"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Number of lockdowns</w:t>
            </w:r>
          </w:p>
        </w:tc>
        <w:tc>
          <w:tcPr>
            <w:tcW w:w="974" w:type="dxa"/>
            <w:tcBorders>
              <w:top w:val="single" w:sz="4" w:space="0" w:color="auto"/>
              <w:left w:val="nil"/>
              <w:bottom w:val="nil"/>
              <w:right w:val="nil"/>
            </w:tcBorders>
            <w:shd w:val="clear" w:color="auto" w:fill="auto"/>
            <w:noWrap/>
            <w:vAlign w:val="center"/>
            <w:hideMark/>
          </w:tcPr>
          <w:p w14:paraId="48F9DBF8"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0</w:t>
            </w:r>
          </w:p>
        </w:tc>
        <w:tc>
          <w:tcPr>
            <w:tcW w:w="1485" w:type="dxa"/>
            <w:tcBorders>
              <w:top w:val="single" w:sz="4" w:space="0" w:color="auto"/>
              <w:left w:val="nil"/>
              <w:bottom w:val="nil"/>
              <w:right w:val="nil"/>
            </w:tcBorders>
            <w:shd w:val="clear" w:color="auto" w:fill="auto"/>
            <w:noWrap/>
            <w:vAlign w:val="center"/>
            <w:hideMark/>
          </w:tcPr>
          <w:p w14:paraId="34788F43"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2</w:t>
            </w:r>
          </w:p>
        </w:tc>
        <w:tc>
          <w:tcPr>
            <w:tcW w:w="1767" w:type="dxa"/>
            <w:tcBorders>
              <w:top w:val="single" w:sz="4" w:space="0" w:color="auto"/>
              <w:left w:val="nil"/>
              <w:bottom w:val="nil"/>
              <w:right w:val="nil"/>
            </w:tcBorders>
            <w:shd w:val="clear" w:color="auto" w:fill="auto"/>
            <w:noWrap/>
            <w:vAlign w:val="center"/>
            <w:hideMark/>
          </w:tcPr>
          <w:p w14:paraId="101CD2D6"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4</w:t>
            </w:r>
          </w:p>
        </w:tc>
        <w:tc>
          <w:tcPr>
            <w:tcW w:w="1729" w:type="dxa"/>
            <w:tcBorders>
              <w:top w:val="single" w:sz="4" w:space="0" w:color="auto"/>
              <w:left w:val="nil"/>
              <w:bottom w:val="nil"/>
              <w:right w:val="nil"/>
            </w:tcBorders>
            <w:shd w:val="clear" w:color="auto" w:fill="auto"/>
            <w:noWrap/>
            <w:vAlign w:val="center"/>
            <w:hideMark/>
          </w:tcPr>
          <w:p w14:paraId="3CD118E2"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8</w:t>
            </w:r>
          </w:p>
        </w:tc>
      </w:tr>
      <w:tr w:rsidR="00EF781A" w:rsidRPr="00E309AB" w14:paraId="44FB2848" w14:textId="77777777" w:rsidTr="00CD5AB7">
        <w:trPr>
          <w:trHeight w:val="309"/>
        </w:trPr>
        <w:tc>
          <w:tcPr>
            <w:tcW w:w="2351" w:type="dxa"/>
            <w:tcBorders>
              <w:top w:val="nil"/>
              <w:left w:val="nil"/>
              <w:bottom w:val="nil"/>
              <w:right w:val="nil"/>
            </w:tcBorders>
            <w:shd w:val="clear" w:color="auto" w:fill="auto"/>
            <w:noWrap/>
            <w:vAlign w:val="center"/>
            <w:hideMark/>
          </w:tcPr>
          <w:p w14:paraId="727933BC"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Duration</w:t>
            </w:r>
          </w:p>
        </w:tc>
        <w:tc>
          <w:tcPr>
            <w:tcW w:w="974" w:type="dxa"/>
            <w:tcBorders>
              <w:top w:val="nil"/>
              <w:left w:val="nil"/>
              <w:bottom w:val="nil"/>
              <w:right w:val="nil"/>
            </w:tcBorders>
            <w:shd w:val="clear" w:color="auto" w:fill="auto"/>
            <w:noWrap/>
            <w:vAlign w:val="center"/>
            <w:hideMark/>
          </w:tcPr>
          <w:p w14:paraId="2EC2B1DA"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w:t>
            </w:r>
          </w:p>
        </w:tc>
        <w:tc>
          <w:tcPr>
            <w:tcW w:w="1485" w:type="dxa"/>
            <w:tcBorders>
              <w:top w:val="nil"/>
              <w:left w:val="nil"/>
              <w:bottom w:val="nil"/>
              <w:right w:val="nil"/>
            </w:tcBorders>
            <w:shd w:val="clear" w:color="auto" w:fill="auto"/>
            <w:noWrap/>
            <w:vAlign w:val="center"/>
            <w:hideMark/>
          </w:tcPr>
          <w:p w14:paraId="7E2DCA17"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T</w:t>
            </w:r>
            <w:r w:rsidRPr="00E309AB">
              <w:rPr>
                <w:rFonts w:eastAsia="等线"/>
                <w:kern w:val="0"/>
                <w:vertAlign w:val="subscript"/>
              </w:rPr>
              <w:t>mild</w:t>
            </w:r>
            <w:proofErr w:type="spellEnd"/>
          </w:p>
        </w:tc>
        <w:tc>
          <w:tcPr>
            <w:tcW w:w="1767" w:type="dxa"/>
            <w:tcBorders>
              <w:top w:val="nil"/>
              <w:left w:val="nil"/>
              <w:bottom w:val="nil"/>
              <w:right w:val="nil"/>
            </w:tcBorders>
            <w:shd w:val="clear" w:color="auto" w:fill="auto"/>
            <w:noWrap/>
            <w:vAlign w:val="center"/>
            <w:hideMark/>
          </w:tcPr>
          <w:p w14:paraId="3DAEC2A6"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T</w:t>
            </w:r>
            <w:r w:rsidRPr="00E309AB">
              <w:rPr>
                <w:rFonts w:eastAsia="等线"/>
                <w:kern w:val="0"/>
                <w:vertAlign w:val="subscript"/>
              </w:rPr>
              <w:t>default</w:t>
            </w:r>
            <w:proofErr w:type="spellEnd"/>
          </w:p>
        </w:tc>
        <w:tc>
          <w:tcPr>
            <w:tcW w:w="1729" w:type="dxa"/>
            <w:tcBorders>
              <w:top w:val="nil"/>
              <w:left w:val="nil"/>
              <w:bottom w:val="nil"/>
              <w:right w:val="nil"/>
            </w:tcBorders>
            <w:shd w:val="clear" w:color="auto" w:fill="auto"/>
            <w:noWrap/>
            <w:vAlign w:val="center"/>
            <w:hideMark/>
          </w:tcPr>
          <w:p w14:paraId="746E4287"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T</w:t>
            </w:r>
            <w:r w:rsidRPr="00E309AB">
              <w:rPr>
                <w:rFonts w:eastAsia="等线"/>
                <w:kern w:val="0"/>
                <w:vertAlign w:val="subscript"/>
              </w:rPr>
              <w:t>severe</w:t>
            </w:r>
            <w:proofErr w:type="spellEnd"/>
          </w:p>
        </w:tc>
      </w:tr>
      <w:tr w:rsidR="00EF781A" w:rsidRPr="00E309AB" w14:paraId="4BB8B6E5" w14:textId="77777777" w:rsidTr="00CD5AB7">
        <w:trPr>
          <w:trHeight w:val="323"/>
        </w:trPr>
        <w:tc>
          <w:tcPr>
            <w:tcW w:w="2351" w:type="dxa"/>
            <w:tcBorders>
              <w:top w:val="nil"/>
              <w:left w:val="nil"/>
              <w:bottom w:val="single" w:sz="8" w:space="0" w:color="auto"/>
              <w:right w:val="nil"/>
            </w:tcBorders>
            <w:shd w:val="clear" w:color="auto" w:fill="auto"/>
            <w:noWrap/>
            <w:vAlign w:val="center"/>
            <w:hideMark/>
          </w:tcPr>
          <w:p w14:paraId="72453A14"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Strictness</w:t>
            </w:r>
          </w:p>
        </w:tc>
        <w:tc>
          <w:tcPr>
            <w:tcW w:w="974" w:type="dxa"/>
            <w:tcBorders>
              <w:top w:val="nil"/>
              <w:left w:val="nil"/>
              <w:bottom w:val="single" w:sz="8" w:space="0" w:color="auto"/>
              <w:right w:val="nil"/>
            </w:tcBorders>
            <w:shd w:val="clear" w:color="auto" w:fill="auto"/>
            <w:noWrap/>
            <w:vAlign w:val="center"/>
            <w:hideMark/>
          </w:tcPr>
          <w:p w14:paraId="64D20EFE"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w:t>
            </w:r>
          </w:p>
        </w:tc>
        <w:tc>
          <w:tcPr>
            <w:tcW w:w="1485" w:type="dxa"/>
            <w:tcBorders>
              <w:top w:val="nil"/>
              <w:left w:val="nil"/>
              <w:bottom w:val="single" w:sz="8" w:space="0" w:color="auto"/>
              <w:right w:val="nil"/>
            </w:tcBorders>
            <w:shd w:val="clear" w:color="auto" w:fill="auto"/>
            <w:noWrap/>
            <w:vAlign w:val="center"/>
            <w:hideMark/>
          </w:tcPr>
          <w:p w14:paraId="69961EAE"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S</w:t>
            </w:r>
            <w:r w:rsidRPr="00E309AB">
              <w:rPr>
                <w:rFonts w:eastAsia="等线"/>
                <w:kern w:val="0"/>
                <w:vertAlign w:val="subscript"/>
              </w:rPr>
              <w:t>mild</w:t>
            </w:r>
            <w:proofErr w:type="spellEnd"/>
          </w:p>
        </w:tc>
        <w:tc>
          <w:tcPr>
            <w:tcW w:w="1767" w:type="dxa"/>
            <w:tcBorders>
              <w:top w:val="nil"/>
              <w:left w:val="nil"/>
              <w:bottom w:val="single" w:sz="8" w:space="0" w:color="auto"/>
              <w:right w:val="nil"/>
            </w:tcBorders>
            <w:shd w:val="clear" w:color="auto" w:fill="auto"/>
            <w:noWrap/>
            <w:vAlign w:val="center"/>
            <w:hideMark/>
          </w:tcPr>
          <w:p w14:paraId="3F23F571"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S</w:t>
            </w:r>
            <w:r w:rsidRPr="00E309AB">
              <w:rPr>
                <w:rFonts w:eastAsia="等线"/>
                <w:kern w:val="0"/>
                <w:vertAlign w:val="subscript"/>
              </w:rPr>
              <w:t>default</w:t>
            </w:r>
            <w:proofErr w:type="spellEnd"/>
          </w:p>
        </w:tc>
        <w:tc>
          <w:tcPr>
            <w:tcW w:w="1729" w:type="dxa"/>
            <w:tcBorders>
              <w:top w:val="nil"/>
              <w:left w:val="nil"/>
              <w:bottom w:val="single" w:sz="8" w:space="0" w:color="auto"/>
              <w:right w:val="nil"/>
            </w:tcBorders>
            <w:shd w:val="clear" w:color="auto" w:fill="auto"/>
            <w:noWrap/>
            <w:vAlign w:val="center"/>
            <w:hideMark/>
          </w:tcPr>
          <w:p w14:paraId="618BD008"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S</w:t>
            </w:r>
            <w:r w:rsidRPr="00E309AB">
              <w:rPr>
                <w:rFonts w:eastAsia="等线"/>
                <w:kern w:val="0"/>
                <w:vertAlign w:val="subscript"/>
              </w:rPr>
              <w:t>severe</w:t>
            </w:r>
            <w:proofErr w:type="spellEnd"/>
          </w:p>
        </w:tc>
      </w:tr>
    </w:tbl>
    <w:p w14:paraId="4159A5F8" w14:textId="77777777" w:rsidR="00EE352C" w:rsidRPr="00DF60E6" w:rsidRDefault="00EE352C" w:rsidP="00AA63CD">
      <w:pPr>
        <w:spacing w:after="100" w:afterAutospacing="1" w:line="360" w:lineRule="auto"/>
      </w:pPr>
    </w:p>
    <w:p w14:paraId="2740ED24" w14:textId="5C987159" w:rsidR="00EE352C" w:rsidRDefault="009669F6" w:rsidP="00AA63CD">
      <w:pPr>
        <w:pStyle w:val="2"/>
        <w:numPr>
          <w:ilvl w:val="1"/>
          <w:numId w:val="47"/>
        </w:numPr>
        <w:spacing w:after="100" w:afterAutospacing="1" w:line="360" w:lineRule="auto"/>
        <w:ind w:firstLine="0"/>
      </w:pPr>
      <w:bookmarkStart w:id="73" w:name="_Ref67687380"/>
      <w:r w:rsidRPr="009669F6">
        <w:lastRenderedPageBreak/>
        <w:t>CO</w:t>
      </w:r>
      <w:r w:rsidRPr="009669F6">
        <w:rPr>
          <w:vertAlign w:val="subscript"/>
        </w:rPr>
        <w:t>2</w:t>
      </w:r>
      <w:r w:rsidR="00EE352C">
        <w:t xml:space="preserve"> </w:t>
      </w:r>
      <w:r w:rsidR="00EE352C">
        <w:rPr>
          <w:rFonts w:hint="eastAsia"/>
        </w:rPr>
        <w:t>emiss</w:t>
      </w:r>
      <w:r w:rsidR="00EE352C">
        <w:t>ions of post-COVID low-carbon scenarios over 2025-20</w:t>
      </w:r>
      <w:r w:rsidR="00EE352C">
        <w:rPr>
          <w:rFonts w:hint="eastAsia"/>
        </w:rPr>
        <w:t>40</w:t>
      </w:r>
      <w:bookmarkEnd w:id="73"/>
      <w:r w:rsidR="00E54135">
        <w:t xml:space="preserve"> </w:t>
      </w:r>
    </w:p>
    <w:p w14:paraId="00D653F3" w14:textId="1DAB21E8" w:rsidR="00EE352C" w:rsidRDefault="00EF781A" w:rsidP="00AA63CD">
      <w:pPr>
        <w:spacing w:after="100" w:afterAutospacing="1" w:line="360" w:lineRule="auto"/>
      </w:pPr>
      <w:bookmarkStart w:id="74" w:name="_Hlk67753728"/>
      <w:r>
        <w:t xml:space="preserve">After the COVID period of 2020-2024, three scenario sets with different adoption of low-carbon technologies are provided as clarified in section 1.2. </w:t>
      </w:r>
      <w:r w:rsidR="005951B5">
        <w:fldChar w:fldCharType="begin"/>
      </w:r>
      <w:r w:rsidR="005951B5">
        <w:instrText xml:space="preserve"> REF _Ref67587146 \h </w:instrText>
      </w:r>
      <w:r w:rsidR="005951B5">
        <w:fldChar w:fldCharType="separate"/>
      </w:r>
      <w:r w:rsidR="00E309AB">
        <w:t xml:space="preserve">Table S </w:t>
      </w:r>
      <w:r w:rsidR="00E309AB">
        <w:rPr>
          <w:noProof/>
        </w:rPr>
        <w:t>1</w:t>
      </w:r>
      <w:r w:rsidR="005951B5">
        <w:fldChar w:fldCharType="end"/>
      </w:r>
      <w:r w:rsidR="005951B5">
        <w:t xml:space="preserve"> shows the </w:t>
      </w:r>
      <w:r w:rsidR="00715861">
        <w:t xml:space="preserve">scenario settings of the post-COVID period, with three different low-carbon settings combined with four </w:t>
      </w:r>
      <w:r w:rsidR="00E77FC2">
        <w:t xml:space="preserve">different lockdown settings for COVID, 12 scenarios in total. </w:t>
      </w:r>
      <w:bookmarkStart w:id="75" w:name="OLE_LINK42"/>
      <w:bookmarkStart w:id="76" w:name="OLE_LINK43"/>
      <w:r w:rsidR="00E77FC2">
        <w:t xml:space="preserve">The detailed </w:t>
      </w:r>
      <w:r w:rsidR="009669F6" w:rsidRPr="009669F6">
        <w:t>CO</w:t>
      </w:r>
      <w:r w:rsidR="009669F6" w:rsidRPr="009669F6">
        <w:rPr>
          <w:vertAlign w:val="subscript"/>
        </w:rPr>
        <w:t>2</w:t>
      </w:r>
      <w:r w:rsidR="00E77FC2">
        <w:t xml:space="preserve"> emissions data under the 12 scenarios are provided in the </w:t>
      </w:r>
      <w:r>
        <w:t xml:space="preserve">EXCEL </w:t>
      </w:r>
      <w:r w:rsidR="00E77FC2">
        <w:t xml:space="preserve">file: </w:t>
      </w:r>
      <w:r w:rsidR="00E77FC2" w:rsidRPr="00E309AB">
        <w:rPr>
          <w:i/>
          <w:iCs/>
        </w:rPr>
        <w:t>SupplementaryData3.xlsx</w:t>
      </w:r>
      <w:r w:rsidR="00E77FC2">
        <w:t>.</w:t>
      </w:r>
    </w:p>
    <w:bookmarkEnd w:id="75"/>
    <w:bookmarkEnd w:id="76"/>
    <w:p w14:paraId="6655D78B" w14:textId="5F270564" w:rsidR="00EF781A" w:rsidRDefault="005951B5" w:rsidP="00AA63CD">
      <w:pPr>
        <w:pStyle w:val="af6"/>
        <w:spacing w:after="100" w:afterAutospacing="1" w:line="360" w:lineRule="auto"/>
      </w:pPr>
      <w:r>
        <w:t xml:space="preserve">Table S </w:t>
      </w:r>
      <w:fldSimple w:instr=" SEQ Table_S \* ARABIC ">
        <w:r w:rsidR="00A80F2F">
          <w:rPr>
            <w:noProof/>
          </w:rPr>
          <w:t>9</w:t>
        </w:r>
      </w:fldSimple>
      <w:r>
        <w:t xml:space="preserve"> Scenario settings of post-COVID period</w:t>
      </w:r>
    </w:p>
    <w:tbl>
      <w:tblPr>
        <w:tblW w:w="4988" w:type="pct"/>
        <w:tblLayout w:type="fixed"/>
        <w:tblLook w:val="04A0" w:firstRow="1" w:lastRow="0" w:firstColumn="1" w:lastColumn="0" w:noHBand="0" w:noVBand="1"/>
      </w:tblPr>
      <w:tblGrid>
        <w:gridCol w:w="2410"/>
        <w:gridCol w:w="1256"/>
        <w:gridCol w:w="1540"/>
        <w:gridCol w:w="1540"/>
        <w:gridCol w:w="1540"/>
      </w:tblGrid>
      <w:tr w:rsidR="00EF781A" w:rsidRPr="00E309AB" w14:paraId="1BB910E7" w14:textId="77777777" w:rsidTr="00E309AB">
        <w:trPr>
          <w:trHeight w:val="250"/>
        </w:trPr>
        <w:tc>
          <w:tcPr>
            <w:tcW w:w="1454" w:type="pct"/>
            <w:tcBorders>
              <w:top w:val="single" w:sz="8" w:space="0" w:color="auto"/>
              <w:left w:val="nil"/>
              <w:bottom w:val="nil"/>
              <w:right w:val="nil"/>
              <w:tl2br w:val="single" w:sz="4" w:space="0" w:color="auto"/>
            </w:tcBorders>
            <w:shd w:val="clear" w:color="auto" w:fill="auto"/>
            <w:noWrap/>
            <w:vAlign w:val="center"/>
            <w:hideMark/>
          </w:tcPr>
          <w:p w14:paraId="6ADB707D" w14:textId="77777777" w:rsidR="005951B5" w:rsidRDefault="005951B5" w:rsidP="00AA63CD">
            <w:pPr>
              <w:widowControl/>
              <w:spacing w:before="0" w:after="100" w:afterAutospacing="1" w:line="360" w:lineRule="auto"/>
              <w:jc w:val="right"/>
              <w:rPr>
                <w:rFonts w:eastAsia="等线"/>
                <w:kern w:val="0"/>
              </w:rPr>
            </w:pPr>
            <w:r w:rsidRPr="00B27170">
              <w:rPr>
                <w:rFonts w:eastAsia="等线"/>
                <w:kern w:val="0"/>
              </w:rPr>
              <w:t>COVID lockdown</w:t>
            </w:r>
          </w:p>
          <w:p w14:paraId="49BD1FF2" w14:textId="7F77501C" w:rsidR="005951B5" w:rsidRPr="005951B5" w:rsidRDefault="005951B5" w:rsidP="00AA63CD">
            <w:pPr>
              <w:widowControl/>
              <w:spacing w:before="0" w:after="100" w:afterAutospacing="1" w:line="360" w:lineRule="auto"/>
              <w:jc w:val="right"/>
              <w:rPr>
                <w:rFonts w:eastAsia="等线"/>
                <w:kern w:val="0"/>
              </w:rPr>
            </w:pPr>
            <w:r w:rsidRPr="00B27170">
              <w:rPr>
                <w:rFonts w:eastAsia="等线"/>
                <w:kern w:val="0"/>
              </w:rPr>
              <w:t>setting</w:t>
            </w:r>
          </w:p>
          <w:p w14:paraId="10BBDA2C" w14:textId="593C2658" w:rsidR="00CD5AB7" w:rsidRPr="00E309AB" w:rsidRDefault="005951B5" w:rsidP="00AA63CD">
            <w:pPr>
              <w:widowControl/>
              <w:spacing w:before="0" w:after="100" w:afterAutospacing="1" w:line="360" w:lineRule="auto"/>
              <w:jc w:val="left"/>
              <w:rPr>
                <w:rFonts w:eastAsia="等线"/>
                <w:kern w:val="0"/>
              </w:rPr>
            </w:pPr>
            <w:r>
              <w:rPr>
                <w:rFonts w:eastAsia="等线"/>
                <w:kern w:val="0"/>
              </w:rPr>
              <w:t>L</w:t>
            </w:r>
            <w:r w:rsidR="00CD5AB7" w:rsidRPr="005951B5">
              <w:rPr>
                <w:rFonts w:eastAsia="等线"/>
                <w:kern w:val="0"/>
              </w:rPr>
              <w:t>ow carbon setting</w:t>
            </w:r>
          </w:p>
        </w:tc>
        <w:tc>
          <w:tcPr>
            <w:tcW w:w="758" w:type="pct"/>
            <w:tcBorders>
              <w:top w:val="single" w:sz="8" w:space="0" w:color="auto"/>
              <w:left w:val="nil"/>
              <w:bottom w:val="nil"/>
              <w:right w:val="nil"/>
            </w:tcBorders>
            <w:shd w:val="clear" w:color="auto" w:fill="auto"/>
            <w:noWrap/>
            <w:vAlign w:val="center"/>
            <w:hideMark/>
          </w:tcPr>
          <w:p w14:paraId="11AD72AC" w14:textId="77777777" w:rsidR="00CD5AB7" w:rsidRPr="00E309AB" w:rsidRDefault="00CD5AB7" w:rsidP="00AA63CD">
            <w:pPr>
              <w:widowControl/>
              <w:spacing w:before="0" w:after="100" w:afterAutospacing="1" w:line="360" w:lineRule="auto"/>
              <w:jc w:val="left"/>
              <w:rPr>
                <w:rFonts w:eastAsia="等线"/>
                <w:kern w:val="0"/>
              </w:rPr>
            </w:pPr>
            <w:r w:rsidRPr="00E309AB">
              <w:rPr>
                <w:rFonts w:eastAsia="等线"/>
                <w:kern w:val="0"/>
              </w:rPr>
              <w:t>No COVID</w:t>
            </w:r>
          </w:p>
        </w:tc>
        <w:tc>
          <w:tcPr>
            <w:tcW w:w="929" w:type="pct"/>
            <w:tcBorders>
              <w:top w:val="single" w:sz="8" w:space="0" w:color="auto"/>
              <w:left w:val="nil"/>
              <w:bottom w:val="nil"/>
              <w:right w:val="nil"/>
            </w:tcBorders>
            <w:shd w:val="clear" w:color="auto" w:fill="auto"/>
            <w:noWrap/>
            <w:vAlign w:val="center"/>
            <w:hideMark/>
          </w:tcPr>
          <w:p w14:paraId="4614FC29" w14:textId="77777777" w:rsidR="00CD5AB7" w:rsidRPr="00E309AB" w:rsidRDefault="00CD5AB7" w:rsidP="00AA63CD">
            <w:pPr>
              <w:widowControl/>
              <w:spacing w:before="0" w:after="100" w:afterAutospacing="1" w:line="360" w:lineRule="auto"/>
              <w:jc w:val="left"/>
              <w:rPr>
                <w:rFonts w:eastAsia="等线"/>
                <w:kern w:val="0"/>
              </w:rPr>
            </w:pPr>
            <w:r w:rsidRPr="00E309AB">
              <w:rPr>
                <w:rFonts w:eastAsia="等线"/>
                <w:kern w:val="0"/>
              </w:rPr>
              <w:t>Mild lockdown for COVID</w:t>
            </w:r>
          </w:p>
        </w:tc>
        <w:tc>
          <w:tcPr>
            <w:tcW w:w="929" w:type="pct"/>
            <w:tcBorders>
              <w:top w:val="single" w:sz="8" w:space="0" w:color="auto"/>
              <w:left w:val="nil"/>
              <w:bottom w:val="nil"/>
              <w:right w:val="nil"/>
            </w:tcBorders>
            <w:shd w:val="clear" w:color="auto" w:fill="auto"/>
            <w:noWrap/>
            <w:vAlign w:val="center"/>
            <w:hideMark/>
          </w:tcPr>
          <w:p w14:paraId="2E1A9C45" w14:textId="77777777" w:rsidR="00CD5AB7" w:rsidRPr="00E309AB" w:rsidRDefault="00CD5AB7" w:rsidP="00AA63CD">
            <w:pPr>
              <w:widowControl/>
              <w:spacing w:before="0" w:after="100" w:afterAutospacing="1" w:line="360" w:lineRule="auto"/>
              <w:jc w:val="left"/>
              <w:rPr>
                <w:rFonts w:eastAsia="等线"/>
                <w:kern w:val="0"/>
              </w:rPr>
            </w:pPr>
            <w:r w:rsidRPr="00E309AB">
              <w:rPr>
                <w:rFonts w:eastAsia="等线"/>
                <w:kern w:val="0"/>
              </w:rPr>
              <w:t>Default lockdown for COVID</w:t>
            </w:r>
          </w:p>
        </w:tc>
        <w:tc>
          <w:tcPr>
            <w:tcW w:w="929" w:type="pct"/>
            <w:tcBorders>
              <w:top w:val="single" w:sz="8" w:space="0" w:color="auto"/>
              <w:left w:val="nil"/>
              <w:bottom w:val="nil"/>
              <w:right w:val="nil"/>
            </w:tcBorders>
            <w:shd w:val="clear" w:color="auto" w:fill="auto"/>
            <w:noWrap/>
            <w:vAlign w:val="center"/>
            <w:hideMark/>
          </w:tcPr>
          <w:p w14:paraId="4DE9C1B5" w14:textId="77777777" w:rsidR="00CD5AB7" w:rsidRPr="00E309AB" w:rsidRDefault="00CD5AB7" w:rsidP="00AA63CD">
            <w:pPr>
              <w:widowControl/>
              <w:spacing w:before="0" w:after="100" w:afterAutospacing="1" w:line="360" w:lineRule="auto"/>
              <w:jc w:val="left"/>
              <w:rPr>
                <w:rFonts w:eastAsia="等线"/>
                <w:kern w:val="0"/>
              </w:rPr>
            </w:pPr>
            <w:r w:rsidRPr="00E309AB">
              <w:rPr>
                <w:rFonts w:eastAsia="等线"/>
                <w:kern w:val="0"/>
              </w:rPr>
              <w:t>Severe lockdown for COVID</w:t>
            </w:r>
          </w:p>
        </w:tc>
      </w:tr>
      <w:tr w:rsidR="00EF781A" w:rsidRPr="00E309AB" w14:paraId="1610B15A" w14:textId="77777777" w:rsidTr="00E309AB">
        <w:trPr>
          <w:trHeight w:val="250"/>
        </w:trPr>
        <w:tc>
          <w:tcPr>
            <w:tcW w:w="1454" w:type="pct"/>
            <w:tcBorders>
              <w:top w:val="single" w:sz="4" w:space="0" w:color="auto"/>
              <w:left w:val="nil"/>
              <w:bottom w:val="nil"/>
              <w:right w:val="nil"/>
            </w:tcBorders>
            <w:shd w:val="clear" w:color="auto" w:fill="auto"/>
            <w:noWrap/>
            <w:vAlign w:val="center"/>
            <w:hideMark/>
          </w:tcPr>
          <w:p w14:paraId="25CA20B9"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No policy</w:t>
            </w:r>
          </w:p>
        </w:tc>
        <w:tc>
          <w:tcPr>
            <w:tcW w:w="758" w:type="pct"/>
            <w:tcBorders>
              <w:top w:val="single" w:sz="4" w:space="0" w:color="auto"/>
              <w:left w:val="nil"/>
              <w:bottom w:val="nil"/>
              <w:right w:val="nil"/>
            </w:tcBorders>
            <w:shd w:val="clear" w:color="auto" w:fill="auto"/>
            <w:noWrap/>
            <w:vAlign w:val="center"/>
            <w:hideMark/>
          </w:tcPr>
          <w:p w14:paraId="56561287"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Baseline</w:t>
            </w:r>
          </w:p>
        </w:tc>
        <w:tc>
          <w:tcPr>
            <w:tcW w:w="929" w:type="pct"/>
            <w:tcBorders>
              <w:top w:val="single" w:sz="4" w:space="0" w:color="auto"/>
              <w:left w:val="nil"/>
              <w:bottom w:val="nil"/>
              <w:right w:val="nil"/>
            </w:tcBorders>
            <w:shd w:val="clear" w:color="auto" w:fill="auto"/>
            <w:noWrap/>
            <w:vAlign w:val="center"/>
            <w:hideMark/>
          </w:tcPr>
          <w:p w14:paraId="3F119D29"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Mild_NP</w:t>
            </w:r>
            <w:proofErr w:type="spellEnd"/>
          </w:p>
        </w:tc>
        <w:tc>
          <w:tcPr>
            <w:tcW w:w="929" w:type="pct"/>
            <w:tcBorders>
              <w:top w:val="single" w:sz="4" w:space="0" w:color="auto"/>
              <w:left w:val="nil"/>
              <w:bottom w:val="nil"/>
              <w:right w:val="nil"/>
            </w:tcBorders>
            <w:shd w:val="clear" w:color="auto" w:fill="auto"/>
            <w:noWrap/>
            <w:vAlign w:val="center"/>
            <w:hideMark/>
          </w:tcPr>
          <w:p w14:paraId="21C6F8C0"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WeakPolicy</w:t>
            </w:r>
            <w:proofErr w:type="spellEnd"/>
          </w:p>
        </w:tc>
        <w:tc>
          <w:tcPr>
            <w:tcW w:w="929" w:type="pct"/>
            <w:tcBorders>
              <w:top w:val="single" w:sz="4" w:space="0" w:color="auto"/>
              <w:left w:val="nil"/>
              <w:bottom w:val="nil"/>
              <w:right w:val="nil"/>
            </w:tcBorders>
            <w:shd w:val="clear" w:color="auto" w:fill="auto"/>
            <w:noWrap/>
            <w:vAlign w:val="center"/>
            <w:hideMark/>
          </w:tcPr>
          <w:p w14:paraId="6941A2D5"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Severe_NP</w:t>
            </w:r>
            <w:proofErr w:type="spellEnd"/>
          </w:p>
        </w:tc>
      </w:tr>
      <w:tr w:rsidR="00EF781A" w:rsidRPr="00E309AB" w14:paraId="0685BA19" w14:textId="77777777" w:rsidTr="00E309AB">
        <w:trPr>
          <w:trHeight w:val="250"/>
        </w:trPr>
        <w:tc>
          <w:tcPr>
            <w:tcW w:w="1454" w:type="pct"/>
            <w:tcBorders>
              <w:top w:val="nil"/>
              <w:left w:val="nil"/>
              <w:bottom w:val="nil"/>
              <w:right w:val="nil"/>
            </w:tcBorders>
            <w:shd w:val="clear" w:color="auto" w:fill="auto"/>
            <w:noWrap/>
            <w:vAlign w:val="center"/>
            <w:hideMark/>
          </w:tcPr>
          <w:p w14:paraId="197099B9"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Low Carbon</w:t>
            </w:r>
          </w:p>
        </w:tc>
        <w:tc>
          <w:tcPr>
            <w:tcW w:w="758" w:type="pct"/>
            <w:tcBorders>
              <w:top w:val="nil"/>
              <w:left w:val="nil"/>
              <w:bottom w:val="nil"/>
              <w:right w:val="nil"/>
            </w:tcBorders>
            <w:shd w:val="clear" w:color="auto" w:fill="auto"/>
            <w:noWrap/>
            <w:vAlign w:val="center"/>
            <w:hideMark/>
          </w:tcPr>
          <w:p w14:paraId="0FC60163"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NoC_LC</w:t>
            </w:r>
            <w:proofErr w:type="spellEnd"/>
          </w:p>
        </w:tc>
        <w:tc>
          <w:tcPr>
            <w:tcW w:w="929" w:type="pct"/>
            <w:tcBorders>
              <w:top w:val="nil"/>
              <w:left w:val="nil"/>
              <w:bottom w:val="nil"/>
              <w:right w:val="nil"/>
            </w:tcBorders>
            <w:shd w:val="clear" w:color="auto" w:fill="auto"/>
            <w:noWrap/>
            <w:vAlign w:val="center"/>
            <w:hideMark/>
          </w:tcPr>
          <w:p w14:paraId="3A2FE8C4"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Mild_LC</w:t>
            </w:r>
            <w:proofErr w:type="spellEnd"/>
          </w:p>
        </w:tc>
        <w:tc>
          <w:tcPr>
            <w:tcW w:w="929" w:type="pct"/>
            <w:tcBorders>
              <w:top w:val="nil"/>
              <w:left w:val="nil"/>
              <w:bottom w:val="nil"/>
              <w:right w:val="nil"/>
            </w:tcBorders>
            <w:shd w:val="clear" w:color="auto" w:fill="auto"/>
            <w:noWrap/>
            <w:vAlign w:val="center"/>
            <w:hideMark/>
          </w:tcPr>
          <w:p w14:paraId="5B016AB6"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LowCarbon</w:t>
            </w:r>
            <w:proofErr w:type="spellEnd"/>
          </w:p>
        </w:tc>
        <w:tc>
          <w:tcPr>
            <w:tcW w:w="929" w:type="pct"/>
            <w:tcBorders>
              <w:top w:val="nil"/>
              <w:left w:val="nil"/>
              <w:bottom w:val="nil"/>
              <w:right w:val="nil"/>
            </w:tcBorders>
            <w:shd w:val="clear" w:color="auto" w:fill="auto"/>
            <w:noWrap/>
            <w:vAlign w:val="center"/>
            <w:hideMark/>
          </w:tcPr>
          <w:p w14:paraId="6067BB35"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Severe_LC</w:t>
            </w:r>
            <w:proofErr w:type="spellEnd"/>
          </w:p>
        </w:tc>
      </w:tr>
      <w:tr w:rsidR="00EF781A" w:rsidRPr="00E309AB" w14:paraId="44909476" w14:textId="77777777" w:rsidTr="00E309AB">
        <w:trPr>
          <w:trHeight w:val="250"/>
        </w:trPr>
        <w:tc>
          <w:tcPr>
            <w:tcW w:w="1454" w:type="pct"/>
            <w:tcBorders>
              <w:top w:val="nil"/>
              <w:left w:val="nil"/>
              <w:bottom w:val="single" w:sz="8" w:space="0" w:color="auto"/>
              <w:right w:val="nil"/>
            </w:tcBorders>
            <w:shd w:val="clear" w:color="auto" w:fill="auto"/>
            <w:noWrap/>
            <w:vAlign w:val="center"/>
            <w:hideMark/>
          </w:tcPr>
          <w:p w14:paraId="5340FC64" w14:textId="77777777" w:rsidR="00CD5AB7" w:rsidRPr="00E309AB" w:rsidRDefault="00CD5AB7" w:rsidP="00AA63CD">
            <w:pPr>
              <w:widowControl/>
              <w:spacing w:before="0" w:after="100" w:afterAutospacing="1" w:line="360" w:lineRule="auto"/>
              <w:rPr>
                <w:rFonts w:eastAsia="等线"/>
                <w:kern w:val="0"/>
              </w:rPr>
            </w:pPr>
            <w:r w:rsidRPr="00E309AB">
              <w:rPr>
                <w:rFonts w:eastAsia="等线"/>
                <w:kern w:val="0"/>
              </w:rPr>
              <w:t>Extreme Low Carbon</w:t>
            </w:r>
          </w:p>
        </w:tc>
        <w:tc>
          <w:tcPr>
            <w:tcW w:w="758" w:type="pct"/>
            <w:tcBorders>
              <w:top w:val="nil"/>
              <w:left w:val="nil"/>
              <w:bottom w:val="single" w:sz="8" w:space="0" w:color="auto"/>
              <w:right w:val="nil"/>
            </w:tcBorders>
            <w:shd w:val="clear" w:color="auto" w:fill="auto"/>
            <w:noWrap/>
            <w:vAlign w:val="center"/>
            <w:hideMark/>
          </w:tcPr>
          <w:p w14:paraId="7F1F61B7"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NoC_eLC</w:t>
            </w:r>
            <w:proofErr w:type="spellEnd"/>
          </w:p>
        </w:tc>
        <w:tc>
          <w:tcPr>
            <w:tcW w:w="929" w:type="pct"/>
            <w:tcBorders>
              <w:top w:val="nil"/>
              <w:left w:val="nil"/>
              <w:bottom w:val="single" w:sz="8" w:space="0" w:color="auto"/>
              <w:right w:val="nil"/>
            </w:tcBorders>
            <w:shd w:val="clear" w:color="auto" w:fill="auto"/>
            <w:noWrap/>
            <w:vAlign w:val="center"/>
            <w:hideMark/>
          </w:tcPr>
          <w:p w14:paraId="71F49E11"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Mild_eLC</w:t>
            </w:r>
            <w:proofErr w:type="spellEnd"/>
          </w:p>
        </w:tc>
        <w:tc>
          <w:tcPr>
            <w:tcW w:w="929" w:type="pct"/>
            <w:tcBorders>
              <w:top w:val="nil"/>
              <w:left w:val="nil"/>
              <w:bottom w:val="single" w:sz="8" w:space="0" w:color="auto"/>
              <w:right w:val="nil"/>
            </w:tcBorders>
            <w:shd w:val="clear" w:color="auto" w:fill="auto"/>
            <w:noWrap/>
            <w:vAlign w:val="center"/>
            <w:hideMark/>
          </w:tcPr>
          <w:p w14:paraId="5060E44A"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ExtremeLC</w:t>
            </w:r>
            <w:proofErr w:type="spellEnd"/>
          </w:p>
        </w:tc>
        <w:tc>
          <w:tcPr>
            <w:tcW w:w="929" w:type="pct"/>
            <w:tcBorders>
              <w:top w:val="nil"/>
              <w:left w:val="nil"/>
              <w:bottom w:val="single" w:sz="8" w:space="0" w:color="auto"/>
              <w:right w:val="nil"/>
            </w:tcBorders>
            <w:shd w:val="clear" w:color="auto" w:fill="auto"/>
            <w:noWrap/>
            <w:vAlign w:val="center"/>
            <w:hideMark/>
          </w:tcPr>
          <w:p w14:paraId="3022DD4D" w14:textId="77777777" w:rsidR="00CD5AB7" w:rsidRPr="00E309AB" w:rsidRDefault="00CD5AB7" w:rsidP="00AA63CD">
            <w:pPr>
              <w:widowControl/>
              <w:spacing w:before="0" w:after="100" w:afterAutospacing="1" w:line="360" w:lineRule="auto"/>
              <w:rPr>
                <w:rFonts w:eastAsia="等线"/>
                <w:kern w:val="0"/>
              </w:rPr>
            </w:pPr>
            <w:proofErr w:type="spellStart"/>
            <w:r w:rsidRPr="00E309AB">
              <w:rPr>
                <w:rFonts w:eastAsia="等线"/>
                <w:kern w:val="0"/>
              </w:rPr>
              <w:t>Severe_eLC</w:t>
            </w:r>
            <w:proofErr w:type="spellEnd"/>
          </w:p>
        </w:tc>
      </w:tr>
    </w:tbl>
    <w:p w14:paraId="21C2BB6A" w14:textId="469C8C2D" w:rsidR="00CD5AB7" w:rsidRDefault="00CD5AB7" w:rsidP="00AA63CD">
      <w:pPr>
        <w:spacing w:after="100" w:afterAutospacing="1" w:line="360" w:lineRule="auto"/>
      </w:pPr>
    </w:p>
    <w:bookmarkEnd w:id="74"/>
    <w:p w14:paraId="7EBA7CCD" w14:textId="77777777" w:rsidR="00CD5AB7" w:rsidRDefault="00CD5AB7" w:rsidP="00AA63CD">
      <w:pPr>
        <w:spacing w:after="100" w:afterAutospacing="1" w:line="360" w:lineRule="auto"/>
      </w:pPr>
    </w:p>
    <w:p w14:paraId="3EE06011" w14:textId="145BEC53" w:rsidR="00052B68" w:rsidRPr="00214EFC" w:rsidRDefault="00052B68" w:rsidP="00AA63CD">
      <w:pPr>
        <w:spacing w:after="100" w:afterAutospacing="1" w:line="360" w:lineRule="auto"/>
      </w:pPr>
    </w:p>
    <w:sectPr w:rsidR="00052B68" w:rsidRPr="00214E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12FDE" w14:textId="77777777" w:rsidR="002D7B00" w:rsidRDefault="002D7B00" w:rsidP="00A35EEE">
      <w:pPr>
        <w:spacing w:before="0" w:after="0"/>
      </w:pPr>
      <w:r>
        <w:separator/>
      </w:r>
    </w:p>
  </w:endnote>
  <w:endnote w:type="continuationSeparator" w:id="0">
    <w:p w14:paraId="344B4556" w14:textId="77777777" w:rsidR="002D7B00" w:rsidRDefault="002D7B00" w:rsidP="00A35EE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Arial"/>
    <w:charset w:val="01"/>
    <w:family w:val="swiss"/>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e"/>
      </w:rPr>
      <w:id w:val="38637008"/>
      <w:docPartObj>
        <w:docPartGallery w:val="Page Numbers (Bottom of Page)"/>
        <w:docPartUnique/>
      </w:docPartObj>
    </w:sdtPr>
    <w:sdtEndPr>
      <w:rPr>
        <w:rStyle w:val="afe"/>
      </w:rPr>
    </w:sdtEndPr>
    <w:sdtContent>
      <w:p w14:paraId="31AA2C9A" w14:textId="408D208E" w:rsidR="005B0851" w:rsidRDefault="005B0851" w:rsidP="007C103B">
        <w:pPr>
          <w:pStyle w:val="a5"/>
          <w:framePr w:wrap="none" w:vAnchor="text" w:hAnchor="margin" w:xAlign="right" w:y="1"/>
          <w:rPr>
            <w:rStyle w:val="afe"/>
          </w:rPr>
        </w:pPr>
        <w:r>
          <w:rPr>
            <w:rStyle w:val="afe"/>
          </w:rPr>
          <w:fldChar w:fldCharType="begin"/>
        </w:r>
        <w:r>
          <w:rPr>
            <w:rStyle w:val="afe"/>
          </w:rPr>
          <w:instrText xml:space="preserve"> PAGE </w:instrText>
        </w:r>
        <w:r>
          <w:rPr>
            <w:rStyle w:val="afe"/>
          </w:rPr>
          <w:fldChar w:fldCharType="end"/>
        </w:r>
      </w:p>
    </w:sdtContent>
  </w:sdt>
  <w:p w14:paraId="5A7E12F5" w14:textId="77777777" w:rsidR="005B0851" w:rsidRDefault="005B0851" w:rsidP="00547718">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e"/>
      </w:rPr>
      <w:id w:val="-1751112662"/>
      <w:docPartObj>
        <w:docPartGallery w:val="Page Numbers (Bottom of Page)"/>
        <w:docPartUnique/>
      </w:docPartObj>
    </w:sdtPr>
    <w:sdtEndPr>
      <w:rPr>
        <w:rStyle w:val="afe"/>
      </w:rPr>
    </w:sdtEndPr>
    <w:sdtContent>
      <w:p w14:paraId="6E67EC1C" w14:textId="310E5E2F" w:rsidR="005B0851" w:rsidRDefault="005B0851" w:rsidP="007C103B">
        <w:pPr>
          <w:pStyle w:val="a5"/>
          <w:framePr w:wrap="none" w:vAnchor="text" w:hAnchor="margin" w:xAlign="right" w:y="1"/>
          <w:rPr>
            <w:rStyle w:val="afe"/>
          </w:rPr>
        </w:pPr>
        <w:r>
          <w:rPr>
            <w:rStyle w:val="afe"/>
          </w:rPr>
          <w:fldChar w:fldCharType="begin"/>
        </w:r>
        <w:r>
          <w:rPr>
            <w:rStyle w:val="afe"/>
          </w:rPr>
          <w:instrText xml:space="preserve"> PAGE </w:instrText>
        </w:r>
        <w:r>
          <w:rPr>
            <w:rStyle w:val="afe"/>
          </w:rPr>
          <w:fldChar w:fldCharType="separate"/>
        </w:r>
        <w:r>
          <w:rPr>
            <w:rStyle w:val="afe"/>
            <w:noProof/>
          </w:rPr>
          <w:t>1</w:t>
        </w:r>
        <w:r>
          <w:rPr>
            <w:rStyle w:val="afe"/>
          </w:rPr>
          <w:fldChar w:fldCharType="end"/>
        </w:r>
      </w:p>
    </w:sdtContent>
  </w:sdt>
  <w:p w14:paraId="3FAD1769" w14:textId="77777777" w:rsidR="005B0851" w:rsidRDefault="005B0851" w:rsidP="00547718">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AE65D5" w14:textId="77777777" w:rsidR="002D7B00" w:rsidRDefault="002D7B00" w:rsidP="00A35EEE">
      <w:pPr>
        <w:spacing w:before="0" w:after="0"/>
      </w:pPr>
      <w:r>
        <w:separator/>
      </w:r>
    </w:p>
  </w:footnote>
  <w:footnote w:type="continuationSeparator" w:id="0">
    <w:p w14:paraId="5EE8C575" w14:textId="77777777" w:rsidR="002D7B00" w:rsidRDefault="002D7B00" w:rsidP="00A35EE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F5369"/>
    <w:multiLevelType w:val="multilevel"/>
    <w:tmpl w:val="5EFA38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685587B"/>
    <w:multiLevelType w:val="multilevel"/>
    <w:tmpl w:val="50DC89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A340C07"/>
    <w:multiLevelType w:val="multilevel"/>
    <w:tmpl w:val="A2DE9F6C"/>
    <w:lvl w:ilvl="0">
      <w:start w:val="2"/>
      <w:numFmt w:val="decimal"/>
      <w:lvlText w:val="%1"/>
      <w:lvlJc w:val="left"/>
      <w:pPr>
        <w:ind w:left="600" w:hanging="600"/>
      </w:pPr>
      <w:rPr>
        <w:rFonts w:hint="default"/>
        <w:sz w:val="21"/>
      </w:rPr>
    </w:lvl>
    <w:lvl w:ilvl="1">
      <w:start w:val="1"/>
      <w:numFmt w:val="decimal"/>
      <w:lvlText w:val="%1.%2"/>
      <w:lvlJc w:val="left"/>
      <w:pPr>
        <w:ind w:left="740" w:hanging="600"/>
      </w:pPr>
      <w:rPr>
        <w:rFonts w:hint="default"/>
        <w:sz w:val="21"/>
      </w:rPr>
    </w:lvl>
    <w:lvl w:ilvl="2">
      <w:start w:val="3"/>
      <w:numFmt w:val="decimal"/>
      <w:lvlText w:val="%1.%2.%3"/>
      <w:lvlJc w:val="left"/>
      <w:pPr>
        <w:ind w:left="1000" w:hanging="720"/>
      </w:pPr>
      <w:rPr>
        <w:rFonts w:hint="default"/>
        <w:sz w:val="21"/>
      </w:rPr>
    </w:lvl>
    <w:lvl w:ilvl="3">
      <w:start w:val="1"/>
      <w:numFmt w:val="decimal"/>
      <w:lvlText w:val="%1.%2.%3.%4"/>
      <w:lvlJc w:val="left"/>
      <w:pPr>
        <w:ind w:left="1140" w:hanging="720"/>
      </w:pPr>
      <w:rPr>
        <w:rFonts w:hint="default"/>
        <w:sz w:val="21"/>
      </w:rPr>
    </w:lvl>
    <w:lvl w:ilvl="4">
      <w:start w:val="1"/>
      <w:numFmt w:val="decimal"/>
      <w:lvlText w:val="%1.%2.%3.%4.%5"/>
      <w:lvlJc w:val="left"/>
      <w:pPr>
        <w:ind w:left="1640" w:hanging="1080"/>
      </w:pPr>
      <w:rPr>
        <w:rFonts w:hint="default"/>
        <w:sz w:val="21"/>
      </w:rPr>
    </w:lvl>
    <w:lvl w:ilvl="5">
      <w:start w:val="1"/>
      <w:numFmt w:val="decimal"/>
      <w:lvlText w:val="%1.%2.%3.%4.%5.%6"/>
      <w:lvlJc w:val="left"/>
      <w:pPr>
        <w:ind w:left="1780" w:hanging="1080"/>
      </w:pPr>
      <w:rPr>
        <w:rFonts w:hint="default"/>
        <w:sz w:val="21"/>
      </w:rPr>
    </w:lvl>
    <w:lvl w:ilvl="6">
      <w:start w:val="1"/>
      <w:numFmt w:val="decimal"/>
      <w:lvlText w:val="%1.%2.%3.%4.%5.%6.%7"/>
      <w:lvlJc w:val="left"/>
      <w:pPr>
        <w:ind w:left="2280" w:hanging="1440"/>
      </w:pPr>
      <w:rPr>
        <w:rFonts w:hint="default"/>
        <w:sz w:val="21"/>
      </w:rPr>
    </w:lvl>
    <w:lvl w:ilvl="7">
      <w:start w:val="1"/>
      <w:numFmt w:val="decimal"/>
      <w:lvlText w:val="%1.%2.%3.%4.%5.%6.%7.%8"/>
      <w:lvlJc w:val="left"/>
      <w:pPr>
        <w:ind w:left="2420" w:hanging="1440"/>
      </w:pPr>
      <w:rPr>
        <w:rFonts w:hint="default"/>
        <w:sz w:val="21"/>
      </w:rPr>
    </w:lvl>
    <w:lvl w:ilvl="8">
      <w:start w:val="1"/>
      <w:numFmt w:val="decimal"/>
      <w:lvlText w:val="%1.%2.%3.%4.%5.%6.%7.%8.%9"/>
      <w:lvlJc w:val="left"/>
      <w:pPr>
        <w:ind w:left="2560" w:hanging="1440"/>
      </w:pPr>
      <w:rPr>
        <w:rFonts w:hint="default"/>
        <w:sz w:val="21"/>
      </w:rPr>
    </w:lvl>
  </w:abstractNum>
  <w:abstractNum w:abstractNumId="3" w15:restartNumberingAfterBreak="0">
    <w:nsid w:val="0A5E6D6C"/>
    <w:multiLevelType w:val="multilevel"/>
    <w:tmpl w:val="46F6C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237ED7"/>
    <w:multiLevelType w:val="hybridMultilevel"/>
    <w:tmpl w:val="8E66896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16D2ADC"/>
    <w:multiLevelType w:val="hybridMultilevel"/>
    <w:tmpl w:val="C70801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33046E5"/>
    <w:multiLevelType w:val="hybridMultilevel"/>
    <w:tmpl w:val="1ACEC1F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4291BFB"/>
    <w:multiLevelType w:val="multilevel"/>
    <w:tmpl w:val="35AA4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F8D10C2"/>
    <w:multiLevelType w:val="multilevel"/>
    <w:tmpl w:val="34EE11BA"/>
    <w:lvl w:ilvl="0">
      <w:start w:val="3"/>
      <w:numFmt w:val="decimal"/>
      <w:lvlText w:val="%1"/>
      <w:lvlJc w:val="left"/>
      <w:pPr>
        <w:ind w:left="432" w:hanging="432"/>
      </w:pPr>
      <w:rPr>
        <w:rFonts w:hint="default"/>
      </w:rPr>
    </w:lvl>
    <w:lvl w:ilvl="1">
      <w:start w:val="2"/>
      <w:numFmt w:val="decimal"/>
      <w:lvlText w:val="%1.%2"/>
      <w:lvlJc w:val="left"/>
      <w:pPr>
        <w:ind w:left="432" w:hanging="432"/>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59F7D95"/>
    <w:multiLevelType w:val="hybridMultilevel"/>
    <w:tmpl w:val="F97E0E16"/>
    <w:lvl w:ilvl="0" w:tplc="67BC0CCA">
      <w:start w:val="1"/>
      <w:numFmt w:val="decimal"/>
      <w:lvlText w:val="%1)"/>
      <w:lvlJc w:val="left"/>
      <w:pPr>
        <w:ind w:left="360" w:hanging="360"/>
      </w:pPr>
      <w:rPr>
        <w:rFonts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7FC2854"/>
    <w:multiLevelType w:val="hybridMultilevel"/>
    <w:tmpl w:val="519C2FA8"/>
    <w:lvl w:ilvl="0" w:tplc="6E2E3F8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293A5E72"/>
    <w:multiLevelType w:val="multilevel"/>
    <w:tmpl w:val="2A406170"/>
    <w:lvl w:ilvl="0">
      <w:start w:val="3"/>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9B94875"/>
    <w:multiLevelType w:val="hybridMultilevel"/>
    <w:tmpl w:val="1CAA127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F21946"/>
    <w:multiLevelType w:val="multilevel"/>
    <w:tmpl w:val="9A1CB0AE"/>
    <w:lvl w:ilvl="0">
      <w:start w:val="1"/>
      <w:numFmt w:val="decimal"/>
      <w:lvlText w:val="%1"/>
      <w:lvlJc w:val="left"/>
      <w:pPr>
        <w:ind w:left="600" w:hanging="600"/>
      </w:pPr>
      <w:rPr>
        <w:rFonts w:hint="default"/>
        <w:sz w:val="21"/>
      </w:rPr>
    </w:lvl>
    <w:lvl w:ilvl="1">
      <w:start w:val="1"/>
      <w:numFmt w:val="decimal"/>
      <w:lvlText w:val="%1.%2"/>
      <w:lvlJc w:val="left"/>
      <w:pPr>
        <w:ind w:left="600" w:hanging="600"/>
      </w:pPr>
      <w:rPr>
        <w:rFonts w:hint="default"/>
        <w:sz w:val="21"/>
      </w:rPr>
    </w:lvl>
    <w:lvl w:ilvl="2">
      <w:start w:val="3"/>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440" w:hanging="1440"/>
      </w:pPr>
      <w:rPr>
        <w:rFonts w:hint="default"/>
        <w:sz w:val="21"/>
      </w:rPr>
    </w:lvl>
  </w:abstractNum>
  <w:abstractNum w:abstractNumId="14" w15:restartNumberingAfterBreak="0">
    <w:nsid w:val="31FC5C6C"/>
    <w:multiLevelType w:val="hybridMultilevel"/>
    <w:tmpl w:val="1E90DD8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488142F"/>
    <w:multiLevelType w:val="multilevel"/>
    <w:tmpl w:val="1A7C8C0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9442DBF"/>
    <w:multiLevelType w:val="multilevel"/>
    <w:tmpl w:val="281402F4"/>
    <w:lvl w:ilvl="0">
      <w:start w:val="1"/>
      <w:numFmt w:val="decimal"/>
      <w:lvlText w:val="%1."/>
      <w:lvlJc w:val="left"/>
      <w:pPr>
        <w:ind w:left="360" w:hanging="360"/>
      </w:pPr>
      <w:rPr>
        <w:rFonts w:hint="default"/>
      </w:rPr>
    </w:lvl>
    <w:lvl w:ilvl="1">
      <w:start w:val="3"/>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3A976C19"/>
    <w:multiLevelType w:val="hybridMultilevel"/>
    <w:tmpl w:val="71D204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6F56D1"/>
    <w:multiLevelType w:val="hybridMultilevel"/>
    <w:tmpl w:val="E252F80C"/>
    <w:lvl w:ilvl="0" w:tplc="05D6269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40147D53"/>
    <w:multiLevelType w:val="hybridMultilevel"/>
    <w:tmpl w:val="60F4D140"/>
    <w:lvl w:ilvl="0" w:tplc="91165F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0D276F5"/>
    <w:multiLevelType w:val="hybridMultilevel"/>
    <w:tmpl w:val="3144623A"/>
    <w:lvl w:ilvl="0" w:tplc="B6FC7D6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45300C1B"/>
    <w:multiLevelType w:val="hybridMultilevel"/>
    <w:tmpl w:val="4266D47E"/>
    <w:lvl w:ilvl="0" w:tplc="8AEC0348">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7344C1B"/>
    <w:multiLevelType w:val="multilevel"/>
    <w:tmpl w:val="3FC48D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9895E5B"/>
    <w:multiLevelType w:val="multilevel"/>
    <w:tmpl w:val="28E07174"/>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4B9A0FCE"/>
    <w:multiLevelType w:val="hybridMultilevel"/>
    <w:tmpl w:val="2D9E72FE"/>
    <w:lvl w:ilvl="0" w:tplc="E0280F0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464D16"/>
    <w:multiLevelType w:val="multilevel"/>
    <w:tmpl w:val="2852152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2006953"/>
    <w:multiLevelType w:val="multilevel"/>
    <w:tmpl w:val="A2DE9F6C"/>
    <w:lvl w:ilvl="0">
      <w:start w:val="2"/>
      <w:numFmt w:val="decimal"/>
      <w:lvlText w:val="%1"/>
      <w:lvlJc w:val="left"/>
      <w:pPr>
        <w:ind w:left="600" w:hanging="600"/>
      </w:pPr>
      <w:rPr>
        <w:rFonts w:hint="default"/>
        <w:sz w:val="21"/>
      </w:rPr>
    </w:lvl>
    <w:lvl w:ilvl="1">
      <w:start w:val="1"/>
      <w:numFmt w:val="decimal"/>
      <w:lvlText w:val="%1.%2"/>
      <w:lvlJc w:val="left"/>
      <w:pPr>
        <w:ind w:left="740" w:hanging="600"/>
      </w:pPr>
      <w:rPr>
        <w:rFonts w:hint="default"/>
        <w:sz w:val="21"/>
      </w:rPr>
    </w:lvl>
    <w:lvl w:ilvl="2">
      <w:start w:val="3"/>
      <w:numFmt w:val="decimal"/>
      <w:lvlText w:val="%1.%2.%3"/>
      <w:lvlJc w:val="left"/>
      <w:pPr>
        <w:ind w:left="1000" w:hanging="720"/>
      </w:pPr>
      <w:rPr>
        <w:rFonts w:hint="default"/>
        <w:sz w:val="21"/>
      </w:rPr>
    </w:lvl>
    <w:lvl w:ilvl="3">
      <w:start w:val="1"/>
      <w:numFmt w:val="decimal"/>
      <w:lvlText w:val="%1.%2.%3.%4"/>
      <w:lvlJc w:val="left"/>
      <w:pPr>
        <w:ind w:left="1140" w:hanging="720"/>
      </w:pPr>
      <w:rPr>
        <w:rFonts w:hint="default"/>
        <w:sz w:val="21"/>
      </w:rPr>
    </w:lvl>
    <w:lvl w:ilvl="4">
      <w:start w:val="1"/>
      <w:numFmt w:val="decimal"/>
      <w:lvlText w:val="%1.%2.%3.%4.%5"/>
      <w:lvlJc w:val="left"/>
      <w:pPr>
        <w:ind w:left="1640" w:hanging="1080"/>
      </w:pPr>
      <w:rPr>
        <w:rFonts w:hint="default"/>
        <w:sz w:val="21"/>
      </w:rPr>
    </w:lvl>
    <w:lvl w:ilvl="5">
      <w:start w:val="1"/>
      <w:numFmt w:val="decimal"/>
      <w:lvlText w:val="%1.%2.%3.%4.%5.%6"/>
      <w:lvlJc w:val="left"/>
      <w:pPr>
        <w:ind w:left="1780" w:hanging="1080"/>
      </w:pPr>
      <w:rPr>
        <w:rFonts w:hint="default"/>
        <w:sz w:val="21"/>
      </w:rPr>
    </w:lvl>
    <w:lvl w:ilvl="6">
      <w:start w:val="1"/>
      <w:numFmt w:val="decimal"/>
      <w:lvlText w:val="%1.%2.%3.%4.%5.%6.%7"/>
      <w:lvlJc w:val="left"/>
      <w:pPr>
        <w:ind w:left="2280" w:hanging="1440"/>
      </w:pPr>
      <w:rPr>
        <w:rFonts w:hint="default"/>
        <w:sz w:val="21"/>
      </w:rPr>
    </w:lvl>
    <w:lvl w:ilvl="7">
      <w:start w:val="1"/>
      <w:numFmt w:val="decimal"/>
      <w:lvlText w:val="%1.%2.%3.%4.%5.%6.%7.%8"/>
      <w:lvlJc w:val="left"/>
      <w:pPr>
        <w:ind w:left="2420" w:hanging="1440"/>
      </w:pPr>
      <w:rPr>
        <w:rFonts w:hint="default"/>
        <w:sz w:val="21"/>
      </w:rPr>
    </w:lvl>
    <w:lvl w:ilvl="8">
      <w:start w:val="1"/>
      <w:numFmt w:val="decimal"/>
      <w:lvlText w:val="%1.%2.%3.%4.%5.%6.%7.%8.%9"/>
      <w:lvlJc w:val="left"/>
      <w:pPr>
        <w:ind w:left="2560" w:hanging="1440"/>
      </w:pPr>
      <w:rPr>
        <w:rFonts w:hint="default"/>
        <w:sz w:val="21"/>
      </w:rPr>
    </w:lvl>
  </w:abstractNum>
  <w:abstractNum w:abstractNumId="27" w15:restartNumberingAfterBreak="0">
    <w:nsid w:val="69EE1FED"/>
    <w:multiLevelType w:val="multilevel"/>
    <w:tmpl w:val="1D92CD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BF61224"/>
    <w:multiLevelType w:val="hybridMultilevel"/>
    <w:tmpl w:val="5BC88ACE"/>
    <w:lvl w:ilvl="0" w:tplc="DB304BE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EA92737"/>
    <w:multiLevelType w:val="multilevel"/>
    <w:tmpl w:val="46F6C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821A68"/>
    <w:multiLevelType w:val="multilevel"/>
    <w:tmpl w:val="59A22D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31113AD"/>
    <w:multiLevelType w:val="multilevel"/>
    <w:tmpl w:val="46F6CD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4787993"/>
    <w:multiLevelType w:val="multilevel"/>
    <w:tmpl w:val="BC3851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AD526D"/>
    <w:multiLevelType w:val="hybridMultilevel"/>
    <w:tmpl w:val="AFCCA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75257E8"/>
    <w:multiLevelType w:val="multilevel"/>
    <w:tmpl w:val="5EFA38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15:restartNumberingAfterBreak="0">
    <w:nsid w:val="77831FE8"/>
    <w:multiLevelType w:val="hybridMultilevel"/>
    <w:tmpl w:val="364E9ECA"/>
    <w:lvl w:ilvl="0" w:tplc="BFB65A0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795458BA"/>
    <w:multiLevelType w:val="hybridMultilevel"/>
    <w:tmpl w:val="A70E49CE"/>
    <w:lvl w:ilvl="0" w:tplc="F9665A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805D67"/>
    <w:multiLevelType w:val="multilevel"/>
    <w:tmpl w:val="239C88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decimal"/>
      <w:pStyle w:val="3"/>
      <w:lvlText w:val="%3"/>
      <w:lvlJc w:val="left"/>
      <w:pPr>
        <w:ind w:left="720" w:hanging="720"/>
      </w:pPr>
    </w:lvl>
    <w:lvl w:ilvl="3">
      <w:start w:val="1"/>
      <w:numFmt w:val="decimal"/>
      <w:pStyle w:val="4"/>
      <w:lvlText w:val="%3.%4"/>
      <w:lvlJc w:val="left"/>
      <w:pPr>
        <w:ind w:left="864" w:hanging="864"/>
      </w:pPr>
    </w:lvl>
    <w:lvl w:ilvl="4">
      <w:start w:val="1"/>
      <w:numFmt w:val="decimal"/>
      <w:pStyle w:val="5"/>
      <w:lvlText w:val="%3.%4.%5"/>
      <w:lvlJc w:val="left"/>
      <w:pPr>
        <w:ind w:left="1008" w:hanging="1008"/>
      </w:pPr>
    </w:lvl>
    <w:lvl w:ilvl="5">
      <w:start w:val="1"/>
      <w:numFmt w:val="decimal"/>
      <w:pStyle w:val="6"/>
      <w:lvlText w:val="%3.%4.%5.%6"/>
      <w:lvlJc w:val="left"/>
      <w:pPr>
        <w:ind w:left="1152" w:hanging="1152"/>
      </w:pPr>
    </w:lvl>
    <w:lvl w:ilvl="6">
      <w:start w:val="1"/>
      <w:numFmt w:val="decimal"/>
      <w:pStyle w:val="7"/>
      <w:lvlText w:val="%3.%4.%5.%6.%7"/>
      <w:lvlJc w:val="left"/>
      <w:pPr>
        <w:ind w:left="1296" w:hanging="1296"/>
      </w:pPr>
    </w:lvl>
    <w:lvl w:ilvl="7">
      <w:start w:val="1"/>
      <w:numFmt w:val="decimal"/>
      <w:pStyle w:val="8"/>
      <w:lvlText w:val="%3.%4.%5.%6.%7.%8"/>
      <w:lvlJc w:val="left"/>
      <w:pPr>
        <w:ind w:left="1440" w:hanging="1440"/>
      </w:pPr>
    </w:lvl>
    <w:lvl w:ilvl="8">
      <w:start w:val="1"/>
      <w:numFmt w:val="decimal"/>
      <w:pStyle w:val="9"/>
      <w:lvlText w:val="%3.%4.%5.%6.%7.%8.%9"/>
      <w:lvlJc w:val="left"/>
      <w:pPr>
        <w:ind w:left="1584" w:hanging="1584"/>
      </w:pPr>
    </w:lvl>
  </w:abstractNum>
  <w:abstractNum w:abstractNumId="38" w15:restartNumberingAfterBreak="0">
    <w:nsid w:val="7F941F35"/>
    <w:multiLevelType w:val="hybridMultilevel"/>
    <w:tmpl w:val="4434F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DA0FEF"/>
    <w:multiLevelType w:val="hybridMultilevel"/>
    <w:tmpl w:val="7A70A622"/>
    <w:lvl w:ilvl="0" w:tplc="3586AA5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7FE375EA"/>
    <w:multiLevelType w:val="hybridMultilevel"/>
    <w:tmpl w:val="307A1594"/>
    <w:lvl w:ilvl="0" w:tplc="7666AF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7"/>
  </w:num>
  <w:num w:numId="2">
    <w:abstractNumId w:val="7"/>
  </w:num>
  <w:num w:numId="3">
    <w:abstractNumId w:val="3"/>
  </w:num>
  <w:num w:numId="4">
    <w:abstractNumId w:val="27"/>
  </w:num>
  <w:num w:numId="5">
    <w:abstractNumId w:val="32"/>
  </w:num>
  <w:num w:numId="6">
    <w:abstractNumId w:val="31"/>
  </w:num>
  <w:num w:numId="7">
    <w:abstractNumId w:val="29"/>
  </w:num>
  <w:num w:numId="8">
    <w:abstractNumId w:val="18"/>
  </w:num>
  <w:num w:numId="9">
    <w:abstractNumId w:val="30"/>
  </w:num>
  <w:num w:numId="10">
    <w:abstractNumId w:val="22"/>
  </w:num>
  <w:num w:numId="11">
    <w:abstractNumId w:val="38"/>
  </w:num>
  <w:num w:numId="12">
    <w:abstractNumId w:val="24"/>
  </w:num>
  <w:num w:numId="13">
    <w:abstractNumId w:val="39"/>
  </w:num>
  <w:num w:numId="14">
    <w:abstractNumId w:val="17"/>
  </w:num>
  <w:num w:numId="15">
    <w:abstractNumId w:val="12"/>
  </w:num>
  <w:num w:numId="16">
    <w:abstractNumId w:val="28"/>
  </w:num>
  <w:num w:numId="17">
    <w:abstractNumId w:val="21"/>
  </w:num>
  <w:num w:numId="18">
    <w:abstractNumId w:val="20"/>
  </w:num>
  <w:num w:numId="19">
    <w:abstractNumId w:val="10"/>
  </w:num>
  <w:num w:numId="20">
    <w:abstractNumId w:val="33"/>
  </w:num>
  <w:num w:numId="21">
    <w:abstractNumId w:val="36"/>
  </w:num>
  <w:num w:numId="22">
    <w:abstractNumId w:val="19"/>
  </w:num>
  <w:num w:numId="23">
    <w:abstractNumId w:val="9"/>
  </w:num>
  <w:num w:numId="24">
    <w:abstractNumId w:val="16"/>
  </w:num>
  <w:num w:numId="25">
    <w:abstractNumId w:val="23"/>
  </w:num>
  <w:num w:numId="26">
    <w:abstractNumId w:val="15"/>
  </w:num>
  <w:num w:numId="27">
    <w:abstractNumId w:val="0"/>
  </w:num>
  <w:num w:numId="28">
    <w:abstractNumId w:val="1"/>
  </w:num>
  <w:num w:numId="29">
    <w:abstractNumId w:val="35"/>
  </w:num>
  <w:num w:numId="30">
    <w:abstractNumId w:val="40"/>
  </w:num>
  <w:num w:numId="31">
    <w:abstractNumId w:val="8"/>
  </w:num>
  <w:num w:numId="32">
    <w:abstractNumId w:val="34"/>
  </w:num>
  <w:num w:numId="33">
    <w:abstractNumId w:val="6"/>
  </w:num>
  <w:num w:numId="34">
    <w:abstractNumId w:val="4"/>
  </w:num>
  <w:num w:numId="35">
    <w:abstractNumId w:val="14"/>
  </w:num>
  <w:num w:numId="36">
    <w:abstractNumId w:val="37"/>
  </w:num>
  <w:num w:numId="37">
    <w:abstractNumId w:val="37"/>
  </w:num>
  <w:num w:numId="38">
    <w:abstractNumId w:val="37"/>
  </w:num>
  <w:num w:numId="39">
    <w:abstractNumId w:val="37"/>
  </w:num>
  <w:num w:numId="40">
    <w:abstractNumId w:val="37"/>
  </w:num>
  <w:num w:numId="41">
    <w:abstractNumId w:val="26"/>
  </w:num>
  <w:num w:numId="42">
    <w:abstractNumId w:val="37"/>
  </w:num>
  <w:num w:numId="43">
    <w:abstractNumId w:val="25"/>
  </w:num>
  <w:num w:numId="44">
    <w:abstractNumId w:val="37"/>
  </w:num>
  <w:num w:numId="45">
    <w:abstractNumId w:val="11"/>
  </w:num>
  <w:num w:numId="46">
    <w:abstractNumId w:val="2"/>
  </w:num>
  <w:num w:numId="47">
    <w:abstractNumId w:val="13"/>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52vztfdw0aeeett015es0ft0dafsefxatv&quot;&gt;Std&lt;record-ids&gt;&lt;item&gt;3&lt;/item&gt;&lt;item&gt;16&lt;/item&gt;&lt;item&gt;17&lt;/item&gt;&lt;item&gt;88&lt;/item&gt;&lt;/record-ids&gt;&lt;/item&gt;&lt;/Libraries&gt;"/>
  </w:docVars>
  <w:rsids>
    <w:rsidRoot w:val="000C1E27"/>
    <w:rsid w:val="00002090"/>
    <w:rsid w:val="00012C58"/>
    <w:rsid w:val="00017EE7"/>
    <w:rsid w:val="00020EB6"/>
    <w:rsid w:val="000276BB"/>
    <w:rsid w:val="000358E9"/>
    <w:rsid w:val="00042ADD"/>
    <w:rsid w:val="00052B68"/>
    <w:rsid w:val="00054FBB"/>
    <w:rsid w:val="00057A5A"/>
    <w:rsid w:val="0006793A"/>
    <w:rsid w:val="0007052E"/>
    <w:rsid w:val="00085A8B"/>
    <w:rsid w:val="00090943"/>
    <w:rsid w:val="000913C8"/>
    <w:rsid w:val="000946A0"/>
    <w:rsid w:val="000A133D"/>
    <w:rsid w:val="000B3D06"/>
    <w:rsid w:val="000B6EF1"/>
    <w:rsid w:val="000C132B"/>
    <w:rsid w:val="000C1E27"/>
    <w:rsid w:val="000C47DE"/>
    <w:rsid w:val="000C5272"/>
    <w:rsid w:val="000E0826"/>
    <w:rsid w:val="000E754D"/>
    <w:rsid w:val="000F54A7"/>
    <w:rsid w:val="0010114C"/>
    <w:rsid w:val="001039F7"/>
    <w:rsid w:val="00106D18"/>
    <w:rsid w:val="00120620"/>
    <w:rsid w:val="0012403E"/>
    <w:rsid w:val="00134B95"/>
    <w:rsid w:val="001379DB"/>
    <w:rsid w:val="00150D93"/>
    <w:rsid w:val="0016676E"/>
    <w:rsid w:val="00177314"/>
    <w:rsid w:val="00181872"/>
    <w:rsid w:val="001A0BFC"/>
    <w:rsid w:val="001B67FC"/>
    <w:rsid w:val="001C1BF1"/>
    <w:rsid w:val="001C3D54"/>
    <w:rsid w:val="001D18D5"/>
    <w:rsid w:val="001E10EA"/>
    <w:rsid w:val="001E11D5"/>
    <w:rsid w:val="001E283D"/>
    <w:rsid w:val="001E7ED7"/>
    <w:rsid w:val="00207914"/>
    <w:rsid w:val="00207A5D"/>
    <w:rsid w:val="00214EFC"/>
    <w:rsid w:val="002179D4"/>
    <w:rsid w:val="00222621"/>
    <w:rsid w:val="00237094"/>
    <w:rsid w:val="00250F9F"/>
    <w:rsid w:val="00261CC0"/>
    <w:rsid w:val="00287F96"/>
    <w:rsid w:val="00290054"/>
    <w:rsid w:val="0029142D"/>
    <w:rsid w:val="00292F32"/>
    <w:rsid w:val="00296E70"/>
    <w:rsid w:val="002A0A7E"/>
    <w:rsid w:val="002B4D6B"/>
    <w:rsid w:val="002C47AA"/>
    <w:rsid w:val="002C47B0"/>
    <w:rsid w:val="002C6203"/>
    <w:rsid w:val="002D0A33"/>
    <w:rsid w:val="002D4769"/>
    <w:rsid w:val="002D7B00"/>
    <w:rsid w:val="002E0E2A"/>
    <w:rsid w:val="002E51A7"/>
    <w:rsid w:val="002F0B87"/>
    <w:rsid w:val="003004CC"/>
    <w:rsid w:val="00305E0F"/>
    <w:rsid w:val="0031207F"/>
    <w:rsid w:val="00320142"/>
    <w:rsid w:val="00325314"/>
    <w:rsid w:val="00325DDE"/>
    <w:rsid w:val="00326ADA"/>
    <w:rsid w:val="00332EE5"/>
    <w:rsid w:val="00347033"/>
    <w:rsid w:val="00352F81"/>
    <w:rsid w:val="003531C3"/>
    <w:rsid w:val="00382DB3"/>
    <w:rsid w:val="00383CE4"/>
    <w:rsid w:val="003860E6"/>
    <w:rsid w:val="003A0898"/>
    <w:rsid w:val="003B13D6"/>
    <w:rsid w:val="003B1C82"/>
    <w:rsid w:val="003C689B"/>
    <w:rsid w:val="003D062C"/>
    <w:rsid w:val="003D2A99"/>
    <w:rsid w:val="003D42B0"/>
    <w:rsid w:val="003D75BB"/>
    <w:rsid w:val="003E124A"/>
    <w:rsid w:val="003E3C96"/>
    <w:rsid w:val="003F524C"/>
    <w:rsid w:val="003F74A2"/>
    <w:rsid w:val="004068BF"/>
    <w:rsid w:val="0041702B"/>
    <w:rsid w:val="00423365"/>
    <w:rsid w:val="004239E2"/>
    <w:rsid w:val="00426B50"/>
    <w:rsid w:val="0042737A"/>
    <w:rsid w:val="004317DE"/>
    <w:rsid w:val="00432722"/>
    <w:rsid w:val="0043771F"/>
    <w:rsid w:val="00437C38"/>
    <w:rsid w:val="00442DAA"/>
    <w:rsid w:val="0044366D"/>
    <w:rsid w:val="0044512E"/>
    <w:rsid w:val="004535AC"/>
    <w:rsid w:val="004549E4"/>
    <w:rsid w:val="00454DF4"/>
    <w:rsid w:val="004556F0"/>
    <w:rsid w:val="004645E3"/>
    <w:rsid w:val="004735A4"/>
    <w:rsid w:val="00475A75"/>
    <w:rsid w:val="004777C0"/>
    <w:rsid w:val="004841AC"/>
    <w:rsid w:val="004877E4"/>
    <w:rsid w:val="004A0253"/>
    <w:rsid w:val="004A0DAC"/>
    <w:rsid w:val="004A4CC7"/>
    <w:rsid w:val="004A6FEE"/>
    <w:rsid w:val="004B1717"/>
    <w:rsid w:val="004B495F"/>
    <w:rsid w:val="004B4CE7"/>
    <w:rsid w:val="004B5AD5"/>
    <w:rsid w:val="004C0924"/>
    <w:rsid w:val="004D051B"/>
    <w:rsid w:val="004D174E"/>
    <w:rsid w:val="004E249D"/>
    <w:rsid w:val="004E320A"/>
    <w:rsid w:val="004E461F"/>
    <w:rsid w:val="004E4863"/>
    <w:rsid w:val="005018D0"/>
    <w:rsid w:val="00502765"/>
    <w:rsid w:val="00504709"/>
    <w:rsid w:val="005248E0"/>
    <w:rsid w:val="005342CB"/>
    <w:rsid w:val="00534EF8"/>
    <w:rsid w:val="00534FD0"/>
    <w:rsid w:val="005368E4"/>
    <w:rsid w:val="00547718"/>
    <w:rsid w:val="00553752"/>
    <w:rsid w:val="00566759"/>
    <w:rsid w:val="00570CE9"/>
    <w:rsid w:val="00574FD0"/>
    <w:rsid w:val="00592904"/>
    <w:rsid w:val="005951B5"/>
    <w:rsid w:val="005B0851"/>
    <w:rsid w:val="005B0D36"/>
    <w:rsid w:val="005C2739"/>
    <w:rsid w:val="005C3E84"/>
    <w:rsid w:val="005D5118"/>
    <w:rsid w:val="005E0904"/>
    <w:rsid w:val="005F0877"/>
    <w:rsid w:val="005F2683"/>
    <w:rsid w:val="006045E8"/>
    <w:rsid w:val="0061061C"/>
    <w:rsid w:val="00620826"/>
    <w:rsid w:val="006222DD"/>
    <w:rsid w:val="00637CAA"/>
    <w:rsid w:val="0064536A"/>
    <w:rsid w:val="00647DDE"/>
    <w:rsid w:val="00656569"/>
    <w:rsid w:val="00657CCB"/>
    <w:rsid w:val="00662F7F"/>
    <w:rsid w:val="00672958"/>
    <w:rsid w:val="006A115E"/>
    <w:rsid w:val="006A2654"/>
    <w:rsid w:val="006A5586"/>
    <w:rsid w:val="006A5F17"/>
    <w:rsid w:val="006C1910"/>
    <w:rsid w:val="006C1ABE"/>
    <w:rsid w:val="006C2A3A"/>
    <w:rsid w:val="006C5AEF"/>
    <w:rsid w:val="006C6755"/>
    <w:rsid w:val="006D2C87"/>
    <w:rsid w:val="006D7305"/>
    <w:rsid w:val="006E2A71"/>
    <w:rsid w:val="006E2FDD"/>
    <w:rsid w:val="006E3A1B"/>
    <w:rsid w:val="006F04D2"/>
    <w:rsid w:val="006F6595"/>
    <w:rsid w:val="006F6E47"/>
    <w:rsid w:val="006F7BBA"/>
    <w:rsid w:val="007154A8"/>
    <w:rsid w:val="00715861"/>
    <w:rsid w:val="007174D4"/>
    <w:rsid w:val="00717EB9"/>
    <w:rsid w:val="00722106"/>
    <w:rsid w:val="007240C3"/>
    <w:rsid w:val="007378D1"/>
    <w:rsid w:val="00746424"/>
    <w:rsid w:val="00747822"/>
    <w:rsid w:val="00760564"/>
    <w:rsid w:val="00763922"/>
    <w:rsid w:val="0076436A"/>
    <w:rsid w:val="007644B1"/>
    <w:rsid w:val="0076736A"/>
    <w:rsid w:val="007703D2"/>
    <w:rsid w:val="0077284C"/>
    <w:rsid w:val="007827DF"/>
    <w:rsid w:val="007A1AED"/>
    <w:rsid w:val="007A2DF0"/>
    <w:rsid w:val="007A7069"/>
    <w:rsid w:val="007B1B72"/>
    <w:rsid w:val="007B3675"/>
    <w:rsid w:val="007C0781"/>
    <w:rsid w:val="007C103B"/>
    <w:rsid w:val="007D112F"/>
    <w:rsid w:val="007E3E96"/>
    <w:rsid w:val="007E479D"/>
    <w:rsid w:val="007E515B"/>
    <w:rsid w:val="007E72ED"/>
    <w:rsid w:val="008000DC"/>
    <w:rsid w:val="00800E04"/>
    <w:rsid w:val="00802AC0"/>
    <w:rsid w:val="00811FE1"/>
    <w:rsid w:val="00814A26"/>
    <w:rsid w:val="00822349"/>
    <w:rsid w:val="008230D9"/>
    <w:rsid w:val="00835B03"/>
    <w:rsid w:val="0084302E"/>
    <w:rsid w:val="0086278A"/>
    <w:rsid w:val="008763B5"/>
    <w:rsid w:val="00884080"/>
    <w:rsid w:val="008842AE"/>
    <w:rsid w:val="0088564C"/>
    <w:rsid w:val="00885ED0"/>
    <w:rsid w:val="00886D50"/>
    <w:rsid w:val="008907AC"/>
    <w:rsid w:val="008931D7"/>
    <w:rsid w:val="00894129"/>
    <w:rsid w:val="008964A0"/>
    <w:rsid w:val="008A16BF"/>
    <w:rsid w:val="008A7B04"/>
    <w:rsid w:val="008C3811"/>
    <w:rsid w:val="008D01B1"/>
    <w:rsid w:val="008D6183"/>
    <w:rsid w:val="008E4F1E"/>
    <w:rsid w:val="008E623C"/>
    <w:rsid w:val="008F16A7"/>
    <w:rsid w:val="008F1F91"/>
    <w:rsid w:val="008F701B"/>
    <w:rsid w:val="008F7E80"/>
    <w:rsid w:val="009106B5"/>
    <w:rsid w:val="0091453C"/>
    <w:rsid w:val="0091605F"/>
    <w:rsid w:val="00925A5B"/>
    <w:rsid w:val="00930688"/>
    <w:rsid w:val="00935AA9"/>
    <w:rsid w:val="00937FAD"/>
    <w:rsid w:val="00956ECC"/>
    <w:rsid w:val="00963F64"/>
    <w:rsid w:val="00965ECF"/>
    <w:rsid w:val="009669F6"/>
    <w:rsid w:val="00971C29"/>
    <w:rsid w:val="009727FD"/>
    <w:rsid w:val="009A0473"/>
    <w:rsid w:val="009A0C15"/>
    <w:rsid w:val="009A47CF"/>
    <w:rsid w:val="009A6584"/>
    <w:rsid w:val="009B21BD"/>
    <w:rsid w:val="009B570D"/>
    <w:rsid w:val="009B71AB"/>
    <w:rsid w:val="009B7E67"/>
    <w:rsid w:val="009C01CF"/>
    <w:rsid w:val="009C0539"/>
    <w:rsid w:val="009C31EF"/>
    <w:rsid w:val="009C4DDD"/>
    <w:rsid w:val="009D5752"/>
    <w:rsid w:val="009D66D8"/>
    <w:rsid w:val="009F6390"/>
    <w:rsid w:val="009F71D8"/>
    <w:rsid w:val="00A0558A"/>
    <w:rsid w:val="00A070DC"/>
    <w:rsid w:val="00A07BD3"/>
    <w:rsid w:val="00A155EA"/>
    <w:rsid w:val="00A15DF9"/>
    <w:rsid w:val="00A17759"/>
    <w:rsid w:val="00A208F3"/>
    <w:rsid w:val="00A22B42"/>
    <w:rsid w:val="00A35EEE"/>
    <w:rsid w:val="00A37246"/>
    <w:rsid w:val="00A40127"/>
    <w:rsid w:val="00A40648"/>
    <w:rsid w:val="00A41F56"/>
    <w:rsid w:val="00A47CE9"/>
    <w:rsid w:val="00A54793"/>
    <w:rsid w:val="00A65142"/>
    <w:rsid w:val="00A66D2D"/>
    <w:rsid w:val="00A7508E"/>
    <w:rsid w:val="00A76179"/>
    <w:rsid w:val="00A80F2F"/>
    <w:rsid w:val="00A81E9B"/>
    <w:rsid w:val="00A849A3"/>
    <w:rsid w:val="00A84F23"/>
    <w:rsid w:val="00A85B50"/>
    <w:rsid w:val="00A931E2"/>
    <w:rsid w:val="00A93BB1"/>
    <w:rsid w:val="00A93F20"/>
    <w:rsid w:val="00A97B57"/>
    <w:rsid w:val="00AA63CD"/>
    <w:rsid w:val="00AB5229"/>
    <w:rsid w:val="00AC62B1"/>
    <w:rsid w:val="00AD1226"/>
    <w:rsid w:val="00AE18B8"/>
    <w:rsid w:val="00AF53B8"/>
    <w:rsid w:val="00B00FC1"/>
    <w:rsid w:val="00B15BAD"/>
    <w:rsid w:val="00B26EE8"/>
    <w:rsid w:val="00B276BF"/>
    <w:rsid w:val="00B349D7"/>
    <w:rsid w:val="00B420BF"/>
    <w:rsid w:val="00B42D87"/>
    <w:rsid w:val="00B439FA"/>
    <w:rsid w:val="00B47D7D"/>
    <w:rsid w:val="00B53171"/>
    <w:rsid w:val="00B54E83"/>
    <w:rsid w:val="00B558A2"/>
    <w:rsid w:val="00B565D5"/>
    <w:rsid w:val="00B577B6"/>
    <w:rsid w:val="00B6054B"/>
    <w:rsid w:val="00B61494"/>
    <w:rsid w:val="00B759E7"/>
    <w:rsid w:val="00B76719"/>
    <w:rsid w:val="00B77FE7"/>
    <w:rsid w:val="00B77FFB"/>
    <w:rsid w:val="00B80A06"/>
    <w:rsid w:val="00B83425"/>
    <w:rsid w:val="00B844A5"/>
    <w:rsid w:val="00B90668"/>
    <w:rsid w:val="00B9157B"/>
    <w:rsid w:val="00B92C00"/>
    <w:rsid w:val="00BA0620"/>
    <w:rsid w:val="00BC6D17"/>
    <w:rsid w:val="00BD1571"/>
    <w:rsid w:val="00BD73FB"/>
    <w:rsid w:val="00BD7FE6"/>
    <w:rsid w:val="00BE3FCD"/>
    <w:rsid w:val="00BE5C91"/>
    <w:rsid w:val="00BF77C8"/>
    <w:rsid w:val="00C06525"/>
    <w:rsid w:val="00C10E2C"/>
    <w:rsid w:val="00C2098B"/>
    <w:rsid w:val="00C211F9"/>
    <w:rsid w:val="00C33F88"/>
    <w:rsid w:val="00C414F7"/>
    <w:rsid w:val="00C419F6"/>
    <w:rsid w:val="00C469C1"/>
    <w:rsid w:val="00C478D6"/>
    <w:rsid w:val="00C71143"/>
    <w:rsid w:val="00C73766"/>
    <w:rsid w:val="00C77361"/>
    <w:rsid w:val="00C83DC3"/>
    <w:rsid w:val="00C853ED"/>
    <w:rsid w:val="00C85E9F"/>
    <w:rsid w:val="00C94C93"/>
    <w:rsid w:val="00CA5DCE"/>
    <w:rsid w:val="00CB1697"/>
    <w:rsid w:val="00CB5276"/>
    <w:rsid w:val="00CC5E22"/>
    <w:rsid w:val="00CC67F8"/>
    <w:rsid w:val="00CD14BB"/>
    <w:rsid w:val="00CD3D2B"/>
    <w:rsid w:val="00CD5AB7"/>
    <w:rsid w:val="00CD6A0D"/>
    <w:rsid w:val="00CE0FB3"/>
    <w:rsid w:val="00CE5A67"/>
    <w:rsid w:val="00CE6C88"/>
    <w:rsid w:val="00CF2524"/>
    <w:rsid w:val="00CF51A2"/>
    <w:rsid w:val="00CF5CDD"/>
    <w:rsid w:val="00D03807"/>
    <w:rsid w:val="00D1453B"/>
    <w:rsid w:val="00D16E33"/>
    <w:rsid w:val="00D1798B"/>
    <w:rsid w:val="00D20D7C"/>
    <w:rsid w:val="00D22D49"/>
    <w:rsid w:val="00D268AC"/>
    <w:rsid w:val="00D31172"/>
    <w:rsid w:val="00D32BB4"/>
    <w:rsid w:val="00D50F1D"/>
    <w:rsid w:val="00D61A6B"/>
    <w:rsid w:val="00D8299F"/>
    <w:rsid w:val="00D86B81"/>
    <w:rsid w:val="00DA3B56"/>
    <w:rsid w:val="00DA61EF"/>
    <w:rsid w:val="00DB312E"/>
    <w:rsid w:val="00DC2FE6"/>
    <w:rsid w:val="00DC7A9D"/>
    <w:rsid w:val="00DD6A02"/>
    <w:rsid w:val="00DE583D"/>
    <w:rsid w:val="00DF3142"/>
    <w:rsid w:val="00DF6F0D"/>
    <w:rsid w:val="00DF75A3"/>
    <w:rsid w:val="00E0195B"/>
    <w:rsid w:val="00E23717"/>
    <w:rsid w:val="00E25BC0"/>
    <w:rsid w:val="00E309AB"/>
    <w:rsid w:val="00E5210D"/>
    <w:rsid w:val="00E54135"/>
    <w:rsid w:val="00E5746C"/>
    <w:rsid w:val="00E726C0"/>
    <w:rsid w:val="00E77FC2"/>
    <w:rsid w:val="00E80145"/>
    <w:rsid w:val="00E91DD0"/>
    <w:rsid w:val="00E93F0E"/>
    <w:rsid w:val="00E96E4B"/>
    <w:rsid w:val="00EA5423"/>
    <w:rsid w:val="00EA561C"/>
    <w:rsid w:val="00EB0F85"/>
    <w:rsid w:val="00EB68F6"/>
    <w:rsid w:val="00EC2279"/>
    <w:rsid w:val="00EC4845"/>
    <w:rsid w:val="00EC54A8"/>
    <w:rsid w:val="00ED1F2A"/>
    <w:rsid w:val="00ED4B74"/>
    <w:rsid w:val="00EE1478"/>
    <w:rsid w:val="00EE352C"/>
    <w:rsid w:val="00EF0555"/>
    <w:rsid w:val="00EF239E"/>
    <w:rsid w:val="00EF43B5"/>
    <w:rsid w:val="00EF781A"/>
    <w:rsid w:val="00EF7D56"/>
    <w:rsid w:val="00F01C7F"/>
    <w:rsid w:val="00F146BE"/>
    <w:rsid w:val="00F165E3"/>
    <w:rsid w:val="00F32FFD"/>
    <w:rsid w:val="00F36EC8"/>
    <w:rsid w:val="00F4098F"/>
    <w:rsid w:val="00F40EB2"/>
    <w:rsid w:val="00F4206D"/>
    <w:rsid w:val="00F42BC0"/>
    <w:rsid w:val="00F42FDC"/>
    <w:rsid w:val="00F44EC8"/>
    <w:rsid w:val="00F52927"/>
    <w:rsid w:val="00F53606"/>
    <w:rsid w:val="00F57F64"/>
    <w:rsid w:val="00F63B3F"/>
    <w:rsid w:val="00F730A7"/>
    <w:rsid w:val="00F732B0"/>
    <w:rsid w:val="00F74095"/>
    <w:rsid w:val="00F83749"/>
    <w:rsid w:val="00F90B46"/>
    <w:rsid w:val="00F921CE"/>
    <w:rsid w:val="00F929C2"/>
    <w:rsid w:val="00FA4663"/>
    <w:rsid w:val="00FB10FD"/>
    <w:rsid w:val="00FB69CA"/>
    <w:rsid w:val="00FC5765"/>
    <w:rsid w:val="00FC7038"/>
    <w:rsid w:val="00FD2C93"/>
    <w:rsid w:val="00FD6FC6"/>
    <w:rsid w:val="00FE3359"/>
    <w:rsid w:val="00FE5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9C08C"/>
  <w15:chartTrackingRefBased/>
  <w15:docId w15:val="{0627B68F-60B0-4765-A960-9E4F5DE8D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kern w:val="2"/>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58A2"/>
    <w:pPr>
      <w:widowControl w:val="0"/>
      <w:spacing w:before="120" w:after="120"/>
      <w:jc w:val="both"/>
    </w:pPr>
  </w:style>
  <w:style w:type="paragraph" w:styleId="1">
    <w:name w:val="heading 1"/>
    <w:basedOn w:val="a"/>
    <w:next w:val="a"/>
    <w:link w:val="10"/>
    <w:uiPriority w:val="9"/>
    <w:qFormat/>
    <w:rsid w:val="00D32BB4"/>
    <w:pPr>
      <w:keepNext/>
      <w:keepLines/>
      <w:outlineLvl w:val="0"/>
    </w:pPr>
    <w:rPr>
      <w:b/>
      <w:bCs/>
      <w:sz w:val="24"/>
      <w:szCs w:val="24"/>
    </w:rPr>
  </w:style>
  <w:style w:type="paragraph" w:styleId="2">
    <w:name w:val="heading 2"/>
    <w:basedOn w:val="a"/>
    <w:next w:val="a"/>
    <w:link w:val="20"/>
    <w:uiPriority w:val="9"/>
    <w:unhideWhenUsed/>
    <w:qFormat/>
    <w:rsid w:val="00D32BB4"/>
    <w:pPr>
      <w:keepNext/>
      <w:keepLines/>
      <w:outlineLvl w:val="1"/>
    </w:pPr>
    <w:rPr>
      <w:rFonts w:eastAsiaTheme="majorEastAsia"/>
      <w:i/>
      <w:iCs/>
    </w:rPr>
  </w:style>
  <w:style w:type="paragraph" w:styleId="3">
    <w:name w:val="heading 3"/>
    <w:basedOn w:val="a"/>
    <w:next w:val="a"/>
    <w:link w:val="30"/>
    <w:uiPriority w:val="9"/>
    <w:unhideWhenUsed/>
    <w:qFormat/>
    <w:rsid w:val="00D32BB4"/>
    <w:pPr>
      <w:keepNext/>
      <w:keepLines/>
      <w:numPr>
        <w:ilvl w:val="2"/>
        <w:numId w:val="1"/>
      </w:numPr>
      <w:spacing w:before="0" w:after="0" w:line="415" w:lineRule="auto"/>
      <w:outlineLvl w:val="2"/>
    </w:pPr>
    <w:rPr>
      <w:bCs/>
      <w:i/>
      <w:sz w:val="21"/>
      <w:szCs w:val="32"/>
      <w:u w:val="single"/>
    </w:rPr>
  </w:style>
  <w:style w:type="paragraph" w:styleId="4">
    <w:name w:val="heading 4"/>
    <w:basedOn w:val="a"/>
    <w:next w:val="a"/>
    <w:link w:val="40"/>
    <w:uiPriority w:val="9"/>
    <w:semiHidden/>
    <w:unhideWhenUsed/>
    <w:qFormat/>
    <w:rsid w:val="00A35EEE"/>
    <w:pPr>
      <w:keepNext/>
      <w:keepLines/>
      <w:numPr>
        <w:ilvl w:val="3"/>
        <w:numId w:val="1"/>
      </w:numPr>
      <w:spacing w:before="280" w:after="290" w:line="374"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semiHidden/>
    <w:unhideWhenUsed/>
    <w:qFormat/>
    <w:rsid w:val="00A35EEE"/>
    <w:pPr>
      <w:keepNext/>
      <w:keepLines/>
      <w:numPr>
        <w:ilvl w:val="4"/>
        <w:numId w:val="1"/>
      </w:numPr>
      <w:spacing w:before="280" w:after="290" w:line="374" w:lineRule="auto"/>
      <w:outlineLvl w:val="4"/>
    </w:pPr>
    <w:rPr>
      <w:b/>
      <w:bCs/>
      <w:sz w:val="28"/>
      <w:szCs w:val="28"/>
    </w:rPr>
  </w:style>
  <w:style w:type="paragraph" w:styleId="6">
    <w:name w:val="heading 6"/>
    <w:basedOn w:val="a"/>
    <w:next w:val="a"/>
    <w:link w:val="60"/>
    <w:uiPriority w:val="9"/>
    <w:semiHidden/>
    <w:unhideWhenUsed/>
    <w:qFormat/>
    <w:rsid w:val="00A35EE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A35EE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0"/>
    <w:uiPriority w:val="9"/>
    <w:semiHidden/>
    <w:unhideWhenUsed/>
    <w:qFormat/>
    <w:rsid w:val="00A35EE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A35EEE"/>
    <w:pPr>
      <w:keepNext/>
      <w:keepLines/>
      <w:numPr>
        <w:ilvl w:val="8"/>
        <w:numId w:val="1"/>
      </w:numPr>
      <w:spacing w:before="240" w:after="64" w:line="319"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35EE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A35EEE"/>
    <w:rPr>
      <w:sz w:val="18"/>
      <w:szCs w:val="18"/>
    </w:rPr>
  </w:style>
  <w:style w:type="paragraph" w:styleId="a5">
    <w:name w:val="footer"/>
    <w:basedOn w:val="a"/>
    <w:link w:val="a6"/>
    <w:uiPriority w:val="99"/>
    <w:unhideWhenUsed/>
    <w:rsid w:val="00A35EEE"/>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A35EEE"/>
    <w:rPr>
      <w:sz w:val="18"/>
      <w:szCs w:val="18"/>
    </w:rPr>
  </w:style>
  <w:style w:type="paragraph" w:styleId="a7">
    <w:name w:val="Balloon Text"/>
    <w:basedOn w:val="a"/>
    <w:link w:val="a8"/>
    <w:uiPriority w:val="99"/>
    <w:semiHidden/>
    <w:unhideWhenUsed/>
    <w:qFormat/>
    <w:rsid w:val="00A35EEE"/>
    <w:rPr>
      <w:sz w:val="18"/>
      <w:szCs w:val="18"/>
    </w:rPr>
  </w:style>
  <w:style w:type="character" w:customStyle="1" w:styleId="a8">
    <w:name w:val="批注框文本 字符"/>
    <w:basedOn w:val="a0"/>
    <w:link w:val="a7"/>
    <w:uiPriority w:val="99"/>
    <w:semiHidden/>
    <w:qFormat/>
    <w:rsid w:val="00A35EEE"/>
    <w:rPr>
      <w:sz w:val="18"/>
      <w:szCs w:val="18"/>
    </w:rPr>
  </w:style>
  <w:style w:type="character" w:customStyle="1" w:styleId="10">
    <w:name w:val="标题 1 字符"/>
    <w:basedOn w:val="a0"/>
    <w:link w:val="1"/>
    <w:uiPriority w:val="9"/>
    <w:qFormat/>
    <w:rsid w:val="00D32BB4"/>
    <w:rPr>
      <w:rFonts w:ascii="Times New Roman" w:hAnsi="Times New Roman" w:cs="Calibri"/>
      <w:b/>
      <w:bCs/>
      <w:sz w:val="24"/>
      <w:szCs w:val="24"/>
      <w:lang w:val="en-GB"/>
    </w:rPr>
  </w:style>
  <w:style w:type="character" w:customStyle="1" w:styleId="20">
    <w:name w:val="标题 2 字符"/>
    <w:basedOn w:val="a0"/>
    <w:link w:val="2"/>
    <w:uiPriority w:val="9"/>
    <w:qFormat/>
    <w:rsid w:val="00D32BB4"/>
    <w:rPr>
      <w:rFonts w:ascii="Times New Roman" w:eastAsiaTheme="majorEastAsia" w:hAnsi="Times New Roman" w:cs="Calibri"/>
      <w:i/>
      <w:iCs/>
      <w:sz w:val="22"/>
      <w:lang w:val="en-GB"/>
    </w:rPr>
  </w:style>
  <w:style w:type="character" w:customStyle="1" w:styleId="30">
    <w:name w:val="标题 3 字符"/>
    <w:basedOn w:val="a0"/>
    <w:link w:val="3"/>
    <w:uiPriority w:val="9"/>
    <w:qFormat/>
    <w:rsid w:val="00D32BB4"/>
    <w:rPr>
      <w:rFonts w:ascii="Times New Roman" w:hAnsi="Times New Roman" w:cs="Calibri"/>
      <w:bCs/>
      <w:i/>
      <w:szCs w:val="32"/>
      <w:u w:val="single"/>
      <w:lang w:val="en-GB"/>
    </w:rPr>
  </w:style>
  <w:style w:type="character" w:customStyle="1" w:styleId="40">
    <w:name w:val="标题 4 字符"/>
    <w:basedOn w:val="a0"/>
    <w:link w:val="4"/>
    <w:uiPriority w:val="9"/>
    <w:semiHidden/>
    <w:qFormat/>
    <w:rsid w:val="00A35EEE"/>
    <w:rPr>
      <w:rFonts w:asciiTheme="majorHAnsi" w:eastAsiaTheme="majorEastAsia" w:hAnsiTheme="majorHAnsi" w:cstheme="majorBidi"/>
      <w:b/>
      <w:bCs/>
      <w:sz w:val="28"/>
      <w:szCs w:val="28"/>
      <w:lang w:val="en-GB"/>
    </w:rPr>
  </w:style>
  <w:style w:type="character" w:customStyle="1" w:styleId="50">
    <w:name w:val="标题 5 字符"/>
    <w:basedOn w:val="a0"/>
    <w:link w:val="5"/>
    <w:uiPriority w:val="9"/>
    <w:semiHidden/>
    <w:qFormat/>
    <w:rsid w:val="00A35EEE"/>
    <w:rPr>
      <w:rFonts w:ascii="Calibri" w:hAnsi="Calibri" w:cs="Calibri"/>
      <w:b/>
      <w:bCs/>
      <w:sz w:val="28"/>
      <w:szCs w:val="28"/>
      <w:lang w:val="en-GB"/>
    </w:rPr>
  </w:style>
  <w:style w:type="character" w:customStyle="1" w:styleId="60">
    <w:name w:val="标题 6 字符"/>
    <w:basedOn w:val="a0"/>
    <w:link w:val="6"/>
    <w:uiPriority w:val="9"/>
    <w:semiHidden/>
    <w:qFormat/>
    <w:rsid w:val="00A35EEE"/>
    <w:rPr>
      <w:rFonts w:asciiTheme="majorHAnsi" w:eastAsiaTheme="majorEastAsia" w:hAnsiTheme="majorHAnsi" w:cstheme="majorBidi"/>
      <w:b/>
      <w:bCs/>
      <w:sz w:val="24"/>
      <w:szCs w:val="24"/>
      <w:lang w:val="en-GB"/>
    </w:rPr>
  </w:style>
  <w:style w:type="character" w:customStyle="1" w:styleId="70">
    <w:name w:val="标题 7 字符"/>
    <w:basedOn w:val="a0"/>
    <w:link w:val="7"/>
    <w:uiPriority w:val="9"/>
    <w:semiHidden/>
    <w:qFormat/>
    <w:rsid w:val="00A35EEE"/>
    <w:rPr>
      <w:rFonts w:ascii="Calibri" w:hAnsi="Calibri" w:cs="Calibri"/>
      <w:b/>
      <w:bCs/>
      <w:sz w:val="24"/>
      <w:szCs w:val="24"/>
      <w:lang w:val="en-GB"/>
    </w:rPr>
  </w:style>
  <w:style w:type="character" w:customStyle="1" w:styleId="80">
    <w:name w:val="标题 8 字符"/>
    <w:basedOn w:val="a0"/>
    <w:link w:val="8"/>
    <w:uiPriority w:val="9"/>
    <w:semiHidden/>
    <w:qFormat/>
    <w:rsid w:val="00A35EEE"/>
    <w:rPr>
      <w:rFonts w:asciiTheme="majorHAnsi" w:eastAsiaTheme="majorEastAsia" w:hAnsiTheme="majorHAnsi" w:cstheme="majorBidi"/>
      <w:sz w:val="24"/>
      <w:szCs w:val="24"/>
      <w:lang w:val="en-GB"/>
    </w:rPr>
  </w:style>
  <w:style w:type="character" w:customStyle="1" w:styleId="90">
    <w:name w:val="标题 9 字符"/>
    <w:basedOn w:val="a0"/>
    <w:link w:val="9"/>
    <w:uiPriority w:val="9"/>
    <w:semiHidden/>
    <w:qFormat/>
    <w:rsid w:val="00A35EEE"/>
    <w:rPr>
      <w:rFonts w:asciiTheme="majorHAnsi" w:eastAsiaTheme="majorEastAsia" w:hAnsiTheme="majorHAnsi" w:cstheme="majorBidi"/>
      <w:sz w:val="22"/>
      <w:szCs w:val="21"/>
      <w:lang w:val="en-GB"/>
    </w:rPr>
  </w:style>
  <w:style w:type="character" w:customStyle="1" w:styleId="InternetLink">
    <w:name w:val="Internet Link"/>
    <w:basedOn w:val="a0"/>
    <w:uiPriority w:val="99"/>
    <w:unhideWhenUsed/>
    <w:rsid w:val="00A35EEE"/>
    <w:rPr>
      <w:color w:val="0563C1" w:themeColor="hyperlink"/>
      <w:u w:val="single"/>
    </w:rPr>
  </w:style>
  <w:style w:type="character" w:customStyle="1" w:styleId="a9">
    <w:name w:val="标题 字符"/>
    <w:basedOn w:val="a0"/>
    <w:link w:val="aa"/>
    <w:uiPriority w:val="10"/>
    <w:qFormat/>
    <w:rsid w:val="00BE5C91"/>
    <w:rPr>
      <w:rFonts w:ascii="Times New Roman" w:hAnsi="Times New Roman" w:cs="Calibri"/>
      <w:b/>
      <w:bCs/>
      <w:sz w:val="32"/>
      <w:szCs w:val="32"/>
    </w:rPr>
  </w:style>
  <w:style w:type="character" w:customStyle="1" w:styleId="authorsChar">
    <w:name w:val="authors Char"/>
    <w:basedOn w:val="a0"/>
    <w:qFormat/>
    <w:rsid w:val="00A35EEE"/>
    <w:rPr>
      <w:rFonts w:ascii="Calibri" w:hAnsi="Calibri" w:cs="Calibri"/>
      <w:i/>
      <w:iCs/>
    </w:rPr>
  </w:style>
  <w:style w:type="character" w:customStyle="1" w:styleId="EndNoteBibliographyTitleChar">
    <w:name w:val="EndNote Bibliography Title Char"/>
    <w:basedOn w:val="a0"/>
    <w:link w:val="EndNoteBibliographyTitle"/>
    <w:qFormat/>
    <w:rsid w:val="00A35EEE"/>
    <w:rPr>
      <w:rFonts w:ascii="Calibri" w:hAnsi="Calibri" w:cs="Calibri"/>
      <w:sz w:val="22"/>
      <w:lang w:val="en-GB"/>
    </w:rPr>
  </w:style>
  <w:style w:type="character" w:customStyle="1" w:styleId="EndNoteBibliographyChar">
    <w:name w:val="EndNote Bibliography Char"/>
    <w:basedOn w:val="a0"/>
    <w:link w:val="EndNoteBibliography"/>
    <w:qFormat/>
    <w:rsid w:val="00A35EEE"/>
    <w:rPr>
      <w:rFonts w:ascii="Calibri" w:hAnsi="Calibri" w:cs="Calibri"/>
      <w:sz w:val="22"/>
      <w:lang w:val="en-GB"/>
    </w:rPr>
  </w:style>
  <w:style w:type="character" w:customStyle="1" w:styleId="UnresolvedMention1">
    <w:name w:val="Unresolved Mention1"/>
    <w:basedOn w:val="a0"/>
    <w:uiPriority w:val="99"/>
    <w:semiHidden/>
    <w:unhideWhenUsed/>
    <w:qFormat/>
    <w:rsid w:val="00A35EEE"/>
    <w:rPr>
      <w:color w:val="605E5C"/>
      <w:shd w:val="clear" w:color="auto" w:fill="E1DFDD"/>
    </w:rPr>
  </w:style>
  <w:style w:type="character" w:styleId="ab">
    <w:name w:val="Strong"/>
    <w:basedOn w:val="a0"/>
    <w:uiPriority w:val="22"/>
    <w:qFormat/>
    <w:rsid w:val="00A35EEE"/>
    <w:rPr>
      <w:b/>
      <w:bCs/>
    </w:rPr>
  </w:style>
  <w:style w:type="character" w:customStyle="1" w:styleId="TableChar">
    <w:name w:val="Table Char"/>
    <w:basedOn w:val="a0"/>
    <w:link w:val="Table"/>
    <w:qFormat/>
    <w:rsid w:val="00A35EEE"/>
    <w:rPr>
      <w:rFonts w:ascii="Calibri" w:eastAsia="等线" w:hAnsi="Calibri" w:cs="Calibri"/>
      <w:color w:val="000000"/>
      <w:kern w:val="0"/>
      <w:szCs w:val="20"/>
    </w:rPr>
  </w:style>
  <w:style w:type="character" w:customStyle="1" w:styleId="addressChar">
    <w:name w:val="address Char"/>
    <w:basedOn w:val="a0"/>
    <w:qFormat/>
    <w:rsid w:val="00D32BB4"/>
    <w:rPr>
      <w:rFonts w:ascii="Times New Roman" w:eastAsia="Times New Roman" w:hAnsi="Times New Roman" w:cs="Calibri"/>
      <w:b/>
      <w:sz w:val="22"/>
    </w:rPr>
  </w:style>
  <w:style w:type="character" w:styleId="ac">
    <w:name w:val="FollowedHyperlink"/>
    <w:basedOn w:val="a0"/>
    <w:uiPriority w:val="99"/>
    <w:semiHidden/>
    <w:unhideWhenUsed/>
    <w:qFormat/>
    <w:rsid w:val="00A35EEE"/>
    <w:rPr>
      <w:color w:val="954F72" w:themeColor="followedHyperlink"/>
      <w:u w:val="single"/>
    </w:rPr>
  </w:style>
  <w:style w:type="character" w:customStyle="1" w:styleId="noteChar">
    <w:name w:val="note Char"/>
    <w:basedOn w:val="a0"/>
    <w:qFormat/>
    <w:rsid w:val="00A35EEE"/>
    <w:rPr>
      <w:rFonts w:ascii="Calibri" w:hAnsi="Calibri" w:cs="Calibri"/>
      <w:sz w:val="20"/>
      <w:szCs w:val="20"/>
      <w:lang w:val="en-GB"/>
    </w:rPr>
  </w:style>
  <w:style w:type="character" w:styleId="ad">
    <w:name w:val="Placeholder Text"/>
    <w:basedOn w:val="a0"/>
    <w:uiPriority w:val="99"/>
    <w:semiHidden/>
    <w:qFormat/>
    <w:rsid w:val="00A35EEE"/>
    <w:rPr>
      <w:color w:val="808080"/>
    </w:rPr>
  </w:style>
  <w:style w:type="character" w:styleId="ae">
    <w:name w:val="annotation reference"/>
    <w:basedOn w:val="a0"/>
    <w:uiPriority w:val="99"/>
    <w:semiHidden/>
    <w:unhideWhenUsed/>
    <w:qFormat/>
    <w:rsid w:val="00A35EEE"/>
    <w:rPr>
      <w:sz w:val="16"/>
      <w:szCs w:val="16"/>
    </w:rPr>
  </w:style>
  <w:style w:type="character" w:customStyle="1" w:styleId="af">
    <w:name w:val="批注文字 字符"/>
    <w:basedOn w:val="a0"/>
    <w:link w:val="af0"/>
    <w:uiPriority w:val="99"/>
    <w:semiHidden/>
    <w:qFormat/>
    <w:rsid w:val="00A35EEE"/>
    <w:rPr>
      <w:rFonts w:ascii="Calibri" w:hAnsi="Calibri" w:cs="Calibri"/>
      <w:szCs w:val="20"/>
      <w:lang w:val="en-GB"/>
    </w:rPr>
  </w:style>
  <w:style w:type="character" w:customStyle="1" w:styleId="af1">
    <w:name w:val="批注主题 字符"/>
    <w:basedOn w:val="af"/>
    <w:link w:val="af2"/>
    <w:uiPriority w:val="99"/>
    <w:semiHidden/>
    <w:qFormat/>
    <w:rsid w:val="00A35EEE"/>
    <w:rPr>
      <w:rFonts w:ascii="Calibri" w:hAnsi="Calibri" w:cs="Calibri"/>
      <w:b/>
      <w:bCs/>
      <w:szCs w:val="20"/>
      <w:lang w:val="en-GB"/>
    </w:rPr>
  </w:style>
  <w:style w:type="character" w:customStyle="1" w:styleId="UnresolvedMention2">
    <w:name w:val="Unresolved Mention2"/>
    <w:basedOn w:val="a0"/>
    <w:uiPriority w:val="99"/>
    <w:semiHidden/>
    <w:unhideWhenUsed/>
    <w:qFormat/>
    <w:rsid w:val="00A35EEE"/>
    <w:rPr>
      <w:color w:val="605E5C"/>
      <w:shd w:val="clear" w:color="auto" w:fill="E1DFDD"/>
    </w:rPr>
  </w:style>
  <w:style w:type="character" w:customStyle="1" w:styleId="UnresolvedMention3">
    <w:name w:val="Unresolved Mention3"/>
    <w:basedOn w:val="a0"/>
    <w:uiPriority w:val="99"/>
    <w:semiHidden/>
    <w:unhideWhenUsed/>
    <w:qFormat/>
    <w:rsid w:val="00A35EEE"/>
    <w:rPr>
      <w:color w:val="605E5C"/>
      <w:shd w:val="clear" w:color="auto" w:fill="E1DFDD"/>
    </w:rPr>
  </w:style>
  <w:style w:type="character" w:customStyle="1" w:styleId="UnresolvedMention4">
    <w:name w:val="Unresolved Mention4"/>
    <w:basedOn w:val="a0"/>
    <w:uiPriority w:val="99"/>
    <w:semiHidden/>
    <w:unhideWhenUsed/>
    <w:qFormat/>
    <w:rsid w:val="00A35EEE"/>
    <w:rPr>
      <w:color w:val="605E5C"/>
      <w:shd w:val="clear" w:color="auto" w:fill="E1DFDD"/>
    </w:rPr>
  </w:style>
  <w:style w:type="character" w:customStyle="1" w:styleId="UnresolvedMention5">
    <w:name w:val="Unresolved Mention5"/>
    <w:basedOn w:val="a0"/>
    <w:uiPriority w:val="99"/>
    <w:semiHidden/>
    <w:unhideWhenUsed/>
    <w:qFormat/>
    <w:rsid w:val="00A35EEE"/>
    <w:rPr>
      <w:color w:val="605E5C"/>
      <w:shd w:val="clear" w:color="auto" w:fill="E1DFDD"/>
    </w:rPr>
  </w:style>
  <w:style w:type="character" w:customStyle="1" w:styleId="UnresolvedMention6">
    <w:name w:val="Unresolved Mention6"/>
    <w:basedOn w:val="a0"/>
    <w:uiPriority w:val="99"/>
    <w:semiHidden/>
    <w:unhideWhenUsed/>
    <w:qFormat/>
    <w:rsid w:val="00A35EEE"/>
    <w:rPr>
      <w:color w:val="605E5C"/>
      <w:shd w:val="clear" w:color="auto" w:fill="E1DFDD"/>
    </w:rPr>
  </w:style>
  <w:style w:type="character" w:customStyle="1" w:styleId="11">
    <w:name w:val="未处理的提及1"/>
    <w:basedOn w:val="a0"/>
    <w:uiPriority w:val="99"/>
    <w:semiHidden/>
    <w:unhideWhenUsed/>
    <w:qFormat/>
    <w:rsid w:val="00A35EEE"/>
    <w:rPr>
      <w:color w:val="605E5C"/>
      <w:shd w:val="clear" w:color="auto" w:fill="E1DFDD"/>
    </w:rPr>
  </w:style>
  <w:style w:type="character" w:customStyle="1" w:styleId="UnresolvedMention7">
    <w:name w:val="Unresolved Mention7"/>
    <w:basedOn w:val="a0"/>
    <w:uiPriority w:val="99"/>
    <w:semiHidden/>
    <w:unhideWhenUsed/>
    <w:qFormat/>
    <w:rsid w:val="00A35EEE"/>
    <w:rPr>
      <w:color w:val="605E5C"/>
      <w:shd w:val="clear" w:color="auto" w:fill="E1DFDD"/>
    </w:rPr>
  </w:style>
  <w:style w:type="character" w:customStyle="1" w:styleId="UnresolvedMention8">
    <w:name w:val="Unresolved Mention8"/>
    <w:basedOn w:val="a0"/>
    <w:uiPriority w:val="99"/>
    <w:semiHidden/>
    <w:unhideWhenUsed/>
    <w:qFormat/>
    <w:rsid w:val="00A35EEE"/>
    <w:rPr>
      <w:color w:val="605E5C"/>
      <w:shd w:val="clear" w:color="auto" w:fill="E1DFDD"/>
    </w:rPr>
  </w:style>
  <w:style w:type="character" w:customStyle="1" w:styleId="revised">
    <w:name w:val="revised 字符"/>
    <w:basedOn w:val="a0"/>
    <w:qFormat/>
    <w:rsid w:val="00A35EEE"/>
    <w:rPr>
      <w:rFonts w:ascii="Calibri" w:hAnsi="Calibri" w:cs="Calibri"/>
      <w:color w:val="4472C4" w:themeColor="accent1"/>
      <w:sz w:val="22"/>
      <w:lang w:val="en-GB"/>
    </w:rPr>
  </w:style>
  <w:style w:type="character" w:customStyle="1" w:styleId="ListLabel1">
    <w:name w:val="ListLabel 1"/>
    <w:qFormat/>
    <w:rsid w:val="00A35EEE"/>
    <w:rPr>
      <w:rFonts w:cs="Courier New"/>
    </w:rPr>
  </w:style>
  <w:style w:type="character" w:customStyle="1" w:styleId="ListLabel2">
    <w:name w:val="ListLabel 2"/>
    <w:qFormat/>
    <w:rsid w:val="00A35EEE"/>
    <w:rPr>
      <w:rFonts w:cs="Courier New"/>
    </w:rPr>
  </w:style>
  <w:style w:type="character" w:customStyle="1" w:styleId="ListLabel3">
    <w:name w:val="ListLabel 3"/>
    <w:qFormat/>
    <w:rsid w:val="00A35EEE"/>
    <w:rPr>
      <w:rFonts w:cs="Courier New"/>
    </w:rPr>
  </w:style>
  <w:style w:type="character" w:customStyle="1" w:styleId="ListLabel4">
    <w:name w:val="ListLabel 4"/>
    <w:qFormat/>
    <w:rsid w:val="00A35EEE"/>
    <w:rPr>
      <w:color w:val="000000"/>
    </w:rPr>
  </w:style>
  <w:style w:type="character" w:customStyle="1" w:styleId="ListLabel5">
    <w:name w:val="ListLabel 5"/>
    <w:qFormat/>
    <w:rsid w:val="00A35EEE"/>
    <w:rPr>
      <w:lang w:val="en-US"/>
    </w:rPr>
  </w:style>
  <w:style w:type="character" w:customStyle="1" w:styleId="ListLabel6">
    <w:name w:val="ListLabel 6"/>
    <w:qFormat/>
    <w:rsid w:val="00A35EEE"/>
    <w:rPr>
      <w:kern w:val="0"/>
    </w:rPr>
  </w:style>
  <w:style w:type="character" w:customStyle="1" w:styleId="ListLabel7">
    <w:name w:val="ListLabel 7"/>
    <w:qFormat/>
    <w:rsid w:val="00A35EEE"/>
    <w:rPr>
      <w:color w:val="000000"/>
      <w:kern w:val="0"/>
    </w:rPr>
  </w:style>
  <w:style w:type="paragraph" w:customStyle="1" w:styleId="Heading">
    <w:name w:val="Heading"/>
    <w:basedOn w:val="a"/>
    <w:next w:val="af3"/>
    <w:qFormat/>
    <w:rsid w:val="00A35EEE"/>
    <w:pPr>
      <w:keepNext/>
      <w:spacing w:before="240"/>
    </w:pPr>
    <w:rPr>
      <w:rFonts w:ascii="Liberation Sans" w:eastAsia="Noto Sans SC Regular" w:hAnsi="Liberation Sans" w:cs="Noto Sans Devanagari"/>
      <w:sz w:val="28"/>
      <w:szCs w:val="28"/>
    </w:rPr>
  </w:style>
  <w:style w:type="paragraph" w:styleId="af3">
    <w:name w:val="Body Text"/>
    <w:basedOn w:val="a"/>
    <w:link w:val="af4"/>
    <w:rsid w:val="00A35EEE"/>
    <w:pPr>
      <w:spacing w:before="0" w:after="140" w:line="276" w:lineRule="auto"/>
    </w:pPr>
  </w:style>
  <w:style w:type="character" w:customStyle="1" w:styleId="af4">
    <w:name w:val="正文文本 字符"/>
    <w:basedOn w:val="a0"/>
    <w:link w:val="af3"/>
    <w:rsid w:val="00A35EEE"/>
    <w:rPr>
      <w:rFonts w:ascii="Calibri" w:hAnsi="Calibri" w:cs="Calibri"/>
      <w:sz w:val="22"/>
      <w:lang w:val="en-GB"/>
    </w:rPr>
  </w:style>
  <w:style w:type="paragraph" w:styleId="af5">
    <w:name w:val="List"/>
    <w:basedOn w:val="af3"/>
    <w:rsid w:val="00A35EEE"/>
    <w:rPr>
      <w:rFonts w:cs="Noto Sans Devanagari"/>
    </w:rPr>
  </w:style>
  <w:style w:type="paragraph" w:styleId="af6">
    <w:name w:val="caption"/>
    <w:basedOn w:val="a"/>
    <w:next w:val="a"/>
    <w:uiPriority w:val="35"/>
    <w:unhideWhenUsed/>
    <w:qFormat/>
    <w:rsid w:val="00A35EEE"/>
    <w:pPr>
      <w:spacing w:before="0" w:after="0"/>
    </w:pPr>
    <w:rPr>
      <w:rFonts w:eastAsia="黑体"/>
      <w:i/>
      <w:iCs/>
      <w:sz w:val="20"/>
      <w:szCs w:val="20"/>
    </w:rPr>
  </w:style>
  <w:style w:type="paragraph" w:customStyle="1" w:styleId="Index">
    <w:name w:val="Index"/>
    <w:basedOn w:val="a"/>
    <w:qFormat/>
    <w:rsid w:val="00A35EEE"/>
    <w:pPr>
      <w:suppressLineNumbers/>
    </w:pPr>
    <w:rPr>
      <w:rFonts w:cs="Noto Sans Devanagari"/>
    </w:rPr>
  </w:style>
  <w:style w:type="paragraph" w:styleId="aa">
    <w:name w:val="Title"/>
    <w:basedOn w:val="a"/>
    <w:next w:val="a"/>
    <w:link w:val="a9"/>
    <w:uiPriority w:val="10"/>
    <w:qFormat/>
    <w:rsid w:val="00BE5C91"/>
    <w:rPr>
      <w:b/>
      <w:bCs/>
      <w:sz w:val="32"/>
      <w:szCs w:val="32"/>
    </w:rPr>
  </w:style>
  <w:style w:type="character" w:customStyle="1" w:styleId="12">
    <w:name w:val="标题 字符1"/>
    <w:basedOn w:val="a0"/>
    <w:uiPriority w:val="10"/>
    <w:rsid w:val="00A35EEE"/>
    <w:rPr>
      <w:rFonts w:asciiTheme="majorHAnsi" w:eastAsiaTheme="majorEastAsia" w:hAnsiTheme="majorHAnsi" w:cstheme="majorBidi"/>
      <w:b/>
      <w:bCs/>
      <w:sz w:val="32"/>
      <w:szCs w:val="32"/>
      <w:lang w:val="en-GB"/>
    </w:rPr>
  </w:style>
  <w:style w:type="paragraph" w:styleId="af7">
    <w:name w:val="List Paragraph"/>
    <w:basedOn w:val="a"/>
    <w:uiPriority w:val="34"/>
    <w:qFormat/>
    <w:rsid w:val="00A35EEE"/>
    <w:pPr>
      <w:ind w:firstLine="420"/>
    </w:pPr>
  </w:style>
  <w:style w:type="paragraph" w:customStyle="1" w:styleId="authors">
    <w:name w:val="authors"/>
    <w:basedOn w:val="a"/>
    <w:qFormat/>
    <w:rsid w:val="00A35EEE"/>
    <w:rPr>
      <w:i/>
      <w:iCs/>
    </w:rPr>
  </w:style>
  <w:style w:type="paragraph" w:customStyle="1" w:styleId="EndNoteBibliographyTitle">
    <w:name w:val="EndNote Bibliography Title"/>
    <w:basedOn w:val="a"/>
    <w:link w:val="EndNoteBibliographyTitleChar"/>
    <w:qFormat/>
    <w:rsid w:val="00A35EEE"/>
    <w:pPr>
      <w:spacing w:after="0"/>
      <w:jc w:val="center"/>
    </w:pPr>
  </w:style>
  <w:style w:type="paragraph" w:customStyle="1" w:styleId="EndNoteBibliography">
    <w:name w:val="EndNote Bibliography"/>
    <w:basedOn w:val="a"/>
    <w:link w:val="EndNoteBibliographyChar"/>
    <w:qFormat/>
    <w:rsid w:val="00A35EEE"/>
  </w:style>
  <w:style w:type="paragraph" w:customStyle="1" w:styleId="Table">
    <w:name w:val="Table"/>
    <w:link w:val="TableChar"/>
    <w:qFormat/>
    <w:rsid w:val="00A35EEE"/>
    <w:pPr>
      <w:jc w:val="center"/>
    </w:pPr>
    <w:rPr>
      <w:rFonts w:ascii="Calibri" w:eastAsia="等线" w:hAnsi="Calibri" w:cs="Calibri"/>
      <w:color w:val="000000"/>
      <w:kern w:val="0"/>
      <w:szCs w:val="20"/>
    </w:rPr>
  </w:style>
  <w:style w:type="paragraph" w:customStyle="1" w:styleId="address">
    <w:name w:val="address"/>
    <w:next w:val="a"/>
    <w:qFormat/>
    <w:rsid w:val="00A35EEE"/>
    <w:pPr>
      <w:jc w:val="both"/>
    </w:pPr>
    <w:rPr>
      <w:rFonts w:ascii="Calibri" w:hAnsi="Calibri" w:cs="Calibri"/>
    </w:rPr>
  </w:style>
  <w:style w:type="character" w:customStyle="1" w:styleId="13">
    <w:name w:val="批注框文本 字符1"/>
    <w:basedOn w:val="a0"/>
    <w:uiPriority w:val="99"/>
    <w:semiHidden/>
    <w:rsid w:val="00A35EEE"/>
    <w:rPr>
      <w:rFonts w:ascii="Calibri" w:hAnsi="Calibri" w:cs="Calibri"/>
      <w:sz w:val="18"/>
      <w:szCs w:val="18"/>
      <w:lang w:val="en-GB"/>
    </w:rPr>
  </w:style>
  <w:style w:type="paragraph" w:customStyle="1" w:styleId="note">
    <w:name w:val="note"/>
    <w:basedOn w:val="a"/>
    <w:qFormat/>
    <w:rsid w:val="00A35EEE"/>
    <w:pPr>
      <w:spacing w:before="0" w:after="0"/>
    </w:pPr>
    <w:rPr>
      <w:sz w:val="20"/>
      <w:szCs w:val="20"/>
    </w:rPr>
  </w:style>
  <w:style w:type="character" w:customStyle="1" w:styleId="14">
    <w:name w:val="页眉 字符1"/>
    <w:basedOn w:val="a0"/>
    <w:uiPriority w:val="99"/>
    <w:semiHidden/>
    <w:rsid w:val="00A35EEE"/>
    <w:rPr>
      <w:rFonts w:ascii="Calibri" w:hAnsi="Calibri" w:cs="Calibri"/>
      <w:sz w:val="18"/>
      <w:szCs w:val="18"/>
      <w:lang w:val="en-GB"/>
    </w:rPr>
  </w:style>
  <w:style w:type="character" w:customStyle="1" w:styleId="15">
    <w:name w:val="页脚 字符1"/>
    <w:basedOn w:val="a0"/>
    <w:uiPriority w:val="99"/>
    <w:semiHidden/>
    <w:rsid w:val="00A35EEE"/>
    <w:rPr>
      <w:rFonts w:ascii="Calibri" w:hAnsi="Calibri" w:cs="Calibri"/>
      <w:sz w:val="18"/>
      <w:szCs w:val="18"/>
      <w:lang w:val="en-GB"/>
    </w:rPr>
  </w:style>
  <w:style w:type="paragraph" w:styleId="af0">
    <w:name w:val="annotation text"/>
    <w:basedOn w:val="a"/>
    <w:link w:val="af"/>
    <w:uiPriority w:val="99"/>
    <w:semiHidden/>
    <w:unhideWhenUsed/>
    <w:qFormat/>
    <w:rsid w:val="00A35EEE"/>
    <w:rPr>
      <w:sz w:val="21"/>
      <w:szCs w:val="20"/>
    </w:rPr>
  </w:style>
  <w:style w:type="character" w:customStyle="1" w:styleId="16">
    <w:name w:val="批注文字 字符1"/>
    <w:basedOn w:val="a0"/>
    <w:uiPriority w:val="99"/>
    <w:semiHidden/>
    <w:rsid w:val="00A35EEE"/>
    <w:rPr>
      <w:rFonts w:ascii="Calibri" w:hAnsi="Calibri" w:cs="Calibri"/>
      <w:sz w:val="22"/>
      <w:lang w:val="en-GB"/>
    </w:rPr>
  </w:style>
  <w:style w:type="paragraph" w:styleId="af2">
    <w:name w:val="annotation subject"/>
    <w:basedOn w:val="af0"/>
    <w:next w:val="af0"/>
    <w:link w:val="af1"/>
    <w:uiPriority w:val="99"/>
    <w:semiHidden/>
    <w:unhideWhenUsed/>
    <w:qFormat/>
    <w:rsid w:val="00A35EEE"/>
    <w:rPr>
      <w:b/>
      <w:bCs/>
    </w:rPr>
  </w:style>
  <w:style w:type="character" w:customStyle="1" w:styleId="17">
    <w:name w:val="批注主题 字符1"/>
    <w:basedOn w:val="16"/>
    <w:uiPriority w:val="99"/>
    <w:semiHidden/>
    <w:rsid w:val="00A35EEE"/>
    <w:rPr>
      <w:rFonts w:ascii="Calibri" w:hAnsi="Calibri" w:cs="Calibri"/>
      <w:b/>
      <w:bCs/>
      <w:sz w:val="22"/>
      <w:lang w:val="en-GB"/>
    </w:rPr>
  </w:style>
  <w:style w:type="paragraph" w:styleId="af8">
    <w:name w:val="Revision"/>
    <w:uiPriority w:val="99"/>
    <w:semiHidden/>
    <w:qFormat/>
    <w:rsid w:val="00A35EEE"/>
    <w:rPr>
      <w:rFonts w:ascii="Calibri" w:hAnsi="Calibri" w:cs="Calibri"/>
      <w:lang w:val="en-GB"/>
    </w:rPr>
  </w:style>
  <w:style w:type="paragraph" w:styleId="af9">
    <w:name w:val="Normal (Web)"/>
    <w:basedOn w:val="a"/>
    <w:uiPriority w:val="99"/>
    <w:unhideWhenUsed/>
    <w:qFormat/>
    <w:rsid w:val="00A35EEE"/>
    <w:pPr>
      <w:widowControl/>
      <w:spacing w:beforeAutospacing="1" w:afterAutospacing="1"/>
      <w:jc w:val="left"/>
    </w:pPr>
    <w:rPr>
      <w:rFonts w:ascii="宋体" w:hAnsi="宋体" w:cs="宋体"/>
      <w:kern w:val="0"/>
      <w:sz w:val="24"/>
      <w:szCs w:val="24"/>
    </w:rPr>
  </w:style>
  <w:style w:type="paragraph" w:customStyle="1" w:styleId="revised0">
    <w:name w:val="revised"/>
    <w:basedOn w:val="a"/>
    <w:next w:val="a"/>
    <w:qFormat/>
    <w:rsid w:val="00A35EEE"/>
    <w:rPr>
      <w:color w:val="4472C4" w:themeColor="accent1"/>
    </w:rPr>
  </w:style>
  <w:style w:type="table" w:styleId="afa">
    <w:name w:val="Table Grid"/>
    <w:basedOn w:val="a1"/>
    <w:uiPriority w:val="39"/>
    <w:rsid w:val="00A35EE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A35EEE"/>
    <w:rPr>
      <w:color w:val="0563C1" w:themeColor="hyperlink"/>
      <w:u w:val="single"/>
    </w:rPr>
  </w:style>
  <w:style w:type="character" w:styleId="afc">
    <w:name w:val="Unresolved Mention"/>
    <w:basedOn w:val="a0"/>
    <w:uiPriority w:val="99"/>
    <w:semiHidden/>
    <w:unhideWhenUsed/>
    <w:rsid w:val="00A35EEE"/>
    <w:rPr>
      <w:color w:val="605E5C"/>
      <w:shd w:val="clear" w:color="auto" w:fill="E1DFDD"/>
    </w:rPr>
  </w:style>
  <w:style w:type="paragraph" w:styleId="afd">
    <w:name w:val="Bibliography"/>
    <w:basedOn w:val="a"/>
    <w:next w:val="a"/>
    <w:uiPriority w:val="37"/>
    <w:unhideWhenUsed/>
    <w:rsid w:val="00052B68"/>
    <w:pPr>
      <w:tabs>
        <w:tab w:val="left" w:pos="264"/>
      </w:tabs>
      <w:spacing w:after="0" w:line="480" w:lineRule="auto"/>
      <w:ind w:left="264" w:hanging="264"/>
    </w:pPr>
  </w:style>
  <w:style w:type="character" w:styleId="afe">
    <w:name w:val="page number"/>
    <w:basedOn w:val="a0"/>
    <w:uiPriority w:val="99"/>
    <w:semiHidden/>
    <w:unhideWhenUsed/>
    <w:rsid w:val="00547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767819">
      <w:bodyDiv w:val="1"/>
      <w:marLeft w:val="0"/>
      <w:marRight w:val="0"/>
      <w:marTop w:val="0"/>
      <w:marBottom w:val="0"/>
      <w:divBdr>
        <w:top w:val="none" w:sz="0" w:space="0" w:color="auto"/>
        <w:left w:val="none" w:sz="0" w:space="0" w:color="auto"/>
        <w:bottom w:val="none" w:sz="0" w:space="0" w:color="auto"/>
        <w:right w:val="none" w:sz="0" w:space="0" w:color="auto"/>
      </w:divBdr>
      <w:divsChild>
        <w:div w:id="36666437">
          <w:marLeft w:val="0"/>
          <w:marRight w:val="0"/>
          <w:marTop w:val="0"/>
          <w:marBottom w:val="0"/>
          <w:divBdr>
            <w:top w:val="none" w:sz="0" w:space="0" w:color="auto"/>
            <w:left w:val="none" w:sz="0" w:space="0" w:color="auto"/>
            <w:bottom w:val="none" w:sz="0" w:space="0" w:color="auto"/>
            <w:right w:val="none" w:sz="0" w:space="0" w:color="auto"/>
          </w:divBdr>
        </w:div>
      </w:divsChild>
    </w:div>
    <w:div w:id="514535642">
      <w:bodyDiv w:val="1"/>
      <w:marLeft w:val="0"/>
      <w:marRight w:val="0"/>
      <w:marTop w:val="0"/>
      <w:marBottom w:val="0"/>
      <w:divBdr>
        <w:top w:val="none" w:sz="0" w:space="0" w:color="auto"/>
        <w:left w:val="none" w:sz="0" w:space="0" w:color="auto"/>
        <w:bottom w:val="none" w:sz="0" w:space="0" w:color="auto"/>
        <w:right w:val="none" w:sz="0" w:space="0" w:color="auto"/>
      </w:divBdr>
      <w:divsChild>
        <w:div w:id="1834447063">
          <w:marLeft w:val="0"/>
          <w:marRight w:val="0"/>
          <w:marTop w:val="0"/>
          <w:marBottom w:val="0"/>
          <w:divBdr>
            <w:top w:val="none" w:sz="0" w:space="0" w:color="auto"/>
            <w:left w:val="none" w:sz="0" w:space="0" w:color="auto"/>
            <w:bottom w:val="none" w:sz="0" w:space="0" w:color="auto"/>
            <w:right w:val="none" w:sz="0" w:space="0" w:color="auto"/>
          </w:divBdr>
        </w:div>
      </w:divsChild>
    </w:div>
    <w:div w:id="872576010">
      <w:bodyDiv w:val="1"/>
      <w:marLeft w:val="0"/>
      <w:marRight w:val="0"/>
      <w:marTop w:val="0"/>
      <w:marBottom w:val="0"/>
      <w:divBdr>
        <w:top w:val="none" w:sz="0" w:space="0" w:color="auto"/>
        <w:left w:val="none" w:sz="0" w:space="0" w:color="auto"/>
        <w:bottom w:val="none" w:sz="0" w:space="0" w:color="auto"/>
        <w:right w:val="none" w:sz="0" w:space="0" w:color="auto"/>
      </w:divBdr>
    </w:div>
    <w:div w:id="2005277128">
      <w:bodyDiv w:val="1"/>
      <w:marLeft w:val="0"/>
      <w:marRight w:val="0"/>
      <w:marTop w:val="0"/>
      <w:marBottom w:val="0"/>
      <w:divBdr>
        <w:top w:val="none" w:sz="0" w:space="0" w:color="auto"/>
        <w:left w:val="none" w:sz="0" w:space="0" w:color="auto"/>
        <w:bottom w:val="none" w:sz="0" w:space="0" w:color="auto"/>
        <w:right w:val="none" w:sz="0" w:space="0" w:color="auto"/>
      </w:divBdr>
    </w:div>
    <w:div w:id="2011172837">
      <w:bodyDiv w:val="1"/>
      <w:marLeft w:val="0"/>
      <w:marRight w:val="0"/>
      <w:marTop w:val="0"/>
      <w:marBottom w:val="0"/>
      <w:divBdr>
        <w:top w:val="none" w:sz="0" w:space="0" w:color="auto"/>
        <w:left w:val="none" w:sz="0" w:space="0" w:color="auto"/>
        <w:bottom w:val="none" w:sz="0" w:space="0" w:color="auto"/>
        <w:right w:val="none" w:sz="0" w:space="0" w:color="auto"/>
      </w:divBdr>
    </w:div>
    <w:div w:id="214408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andabo@tsinghua.edu.cn"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EDF24B8-482D-4378-832B-74583440C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69</Pages>
  <Words>29930</Words>
  <Characters>170607</Characters>
  <Application>Microsoft Office Word</Application>
  <DocSecurity>0</DocSecurity>
  <Lines>1421</Lines>
  <Paragraphs>400</Paragraphs>
  <ScaleCrop>false</ScaleCrop>
  <Company/>
  <LinksUpToDate>false</LinksUpToDate>
  <CharactersWithSpaces>200137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Daoping</dc:creator>
  <cp:keywords/>
  <dc:description/>
  <cp:lastModifiedBy>CUI Can</cp:lastModifiedBy>
  <cp:revision>9</cp:revision>
  <dcterms:created xsi:type="dcterms:W3CDTF">2021-03-28T08:19:00Z</dcterms:created>
  <dcterms:modified xsi:type="dcterms:W3CDTF">2021-03-30T11:38:00Z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zotero-version="5.0.96"&gt;&lt;session id="v9imrBWc"/&gt;&lt;style id="http://www.zotero.org/styles/nature" hasBibliography="1" bibliographyStyleHasBeenSet="1"/&gt;&lt;prefs&gt;&lt;pref name="fieldType" value="Field"/&gt;&lt;/prefs&gt;&lt;/data&gt;</vt:lpwstr>
  </property>
</Properties>
</file>