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5410200"/>
            <wp:effectExtent l="0" t="0" r="17145" b="0"/>
            <wp:docPr id="1" name="图片 1" descr="Supplementary Figure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s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Bold" w:hAnsi="Times New Roman Bold" w:cs="Times New Roman Bold" w:eastAsiaTheme="minorEastAsia"/>
          <w:b/>
          <w:bCs/>
          <w:kern w:val="2"/>
          <w:sz w:val="21"/>
          <w:szCs w:val="21"/>
          <w:lang w:val="en-US" w:eastAsia="zh-CN" w:bidi="ar-SA"/>
        </w:rPr>
        <w:t>Supplementary Figure 1.</w:t>
      </w:r>
      <w:r>
        <w:rPr>
          <w:rFonts w:hint="default" w:ascii="Times New Roman Bold" w:hAnsi="Times New Roman Bold" w:cs="Times New Roman Bold"/>
          <w:b/>
          <w:bCs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Each row was deemed as an independent MR analysis for estimating the immune cells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and </w:t>
      </w:r>
      <w:r>
        <w:rPr>
          <w:rFonts w:ascii="Times New Roman" w:hAnsi="Times New Roman" w:cs="Times New Roman"/>
        </w:rPr>
        <w:t>osteomyelitis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causal effect using all of the remaining IVs except for the single SNP listed on the y-axis. And where all dots locate were required to be greater than zero on the x-axis. (A)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B cell group sensitivity analy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ses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(B)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cDC cell group sensitivity analyses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(C)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Myeloid cell group sensitivity analyses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(D)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TBNK cell group sensitivity analyses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(E)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Maturation stages of cell group sensitivity analyses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(F)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Treg cell group sensitivity analyses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. </w:t>
      </w:r>
    </w:p>
    <w:p>
      <w:pP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drawing>
          <wp:inline distT="0" distB="0" distL="114300" distR="114300">
            <wp:extent cx="5266055" cy="5334635"/>
            <wp:effectExtent l="0" t="0" r="17145" b="24765"/>
            <wp:docPr id="3" name="图片 3" descr="Supplementary Figure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s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33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>
      <w:pP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 Bold" w:hAnsi="Times New Roman Bold" w:cs="Times New Roman Bold" w:eastAsiaTheme="minorEastAsia"/>
          <w:b/>
          <w:bCs/>
          <w:kern w:val="2"/>
          <w:sz w:val="21"/>
          <w:szCs w:val="21"/>
          <w:lang w:val="en-US" w:eastAsia="zh-CN" w:bidi="ar-SA"/>
        </w:rPr>
        <w:t xml:space="preserve">Supplementary Figure </w:t>
      </w:r>
      <w:r>
        <w:rPr>
          <w:rFonts w:hint="default" w:ascii="Times New Roman Bold" w:hAnsi="Times New Roman Bold" w:cs="Times New Roman Bold"/>
          <w:b/>
          <w:bCs/>
          <w:kern w:val="2"/>
          <w:sz w:val="21"/>
          <w:szCs w:val="21"/>
          <w:lang w:val="en-US" w:eastAsia="zh-CN" w:bidi="ar-SA"/>
        </w:rPr>
        <w:t>2</w:t>
      </w:r>
      <w:r>
        <w:rPr>
          <w:rFonts w:hint="default" w:ascii="Times New Roman Bold" w:hAnsi="Times New Roman Bold" w:cs="Times New Roman Bold" w:eastAsiaTheme="minorEastAsia"/>
          <w:b/>
          <w:bCs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 Bold" w:hAnsi="Times New Roman Bold" w:cs="Times New Roman Bold"/>
          <w:b/>
          <w:bCs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Funnel plot to evaluate the robustness. The scattered points indicated the estimated effect of a single SNP used as an instrumental variable. The vertical lines represented the global estimate derived from the inverse variance weighted method and MR-Egger regression. (A)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B cell group sensitivity funnel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(B)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cDC cell group funnel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(C)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Myeloid cell group funnel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(D)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TBNK cell group funnel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(E)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Maturation stages of cell group funnel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(F)Treg cell group funnel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. </w:t>
      </w:r>
    </w:p>
    <w:p>
      <w:pP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drawing>
          <wp:inline distT="0" distB="0" distL="114300" distR="114300">
            <wp:extent cx="5266055" cy="5334635"/>
            <wp:effectExtent l="0" t="0" r="17145" b="24765"/>
            <wp:docPr id="2" name="图片 2" descr="/Users/longkehan/Desktop/骨髓炎/Supplementary Figures 3.pngSupplementary Figure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/Users/longkehan/Desktop/骨髓炎/Supplementary Figures 3.pngSupplementary Figures 3"/>
                    <pic:cNvPicPr>
                      <a:picLocks noChangeAspect="1"/>
                    </pic:cNvPicPr>
                  </pic:nvPicPr>
                  <pic:blipFill>
                    <a:blip r:embed="rId6"/>
                    <a:srcRect l="6" r="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33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 Bold" w:hAnsi="Times New Roman Bold" w:cs="Times New Roman Bold" w:eastAsiaTheme="minorEastAsia"/>
          <w:b/>
          <w:bCs/>
          <w:kern w:val="2"/>
          <w:sz w:val="21"/>
          <w:szCs w:val="21"/>
          <w:lang w:val="en-US" w:eastAsia="zh-CN" w:bidi="ar-SA"/>
        </w:rPr>
        <w:t xml:space="preserve">Supplementary Figure </w:t>
      </w:r>
      <w:r>
        <w:rPr>
          <w:rFonts w:hint="default" w:ascii="Times New Roman Bold" w:hAnsi="Times New Roman Bold" w:cs="Times New Roman Bold"/>
          <w:b/>
          <w:bCs/>
          <w:kern w:val="2"/>
          <w:sz w:val="21"/>
          <w:szCs w:val="21"/>
          <w:lang w:val="en-US" w:eastAsia="zh-CN" w:bidi="ar-SA"/>
        </w:rPr>
        <w:t>3</w:t>
      </w:r>
      <w:r>
        <w:rPr>
          <w:rFonts w:hint="default" w:ascii="Times New Roman Bold" w:hAnsi="Times New Roman Bold" w:cs="Times New Roman Bold" w:eastAsiaTheme="minorEastAsia"/>
          <w:b/>
          <w:bCs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 Bold" w:hAnsi="Times New Roman Bold" w:cs="Times New Roman Bold"/>
          <w:b/>
          <w:bCs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Scatter plot of SNPs relevant to immune cells and 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the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risk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of </w:t>
      </w:r>
      <w:r>
        <w:rPr>
          <w:rFonts w:ascii="Times New Roman" w:hAnsi="Times New Roman" w:cs="Times New Roman"/>
        </w:rPr>
        <w:t>osteomyelitis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 Each splash displayed the effect sizes for SNP-immune cells relation (x-axis, SD units) and the SNP-</w:t>
      </w:r>
      <w:r>
        <w:rPr>
          <w:rFonts w:ascii="Times New Roman" w:hAnsi="Times New Roman" w:cs="Times New Roman"/>
        </w:rPr>
        <w:t>osteomyelitis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relation (y-axis, log (OR)) with 95% CIs. Using three MR strategies (the inverse variance weighted, MR-Egger, and weighted median) (R package “TwoSampleMR”), the regression slopes of the lines associated with the causal estimates were determined.</w:t>
      </w:r>
      <w:r>
        <w:rPr>
          <w:rFonts w:hint="default" w:ascii="Calibri" w:hAnsi="Calibri" w:eastAsia="URWPalladioL-Roma" w:cs="Calibri"/>
          <w:color w:val="000000"/>
          <w:kern w:val="0"/>
          <w:sz w:val="18"/>
          <w:szCs w:val="18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(A)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B cell group scatter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(B)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cDC cell group scatter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(C)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Myeloid cell group scatter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(D)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TBNK cell group scatter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(E)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Maturation stages of cell group scatter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(F)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Treg cell group scatter plot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t>.</w:t>
      </w:r>
    </w:p>
    <w:p>
      <w:pP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 New Roman Bold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URWPalladioL-Roma">
    <w:altName w:val="Adobe 宋体 Std 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709"/>
        </w:tabs>
        <w:ind w:left="709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0"/>
    <w:lvlOverride w:ilvl="0">
      <w:lvl w:ilvl="0" w:tentative="1">
        <w:start w:val="1"/>
        <w:numFmt w:val="decimal"/>
        <w:pStyle w:val="2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 w:tentative="1">
        <w:start w:val="1"/>
        <w:numFmt w:val="decimal"/>
        <w:lvlText w:val="%1.%2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ZWY4Mjg2MmY5YWYwN2FiNDlkMGJlZWIwNjk0ODMifQ=="/>
  </w:docVars>
  <w:rsids>
    <w:rsidRoot w:val="3F5B69FC"/>
    <w:rsid w:val="047A4C3B"/>
    <w:rsid w:val="3F5B69FC"/>
    <w:rsid w:val="B3DE3F6B"/>
    <w:rsid w:val="BEFF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2"/>
    <w:pPr>
      <w:widowControl/>
      <w:numPr>
        <w:ilvl w:val="0"/>
        <w:numId w:val="1"/>
      </w:numPr>
      <w:spacing w:before="240" w:after="240"/>
      <w:ind w:firstLine="0" w:firstLineChars="0"/>
      <w:jc w:val="left"/>
      <w:outlineLvl w:val="0"/>
    </w:pPr>
    <w:rPr>
      <w:rFonts w:ascii="Times New Roman" w:hAnsi="Times New Roman" w:eastAsia="Cambria" w:cs="Times New Roman"/>
      <w:b/>
      <w:kern w:val="0"/>
      <w:sz w:val="24"/>
      <w:lang w:eastAsia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autoRedefine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2023-12-20T15:30:00Z</dcterms:created>
  <dc:creator>longgggg</dc:creator>
  <cp:lastModifiedBy>嗷嗷与星星</cp:lastModifiedBy>
  <dcterms:modified xsi:type="dcterms:W3CDTF">2023-12-20T08:58:25Z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FAA365B1BD7042289B88B7857F8C307F_13</vt:lpwstr>
  </property>
</Properties>
</file>