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6253F" w14:textId="77777777" w:rsidR="00104862" w:rsidRPr="009F6FA8" w:rsidRDefault="00104862" w:rsidP="00104862">
      <w:pPr>
        <w:pStyle w:val="Title"/>
        <w:rPr>
          <w:lang w:eastAsia="en-GB"/>
        </w:rPr>
      </w:pPr>
      <w:r w:rsidRPr="009F6FA8">
        <w:rPr>
          <w:lang w:eastAsia="en-GB"/>
        </w:rPr>
        <w:t>Supplement</w:t>
      </w:r>
    </w:p>
    <w:p w14:paraId="477FD07B" w14:textId="77777777" w:rsidR="00104862" w:rsidRPr="009F6FA8" w:rsidRDefault="00104862" w:rsidP="00104862">
      <w:r w:rsidRPr="009F6FA8">
        <w:t xml:space="preserve">This supplementary document provides details about the mathematical models used to analyze FCI images, as these differ from MRI, as well as the statistical models used to quantify FCI images. </w:t>
      </w:r>
    </w:p>
    <w:p w14:paraId="0D6DDC6C" w14:textId="77777777" w:rsidR="00104862" w:rsidRPr="009F6FA8" w:rsidRDefault="00104862" w:rsidP="00104862">
      <w:pPr>
        <w:pStyle w:val="Heading2"/>
      </w:pPr>
      <w:r w:rsidRPr="009F6FA8">
        <w:t>Analysis of the magnitude images</w:t>
      </w:r>
    </w:p>
    <w:p w14:paraId="4AADD7A0" w14:textId="77777777" w:rsidR="00104862" w:rsidRPr="009F6FA8" w:rsidRDefault="00104862" w:rsidP="00104862">
      <w:r w:rsidRPr="009F6FA8">
        <w:t>The T</w:t>
      </w:r>
      <w:r w:rsidRPr="009F6FA8">
        <w:rPr>
          <w:vertAlign w:val="subscript"/>
        </w:rPr>
        <w:t>1</w:t>
      </w:r>
      <w:r w:rsidRPr="009F6FA8">
        <w:t xml:space="preserve"> images were obtained using a mono-exponential model: </w:t>
      </w:r>
    </w:p>
    <w:p w14:paraId="0A35FE67" w14:textId="77777777" w:rsidR="00104862" w:rsidRPr="003C446C" w:rsidRDefault="00104862" w:rsidP="00104862">
      <w:pPr>
        <w:pStyle w:val="Caption"/>
        <w:rPr>
          <w:lang w:val="fr-FR"/>
        </w:rPr>
      </w:pPr>
      <w:r w:rsidRPr="003C446C">
        <w:rPr>
          <w:lang w:val="fr-FR"/>
        </w:rPr>
        <w:t>Equation 1</w:t>
      </w:r>
    </w:p>
    <w:p w14:paraId="546D70C3" w14:textId="77777777" w:rsidR="00104862" w:rsidRPr="003C446C" w:rsidRDefault="00104862" w:rsidP="00104862">
      <w:pPr>
        <w:pStyle w:val="Caption"/>
        <w:rPr>
          <w:lang w:val="fr-FR"/>
        </w:rPr>
      </w:pPr>
      <w:proofErr w:type="gramStart"/>
      <w:r w:rsidRPr="003C446C">
        <w:rPr>
          <w:lang w:val="fr-FR"/>
        </w:rPr>
        <w:t>S(</w:t>
      </w:r>
      <w:proofErr w:type="gramEnd"/>
      <w:r w:rsidRPr="003C446C">
        <w:rPr>
          <w:lang w:val="fr-FR"/>
        </w:rPr>
        <w:t>B</w:t>
      </w:r>
      <w:r w:rsidRPr="003C446C">
        <w:rPr>
          <w:vertAlign w:val="subscript"/>
          <w:lang w:val="fr-FR"/>
        </w:rPr>
        <w:t>0</w:t>
      </w:r>
      <w:r w:rsidRPr="003C446C">
        <w:rPr>
          <w:vertAlign w:val="superscript"/>
          <w:lang w:val="fr-FR"/>
        </w:rPr>
        <w:t>E</w:t>
      </w:r>
      <w:r w:rsidRPr="003C446C">
        <w:rPr>
          <w:lang w:val="fr-FR"/>
        </w:rPr>
        <w:t xml:space="preserve">, </w:t>
      </w:r>
      <w:proofErr w:type="spellStart"/>
      <w:r w:rsidRPr="003C446C">
        <w:rPr>
          <w:lang w:val="fr-FR"/>
        </w:rPr>
        <w:t>t</w:t>
      </w:r>
      <w:r w:rsidRPr="003C446C">
        <w:rPr>
          <w:vertAlign w:val="superscript"/>
          <w:lang w:val="fr-FR"/>
        </w:rPr>
        <w:t>E</w:t>
      </w:r>
      <w:proofErr w:type="spellEnd"/>
      <w:r w:rsidRPr="003C446C">
        <w:rPr>
          <w:lang w:val="fr-FR"/>
        </w:rPr>
        <w:t>) = A [(M</w:t>
      </w:r>
      <w:r w:rsidRPr="003C446C">
        <w:rPr>
          <w:vertAlign w:val="subscript"/>
          <w:lang w:val="fr-FR"/>
        </w:rPr>
        <w:t>0</w:t>
      </w:r>
      <w:r w:rsidRPr="003C446C">
        <w:rPr>
          <w:vertAlign w:val="superscript"/>
          <w:lang w:val="fr-FR"/>
        </w:rPr>
        <w:t xml:space="preserve">P </w:t>
      </w:r>
      <w:r w:rsidRPr="003C446C">
        <w:rPr>
          <w:lang w:val="fr-FR"/>
        </w:rPr>
        <w:t>– M</w:t>
      </w:r>
      <w:r w:rsidRPr="003C446C">
        <w:rPr>
          <w:vertAlign w:val="subscript"/>
          <w:lang w:val="fr-FR"/>
        </w:rPr>
        <w:t>0</w:t>
      </w:r>
      <w:r w:rsidRPr="003C446C">
        <w:rPr>
          <w:vertAlign w:val="superscript"/>
          <w:lang w:val="fr-FR"/>
        </w:rPr>
        <w:t>E</w:t>
      </w:r>
      <w:r w:rsidRPr="003C446C">
        <w:rPr>
          <w:lang w:val="fr-FR"/>
        </w:rPr>
        <w:t xml:space="preserve">) </w:t>
      </w:r>
      <w:proofErr w:type="spellStart"/>
      <w:r w:rsidRPr="003C446C">
        <w:rPr>
          <w:lang w:val="fr-FR"/>
        </w:rPr>
        <w:t>exp</w:t>
      </w:r>
      <w:proofErr w:type="spellEnd"/>
      <w:r w:rsidRPr="003C446C">
        <w:rPr>
          <w:lang w:val="fr-FR"/>
        </w:rPr>
        <w:t xml:space="preserve">(- </w:t>
      </w:r>
      <w:proofErr w:type="spellStart"/>
      <w:r w:rsidRPr="003C446C">
        <w:rPr>
          <w:lang w:val="fr-FR"/>
        </w:rPr>
        <w:t>t</w:t>
      </w:r>
      <w:r w:rsidRPr="003C446C">
        <w:rPr>
          <w:vertAlign w:val="superscript"/>
          <w:lang w:val="fr-FR"/>
        </w:rPr>
        <w:t>E</w:t>
      </w:r>
      <w:proofErr w:type="spellEnd"/>
      <w:r w:rsidRPr="003C446C">
        <w:rPr>
          <w:lang w:val="fr-FR"/>
        </w:rPr>
        <w:t>/T</w:t>
      </w:r>
      <w:r w:rsidRPr="003C446C">
        <w:rPr>
          <w:vertAlign w:val="subscript"/>
          <w:lang w:val="fr-FR"/>
        </w:rPr>
        <w:t>1</w:t>
      </w:r>
      <w:r w:rsidRPr="003C446C">
        <w:rPr>
          <w:lang w:val="fr-FR"/>
        </w:rPr>
        <w:t>) + M</w:t>
      </w:r>
      <w:r w:rsidRPr="003C446C">
        <w:rPr>
          <w:vertAlign w:val="subscript"/>
          <w:lang w:val="fr-FR"/>
        </w:rPr>
        <w:t>0</w:t>
      </w:r>
      <w:r w:rsidRPr="003C446C">
        <w:rPr>
          <w:vertAlign w:val="superscript"/>
          <w:lang w:val="fr-FR"/>
        </w:rPr>
        <w:t>E</w:t>
      </w:r>
      <w:r w:rsidRPr="003C446C">
        <w:rPr>
          <w:lang w:val="fr-FR"/>
        </w:rPr>
        <w:t>]</w:t>
      </w:r>
      <w:r w:rsidRPr="003C446C">
        <w:rPr>
          <w:lang w:val="fr-FR"/>
        </w:rPr>
        <w:tab/>
      </w:r>
      <w:r w:rsidRPr="003C446C">
        <w:rPr>
          <w:lang w:val="fr-FR"/>
        </w:rPr>
        <w:tab/>
      </w:r>
      <w:r w:rsidRPr="003C446C">
        <w:rPr>
          <w:lang w:val="fr-FR"/>
        </w:rPr>
        <w:tab/>
      </w:r>
    </w:p>
    <w:p w14:paraId="058BBD4A" w14:textId="77777777" w:rsidR="00104862" w:rsidRPr="009F6FA8" w:rsidRDefault="00104862" w:rsidP="00104862">
      <w:r w:rsidRPr="009F6FA8">
        <w:t>where A is a scaling factor that accounts for proton density, magnetic susceptibility, and RF chain efficiency, M</w:t>
      </w:r>
      <w:r w:rsidRPr="009F6FA8">
        <w:rPr>
          <w:vertAlign w:val="subscript"/>
        </w:rPr>
        <w:t>0</w:t>
      </w:r>
      <w:r w:rsidRPr="009F6FA8">
        <w:rPr>
          <w:vertAlign w:val="superscript"/>
        </w:rPr>
        <w:t>P</w:t>
      </w:r>
      <w:r w:rsidRPr="009F6FA8">
        <w:t xml:space="preserve"> is the longitudinal magnetization obtained after the polarization stage, M</w:t>
      </w:r>
      <w:r w:rsidRPr="009F6FA8">
        <w:rPr>
          <w:vertAlign w:val="subscript"/>
        </w:rPr>
        <w:t>0</w:t>
      </w:r>
      <w:r w:rsidRPr="009F6FA8">
        <w:rPr>
          <w:vertAlign w:val="superscript"/>
        </w:rPr>
        <w:t>E</w:t>
      </w:r>
      <w:r w:rsidRPr="009F6FA8">
        <w:t xml:space="preserve"> is the equilibrium magnetization level during the evolution stage and </w:t>
      </w:r>
      <w:proofErr w:type="spellStart"/>
      <w:r w:rsidRPr="009F6FA8">
        <w:t>t</w:t>
      </w:r>
      <w:r w:rsidRPr="009F6FA8">
        <w:rPr>
          <w:vertAlign w:val="superscript"/>
        </w:rPr>
        <w:t>E</w:t>
      </w:r>
      <w:proofErr w:type="spellEnd"/>
      <w:r w:rsidRPr="009F6FA8">
        <w:t xml:space="preserve"> is the evolution time. In conventional MRI, this equation is simpler as there is a direct relationship between M</w:t>
      </w:r>
      <w:r w:rsidRPr="009F6FA8">
        <w:rPr>
          <w:vertAlign w:val="subscript"/>
        </w:rPr>
        <w:t>0</w:t>
      </w:r>
      <w:r w:rsidRPr="009F6FA8">
        <w:rPr>
          <w:vertAlign w:val="superscript"/>
        </w:rPr>
        <w:t>P</w:t>
      </w:r>
      <w:r w:rsidRPr="009F6FA8">
        <w:t xml:space="preserve"> and </w:t>
      </w:r>
      <w:r w:rsidRPr="00B31D19">
        <w:t>M</w:t>
      </w:r>
      <w:r w:rsidRPr="00B31D19">
        <w:rPr>
          <w:vertAlign w:val="subscript"/>
        </w:rPr>
        <w:t>0</w:t>
      </w:r>
      <w:r w:rsidRPr="00B31D19">
        <w:rPr>
          <w:vertAlign w:val="superscript"/>
        </w:rPr>
        <w:t>E</w:t>
      </w:r>
      <w:r w:rsidRPr="00B31D19">
        <w:t xml:space="preserve">, but </w:t>
      </w:r>
      <w:r>
        <w:t>for</w:t>
      </w:r>
      <w:r w:rsidRPr="00B31D19">
        <w:t xml:space="preserve"> FCI </w:t>
      </w:r>
      <w:r>
        <w:t xml:space="preserve">the model </w:t>
      </w:r>
      <w:proofErr w:type="gramStart"/>
      <w:r>
        <w:t>has to</w:t>
      </w:r>
      <w:proofErr w:type="gramEnd"/>
      <w:r>
        <w:t xml:space="preserve"> take into account the change in equilibrium magnetization </w:t>
      </w:r>
      <w:r w:rsidRPr="00B31D19">
        <w:t>M</w:t>
      </w:r>
      <w:r w:rsidRPr="00B31D19">
        <w:rPr>
          <w:vertAlign w:val="subscript"/>
        </w:rPr>
        <w:t>0</w:t>
      </w:r>
      <w:r w:rsidRPr="00B31D19">
        <w:rPr>
          <w:vertAlign w:val="superscript"/>
        </w:rPr>
        <w:t>E</w:t>
      </w:r>
      <w:r>
        <w:t xml:space="preserve">, which </w:t>
      </w:r>
      <w:r w:rsidRPr="00B31D19">
        <w:t>depends on the evolution field.</w:t>
      </w:r>
      <w:r w:rsidRPr="009F6FA8">
        <w:t xml:space="preserve"> </w:t>
      </w:r>
    </w:p>
    <w:p w14:paraId="5CE96831" w14:textId="77777777" w:rsidR="00104862" w:rsidRPr="009F6FA8" w:rsidRDefault="00104862" w:rsidP="00104862">
      <w:pPr>
        <w:pStyle w:val="Heading2"/>
      </w:pPr>
      <w:r w:rsidRPr="009F6FA8">
        <w:t>Analysis of the T</w:t>
      </w:r>
      <w:r w:rsidRPr="001821E8">
        <w:rPr>
          <w:vertAlign w:val="subscript"/>
        </w:rPr>
        <w:t>1</w:t>
      </w:r>
      <w:r w:rsidRPr="009F6FA8">
        <w:t xml:space="preserve"> NMRD profiles</w:t>
      </w:r>
    </w:p>
    <w:p w14:paraId="014F155E" w14:textId="3F9BD44E" w:rsidR="00104862" w:rsidRPr="009F6FA8" w:rsidRDefault="00104862" w:rsidP="00104862">
      <w:r w:rsidRPr="009F6FA8">
        <w:t xml:space="preserve">The NMRD profiles of </w:t>
      </w:r>
      <w:proofErr w:type="spellStart"/>
      <w:r>
        <w:t>tumo</w:t>
      </w:r>
      <w:r w:rsidR="00B84CEF">
        <w:t>u</w:t>
      </w:r>
      <w:r>
        <w:t>r</w:t>
      </w:r>
      <w:r w:rsidRPr="009F6FA8">
        <w:t>s</w:t>
      </w:r>
      <w:proofErr w:type="spellEnd"/>
      <w:r w:rsidRPr="009F6FA8">
        <w:t xml:space="preserve"> were analyzed using a power law model: </w:t>
      </w:r>
    </w:p>
    <w:p w14:paraId="51F36A66" w14:textId="77777777" w:rsidR="00104862" w:rsidRPr="009F6FA8" w:rsidRDefault="00104862" w:rsidP="00104862">
      <w:pPr>
        <w:pStyle w:val="Caption"/>
      </w:pPr>
      <w:r w:rsidRPr="009F6FA8">
        <w:t>Equation 2</w:t>
      </w:r>
    </w:p>
    <w:p w14:paraId="0245AE31" w14:textId="77777777" w:rsidR="00104862" w:rsidRPr="009F6FA8" w:rsidRDefault="00104862" w:rsidP="00104862">
      <w:pPr>
        <w:pStyle w:val="Caption"/>
        <w:rPr>
          <w:rFonts w:ascii="Symbol" w:hAnsi="Symbol"/>
        </w:rPr>
      </w:pPr>
      <w:r w:rsidRPr="009F6FA8">
        <w:t>1/T</w:t>
      </w:r>
      <w:r w:rsidRPr="009F6FA8">
        <w:rPr>
          <w:vertAlign w:val="subscript"/>
        </w:rPr>
        <w:t>1</w:t>
      </w:r>
      <w:r w:rsidRPr="009F6FA8">
        <w:t>(B</w:t>
      </w:r>
      <w:r w:rsidRPr="009F6FA8">
        <w:rPr>
          <w:rFonts w:ascii="Symbol" w:hAnsi="Symbol"/>
          <w:vertAlign w:val="subscript"/>
        </w:rPr>
        <w:t></w:t>
      </w:r>
      <w:r w:rsidRPr="009F6FA8">
        <w:rPr>
          <w:rFonts w:ascii="Symbol" w:hAnsi="Symbol"/>
          <w:vertAlign w:val="superscript"/>
        </w:rPr>
        <w:t></w:t>
      </w:r>
      <w:r w:rsidRPr="009F6FA8">
        <w:t xml:space="preserve">) = </w:t>
      </w:r>
      <w:r w:rsidRPr="009F6FA8">
        <w:rPr>
          <w:rFonts w:ascii="Symbol" w:hAnsi="Symbol"/>
        </w:rPr>
        <w:t></w:t>
      </w:r>
      <w:r w:rsidRPr="009F6FA8">
        <w:t xml:space="preserve"> B</w:t>
      </w:r>
      <w:r w:rsidRPr="009F6FA8">
        <w:rPr>
          <w:rFonts w:ascii="Symbol" w:hAnsi="Symbol"/>
          <w:vertAlign w:val="subscript"/>
        </w:rPr>
        <w:t></w:t>
      </w:r>
      <w:r w:rsidRPr="009F6FA8">
        <w:rPr>
          <w:rFonts w:ascii="Symbol" w:hAnsi="Symbol"/>
          <w:vertAlign w:val="superscript"/>
        </w:rPr>
        <w:t></w:t>
      </w:r>
      <w:r w:rsidRPr="009F6FA8">
        <w:rPr>
          <w:rFonts w:ascii="Symbol" w:hAnsi="Symbol"/>
          <w:vertAlign w:val="superscript"/>
        </w:rPr>
        <w:t></w:t>
      </w:r>
      <w:r w:rsidRPr="009F6FA8">
        <w:rPr>
          <w:rFonts w:ascii="Symbol" w:hAnsi="Symbol"/>
          <w:vertAlign w:val="superscript"/>
        </w:rPr>
        <w:t></w:t>
      </w:r>
      <w:r w:rsidRPr="009F6FA8">
        <w:rPr>
          <w:rFonts w:ascii="Symbol" w:hAnsi="Symbol"/>
          <w:vertAlign w:val="superscript"/>
        </w:rPr>
        <w:t></w:t>
      </w:r>
      <w:r w:rsidRPr="009F6FA8">
        <w:rPr>
          <w:rFonts w:ascii="Symbol" w:hAnsi="Symbol"/>
          <w:vertAlign w:val="superscript"/>
        </w:rPr>
        <w:t></w:t>
      </w:r>
      <w:r w:rsidRPr="009F6FA8">
        <w:rPr>
          <w:rFonts w:ascii="Symbol" w:hAnsi="Symbol"/>
          <w:vertAlign w:val="superscript"/>
        </w:rPr>
        <w:t></w:t>
      </w:r>
      <w:r w:rsidRPr="009F6FA8">
        <w:tab/>
      </w:r>
      <w:r w:rsidRPr="009F6FA8">
        <w:tab/>
      </w:r>
      <w:r w:rsidRPr="009F6FA8">
        <w:tab/>
      </w:r>
      <w:r w:rsidRPr="009F6FA8">
        <w:tab/>
      </w:r>
      <w:r w:rsidRPr="009F6FA8">
        <w:tab/>
      </w:r>
      <w:r w:rsidRPr="009F6FA8">
        <w:tab/>
      </w:r>
    </w:p>
    <w:p w14:paraId="4638324A" w14:textId="77777777" w:rsidR="00104862" w:rsidRPr="009F6FA8" w:rsidRDefault="00104862" w:rsidP="00104862">
      <w:r w:rsidRPr="009F6FA8">
        <w:t>where B</w:t>
      </w:r>
      <w:r w:rsidRPr="009F6FA8">
        <w:rPr>
          <w:vertAlign w:val="subscript"/>
        </w:rPr>
        <w:t>0</w:t>
      </w:r>
      <w:r w:rsidRPr="009F6FA8">
        <w:rPr>
          <w:vertAlign w:val="superscript"/>
        </w:rPr>
        <w:t>E</w:t>
      </w:r>
      <w:r w:rsidRPr="009F6FA8">
        <w:t xml:space="preserve"> is the evolution field, and </w:t>
      </w:r>
      <w:r w:rsidRPr="009F6FA8">
        <w:rPr>
          <w:rFonts w:ascii="Symbol" w:hAnsi="Symbol"/>
        </w:rPr>
        <w:t></w:t>
      </w:r>
      <w:r w:rsidRPr="009F6FA8">
        <w:t xml:space="preserve"> </w:t>
      </w:r>
      <w:proofErr w:type="spellStart"/>
      <w:r w:rsidRPr="009F6FA8">
        <w:t>and</w:t>
      </w:r>
      <w:proofErr w:type="spellEnd"/>
      <w:r w:rsidRPr="009F6FA8">
        <w:t xml:space="preserve"> </w:t>
      </w:r>
      <w:r w:rsidRPr="009F6FA8">
        <w:rPr>
          <w:rFonts w:ascii="Symbol" w:hAnsi="Symbol"/>
        </w:rPr>
        <w:t></w:t>
      </w:r>
      <w:r w:rsidRPr="009F6FA8">
        <w:t xml:space="preserve"> are the amplitude and dispersion of the power law model respectively. In a log-log plot, </w:t>
      </w:r>
      <w:r w:rsidRPr="009F6FA8">
        <w:rPr>
          <w:rFonts w:ascii="Symbol" w:hAnsi="Symbol"/>
        </w:rPr>
        <w:t></w:t>
      </w:r>
      <w:r w:rsidRPr="009F6FA8">
        <w:t xml:space="preserve"> corresponds to the value of the NMRD profile at 1 mT and </w:t>
      </w:r>
      <w:r w:rsidRPr="009F6FA8">
        <w:rPr>
          <w:rFonts w:ascii="Symbol" w:hAnsi="Symbol"/>
        </w:rPr>
        <w:t></w:t>
      </w:r>
      <w:r w:rsidRPr="009F6FA8">
        <w:t xml:space="preserve"> to the slope of the curve. This model choice was motivated by its simplicity, which allows extracting structural information from a limited number of points in the T</w:t>
      </w:r>
      <w:r w:rsidRPr="009F6FA8">
        <w:rPr>
          <w:vertAlign w:val="subscript"/>
        </w:rPr>
        <w:t>1</w:t>
      </w:r>
      <w:r w:rsidRPr="009F6FA8">
        <w:t xml:space="preserve"> NMRD profiles. </w:t>
      </w:r>
    </w:p>
    <w:p w14:paraId="74EE2C54" w14:textId="77777777" w:rsidR="00104862" w:rsidRPr="009F6FA8" w:rsidRDefault="00104862" w:rsidP="00104862">
      <w:r w:rsidRPr="009F6FA8">
        <w:t>Previous experiments</w:t>
      </w:r>
      <w:r>
        <w:t xml:space="preserve"> (data not published)</w:t>
      </w:r>
      <w:r w:rsidRPr="009F6FA8">
        <w:t xml:space="preserve"> from excised breast tissues by our group showed that their T</w:t>
      </w:r>
      <w:r w:rsidRPr="009F6FA8">
        <w:rPr>
          <w:vertAlign w:val="subscript"/>
        </w:rPr>
        <w:t>1</w:t>
      </w:r>
      <w:r w:rsidRPr="009F6FA8">
        <w:t xml:space="preserve"> NMRD profile consists of two regions, above and below 22 mT, following power law models with different dispersions. </w:t>
      </w:r>
    </w:p>
    <w:p w14:paraId="7027957D" w14:textId="2E2362B6" w:rsidR="00104862" w:rsidRPr="009F6FA8" w:rsidRDefault="00104862" w:rsidP="00104862">
      <w:r w:rsidRPr="009F6FA8">
        <w:t xml:space="preserve">Similar analyses from breast </w:t>
      </w:r>
      <w:proofErr w:type="spellStart"/>
      <w:r>
        <w:t>tumo</w:t>
      </w:r>
      <w:r w:rsidR="00124C34">
        <w:t>u</w:t>
      </w:r>
      <w:r>
        <w:t>r</w:t>
      </w:r>
      <w:r w:rsidRPr="009F6FA8">
        <w:t>s</w:t>
      </w:r>
      <w:proofErr w:type="spellEnd"/>
      <w:r w:rsidRPr="009F6FA8">
        <w:t xml:space="preserve"> showed only one single power law behavior, but with added relaxation enhancements known as quadrupolar peaks (QP). These appear around 60 mT and are known to be due to cross-relaxation between water protons and </w:t>
      </w:r>
      <w:r w:rsidRPr="009F6FA8">
        <w:rPr>
          <w:vertAlign w:val="superscript"/>
        </w:rPr>
        <w:t>14</w:t>
      </w:r>
      <w:r w:rsidRPr="009F6FA8">
        <w:t xml:space="preserve">N from slowly moving proteins. </w:t>
      </w:r>
    </w:p>
    <w:p w14:paraId="399EC9BB" w14:textId="582C9B96" w:rsidR="00104862" w:rsidRPr="009F6FA8" w:rsidRDefault="00104862" w:rsidP="00104862">
      <w:r w:rsidRPr="00FB2734">
        <w:t>In this</w:t>
      </w:r>
      <w:r>
        <w:t xml:space="preserve"> exploratory </w:t>
      </w:r>
      <w:r w:rsidRPr="00FB2734">
        <w:t xml:space="preserve">study, we limited the total scan time to one hour maximum for patient comfort. </w:t>
      </w:r>
      <w:r>
        <w:t xml:space="preserve">This only allowed us to scan four evolution fields with </w:t>
      </w:r>
      <w:proofErr w:type="gramStart"/>
      <w:r>
        <w:t>a sufficient number of</w:t>
      </w:r>
      <w:proofErr w:type="gramEnd"/>
      <w:r>
        <w:t xml:space="preserve"> evolution times for T</w:t>
      </w:r>
      <w:r w:rsidRPr="008F5E14">
        <w:rPr>
          <w:vertAlign w:val="subscript"/>
        </w:rPr>
        <w:t>1</w:t>
      </w:r>
      <w:r>
        <w:t xml:space="preserve"> estimation. Therefore, t</w:t>
      </w:r>
      <w:r w:rsidRPr="00FB2734">
        <w:t xml:space="preserve">o explore all </w:t>
      </w:r>
      <w:r>
        <w:t xml:space="preserve">relevant </w:t>
      </w:r>
      <w:r w:rsidRPr="00FB2734">
        <w:t xml:space="preserve">water dynamic regimes, </w:t>
      </w:r>
      <w:r>
        <w:lastRenderedPageBreak/>
        <w:t>we</w:t>
      </w:r>
      <w:r w:rsidRPr="009F6FA8">
        <w:t xml:space="preserve"> </w:t>
      </w:r>
      <w:r>
        <w:t xml:space="preserve">decided to </w:t>
      </w:r>
      <w:r w:rsidRPr="009F6FA8">
        <w:t xml:space="preserve">use three evolution fields, at 200, 22 and 2.3 mT, since these measurements </w:t>
      </w:r>
      <w:r>
        <w:t>are</w:t>
      </w:r>
      <w:r w:rsidRPr="009F6FA8">
        <w:t xml:space="preserve"> sufficient to estimate the T</w:t>
      </w:r>
      <w:r w:rsidRPr="009F6FA8">
        <w:rPr>
          <w:vertAlign w:val="subscript"/>
        </w:rPr>
        <w:t>1</w:t>
      </w:r>
      <w:r w:rsidRPr="009F6FA8">
        <w:t xml:space="preserve"> </w:t>
      </w:r>
      <w:r>
        <w:t xml:space="preserve">dispersion </w:t>
      </w:r>
      <w:r w:rsidRPr="009F6FA8">
        <w:t>in the low- and high-field regions</w:t>
      </w:r>
      <w:r>
        <w:t>. We allocated the last evolution field at 65.8 mT</w:t>
      </w:r>
      <w:r w:rsidRPr="009F6FA8">
        <w:t xml:space="preserve"> to </w:t>
      </w:r>
      <w:r>
        <w:t xml:space="preserve">assess changes of </w:t>
      </w:r>
      <w:r w:rsidRPr="009F6FA8">
        <w:t>quadrupolar relaxation</w:t>
      </w:r>
      <w:r>
        <w:t>.</w:t>
      </w:r>
    </w:p>
    <w:p w14:paraId="1BADE560" w14:textId="77777777" w:rsidR="00104862" w:rsidRPr="009F6FA8" w:rsidRDefault="00104862" w:rsidP="00104862">
      <w:pPr>
        <w:pStyle w:val="Heading2"/>
      </w:pPr>
      <w:r w:rsidRPr="009F6FA8">
        <w:t>Extraction of the image quality metrics</w:t>
      </w:r>
    </w:p>
    <w:p w14:paraId="79455090" w14:textId="77777777" w:rsidR="00104862" w:rsidRPr="009F6FA8" w:rsidRDefault="00104862" w:rsidP="00104862">
      <w:r w:rsidRPr="009F6FA8">
        <w:t xml:space="preserve">The Signal-to-Noise Ratio (SNR) of </w:t>
      </w:r>
      <w:r w:rsidRPr="008F5E14">
        <w:t>FCI</w:t>
      </w:r>
      <w:r w:rsidRPr="009F6FA8">
        <w:t xml:space="preserve"> images was measured using the Rayleigh correction factor: </w:t>
      </w:r>
    </w:p>
    <w:p w14:paraId="7330A975" w14:textId="77777777" w:rsidR="00104862" w:rsidRPr="009F6FA8" w:rsidRDefault="00104862" w:rsidP="00104862">
      <w:pPr>
        <w:pStyle w:val="Caption"/>
      </w:pPr>
      <w:r w:rsidRPr="009F6FA8">
        <w:t>Equation 3</w:t>
      </w:r>
    </w:p>
    <w:p w14:paraId="2CE1E52A" w14:textId="77777777" w:rsidR="00104862" w:rsidRPr="009F6FA8" w:rsidRDefault="00104862" w:rsidP="00104862">
      <w:pPr>
        <w:pStyle w:val="Caption"/>
        <w:rPr>
          <w:color w:val="auto"/>
        </w:rPr>
      </w:pPr>
      <w:r w:rsidRPr="009F6FA8">
        <w:t>SNR = 0.66 x S(ROI</w:t>
      </w:r>
      <w:r w:rsidRPr="009F6FA8">
        <w:rPr>
          <w:vertAlign w:val="subscript"/>
        </w:rPr>
        <w:t>S</w:t>
      </w:r>
      <w:r w:rsidRPr="009F6FA8">
        <w:t>) / S(ROI</w:t>
      </w:r>
      <w:r w:rsidRPr="009F6FA8">
        <w:rPr>
          <w:vertAlign w:val="subscript"/>
        </w:rPr>
        <w:t>N</w:t>
      </w:r>
      <w:r w:rsidRPr="009F6FA8">
        <w:t>)</w:t>
      </w:r>
      <w:r w:rsidRPr="009F6FA8">
        <w:tab/>
      </w:r>
      <w:r w:rsidRPr="009F6FA8">
        <w:tab/>
        <w:t xml:space="preserve"> </w:t>
      </w:r>
      <w:r w:rsidRPr="009F6FA8">
        <w:tab/>
      </w:r>
      <w:r w:rsidRPr="009F6FA8">
        <w:tab/>
      </w:r>
    </w:p>
    <w:p w14:paraId="7121593E" w14:textId="77777777" w:rsidR="00104862" w:rsidRPr="009F6FA8" w:rsidRDefault="00104862" w:rsidP="00104862">
      <w:r w:rsidRPr="009F6FA8">
        <w:t>where S(ROI</w:t>
      </w:r>
      <w:r w:rsidRPr="009F6FA8">
        <w:rPr>
          <w:vertAlign w:val="subscript"/>
        </w:rPr>
        <w:t>S</w:t>
      </w:r>
      <w:r w:rsidRPr="009F6FA8">
        <w:t>) is the mean intensity from the region of interest (ROI) on the contralateral healthy tissue and S(ROI</w:t>
      </w:r>
      <w:r w:rsidRPr="009F6FA8">
        <w:rPr>
          <w:vertAlign w:val="subscript"/>
        </w:rPr>
        <w:t>N</w:t>
      </w:r>
      <w:r w:rsidRPr="009F6FA8">
        <w:t>) is the mean intensity from the ROI on background noise.</w:t>
      </w:r>
    </w:p>
    <w:p w14:paraId="27698953" w14:textId="649DA63D" w:rsidR="00104862" w:rsidRPr="009F6FA8" w:rsidRDefault="00104862" w:rsidP="00104862">
      <w:r w:rsidRPr="009F6FA8">
        <w:t xml:space="preserve">The contrast-to-noise ratio (CNR) was measured from the two images, one at the highest field strength (200 mT) and one at the lowest field strength (0.2 mT) from the first evolution time. The CNR between the </w:t>
      </w:r>
      <w:proofErr w:type="spellStart"/>
      <w:r>
        <w:t>tumo</w:t>
      </w:r>
      <w:r w:rsidR="007E661A">
        <w:t>u</w:t>
      </w:r>
      <w:r>
        <w:t>r</w:t>
      </w:r>
      <w:proofErr w:type="spellEnd"/>
      <w:r w:rsidRPr="009F6FA8">
        <w:t xml:space="preserve"> and adjacent healthy tissue was calculated as: </w:t>
      </w:r>
    </w:p>
    <w:p w14:paraId="16C5FAEA" w14:textId="77777777" w:rsidR="00104862" w:rsidRPr="009F6FA8" w:rsidRDefault="00104862" w:rsidP="00104862">
      <w:pPr>
        <w:pStyle w:val="Caption"/>
      </w:pPr>
      <w:r w:rsidRPr="009F6FA8">
        <w:t>Equation 4</w:t>
      </w:r>
    </w:p>
    <w:p w14:paraId="44379A9B" w14:textId="77777777" w:rsidR="00104862" w:rsidRPr="009F6FA8" w:rsidRDefault="00104862" w:rsidP="00104862">
      <w:pPr>
        <w:pStyle w:val="Caption"/>
      </w:pPr>
      <w:r w:rsidRPr="009F6FA8">
        <w:t>CNR =</w:t>
      </w:r>
      <m:oMath>
        <m:f>
          <m:fPr>
            <m:ctrlPr>
              <w:rPr>
                <w:rFonts w:ascii="Cambria Math" w:hAnsi="Cambria Math"/>
              </w:rPr>
            </m:ctrlPr>
          </m:fPr>
          <m:num>
            <m:d>
              <m:dPr>
                <m:begChr m:val="|"/>
                <m:endChr m:val="|"/>
                <m:ctrlPr>
                  <w:rPr>
                    <w:rFonts w:ascii="Cambria Math" w:hAnsi="Cambria Math"/>
                    <w:i/>
                    <w:iCs/>
                  </w:rPr>
                </m:ctrlPr>
              </m:dPr>
              <m:e>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T</m:t>
                    </m:r>
                  </m:sub>
                </m:sSub>
                <m:r>
                  <m:rPr>
                    <m:sty m:val="p"/>
                  </m:rPr>
                  <w:rPr>
                    <w:rFonts w:ascii="Cambria Math" w:hAnsi="Cambria Math"/>
                  </w:rPr>
                  <m:t xml:space="preserve">) - </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H</m:t>
                    </m:r>
                  </m:sub>
                </m:sSub>
                <m:r>
                  <m:rPr>
                    <m:sty m:val="p"/>
                  </m:rPr>
                  <w:rPr>
                    <w:rFonts w:ascii="Cambria Math" w:hAnsi="Cambria Math"/>
                  </w:rPr>
                  <m:t>)</m:t>
                </m:r>
              </m:e>
            </m:d>
          </m:num>
          <m:den>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N</m:t>
                </m:r>
              </m:sub>
            </m:sSub>
            <m:r>
              <m:rPr>
                <m:sty m:val="p"/>
              </m:rPr>
              <w:rPr>
                <w:rFonts w:ascii="Cambria Math" w:hAnsi="Cambria Math"/>
              </w:rPr>
              <m:t xml:space="preserve">) </m:t>
            </m:r>
            <m:r>
              <w:rPr>
                <w:rFonts w:ascii="Cambria Math" w:hAnsi="Cambria Math"/>
              </w:rPr>
              <m:t>×</m:t>
            </m:r>
            <m:r>
              <m:rPr>
                <m:sty m:val="p"/>
              </m:rPr>
              <w:rPr>
                <w:rFonts w:ascii="Cambria Math" w:hAnsi="Cambria Math"/>
              </w:rPr>
              <m:t xml:space="preserve"> 0.66</m:t>
            </m:r>
          </m:den>
        </m:f>
      </m:oMath>
      <w:r w:rsidRPr="009F6FA8">
        <w:t xml:space="preserve"> </w:t>
      </w:r>
    </w:p>
    <w:p w14:paraId="2432FD9C" w14:textId="0EFF53A5" w:rsidR="00104862" w:rsidRPr="009F6FA8" w:rsidRDefault="00104862" w:rsidP="00104862">
      <w:r w:rsidRPr="009F6FA8">
        <w:t>where S(ROI</w:t>
      </w:r>
      <w:r w:rsidRPr="009F6FA8">
        <w:rPr>
          <w:vertAlign w:val="subscript"/>
        </w:rPr>
        <w:t>T</w:t>
      </w:r>
      <w:r w:rsidRPr="009F6FA8">
        <w:t xml:space="preserve">) is the mean signal intensities from the ROIs in </w:t>
      </w:r>
      <w:proofErr w:type="spellStart"/>
      <w:r>
        <w:t>tumo</w:t>
      </w:r>
      <w:r w:rsidR="007E661A">
        <w:t>u</w:t>
      </w:r>
      <w:r>
        <w:t>r</w:t>
      </w:r>
      <w:proofErr w:type="spellEnd"/>
      <w:r w:rsidRPr="009F6FA8">
        <w:t xml:space="preserve"> and S(ROI</w:t>
      </w:r>
      <w:r w:rsidRPr="009F6FA8">
        <w:rPr>
          <w:vertAlign w:val="subscript"/>
        </w:rPr>
        <w:t>H</w:t>
      </w:r>
      <w:r w:rsidRPr="009F6FA8">
        <w:t>) is the mean signal intensities from the ROIs in adjacent healthy tissue</w:t>
      </w:r>
      <w:r>
        <w:t xml:space="preserve"> which generally includes a mix of adipose and glandular tissue.</w:t>
      </w:r>
    </w:p>
    <w:p w14:paraId="53380038" w14:textId="7438A07A" w:rsidR="00104862" w:rsidRPr="009F6FA8" w:rsidRDefault="00104862" w:rsidP="00104862">
      <w:r w:rsidRPr="009F6FA8">
        <w:t xml:space="preserve">The </w:t>
      </w:r>
      <w:proofErr w:type="spellStart"/>
      <w:r>
        <w:t>tumo</w:t>
      </w:r>
      <w:r w:rsidR="007E661A">
        <w:t>u</w:t>
      </w:r>
      <w:r>
        <w:t>r</w:t>
      </w:r>
      <w:proofErr w:type="spellEnd"/>
      <w:r>
        <w:t>-to-background contrast ratio in T</w:t>
      </w:r>
      <w:r>
        <w:rPr>
          <w:vertAlign w:val="subscript"/>
        </w:rPr>
        <w:t>1</w:t>
      </w:r>
      <w:r>
        <w:t xml:space="preserve"> maps was calculated as the percentage</w:t>
      </w:r>
      <w:r w:rsidRPr="009F6FA8">
        <w:t xml:space="preserve"> difference in T</w:t>
      </w:r>
      <w:r w:rsidRPr="001821E8">
        <w:rPr>
          <w:vertAlign w:val="subscript"/>
        </w:rPr>
        <w:t>1</w:t>
      </w:r>
      <w:r>
        <w:t xml:space="preserve"> </w:t>
      </w:r>
      <w:r w:rsidRPr="009F6FA8">
        <w:t>from:</w:t>
      </w:r>
    </w:p>
    <w:p w14:paraId="266D472D" w14:textId="77777777" w:rsidR="00104862" w:rsidRPr="009F6FA8" w:rsidRDefault="00104862" w:rsidP="00104862">
      <w:pPr>
        <w:pStyle w:val="Caption"/>
      </w:pPr>
      <w:r w:rsidRPr="009F6FA8">
        <w:t>Equation 5</w:t>
      </w:r>
    </w:p>
    <w:p w14:paraId="4950533A" w14:textId="77777777" w:rsidR="00104862" w:rsidRPr="009F6FA8" w:rsidRDefault="00104862" w:rsidP="00104862">
      <w:pPr>
        <w:pStyle w:val="Caption"/>
        <w:ind w:left="708" w:hanging="708"/>
      </w:pPr>
      <w:r w:rsidRPr="009F6FA8">
        <w:t>ΔT</w:t>
      </w:r>
      <w:r w:rsidRPr="001821E8">
        <w:rPr>
          <w:vertAlign w:val="subscript"/>
        </w:rPr>
        <w:t>1</w:t>
      </w:r>
      <w:r w:rsidRPr="009F6FA8">
        <w:t>% =</w:t>
      </w:r>
      <m:oMath>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T</m:t>
                </m:r>
              </m:sub>
            </m:sSub>
            <m:r>
              <m:rPr>
                <m:sty m:val="p"/>
              </m:rPr>
              <w:rPr>
                <w:rFonts w:ascii="Cambria Math" w:hAnsi="Cambria Math"/>
              </w:rPr>
              <m:t>) -</m:t>
            </m:r>
            <m:sSub>
              <m:sSubPr>
                <m:ctrlPr>
                  <w:rPr>
                    <w:rFonts w:ascii="Cambria Math" w:hAnsi="Cambria Math"/>
                  </w:rPr>
                </m:ctrlPr>
              </m:sSubPr>
              <m:e>
                <m:r>
                  <w:rPr>
                    <w:rFonts w:ascii="Cambria Math" w:hAnsi="Cambria Math"/>
                  </w:rPr>
                  <m:t>T</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H</m:t>
                </m:r>
              </m:sub>
            </m:sSub>
            <m:r>
              <m:rPr>
                <m:sty m:val="p"/>
              </m:rPr>
              <w:rPr>
                <w:rFonts w:ascii="Cambria Math" w:hAnsi="Cambria Math"/>
              </w:rPr>
              <m:t>)</m:t>
            </m:r>
          </m:num>
          <m:den>
            <m:sSub>
              <m:sSubPr>
                <m:ctrlPr>
                  <w:rPr>
                    <w:rFonts w:ascii="Cambria Math" w:hAnsi="Cambria Math"/>
                  </w:rPr>
                </m:ctrlPr>
              </m:sSubPr>
              <m:e>
                <m:r>
                  <w:rPr>
                    <w:rFonts w:ascii="Cambria Math" w:hAnsi="Cambria Math"/>
                  </w:rPr>
                  <m:t>[T</m:t>
                </m:r>
              </m:e>
              <m:sub>
                <m:r>
                  <w:rPr>
                    <w:rFonts w:ascii="Cambria Math" w:hAnsi="Cambria Math"/>
                  </w:rPr>
                  <m:t>1</m:t>
                </m:r>
              </m:sub>
            </m:sSub>
            <m:d>
              <m:dPr>
                <m:ctrlPr>
                  <w:rPr>
                    <w:rFonts w:ascii="Cambria Math" w:hAnsi="Cambria Math"/>
                  </w:rPr>
                </m:ctrlPr>
              </m:dPr>
              <m:e>
                <m:sSub>
                  <m:sSubPr>
                    <m:ctrlPr>
                      <w:rPr>
                        <w:rFonts w:ascii="Cambria Math" w:hAnsi="Cambria Math"/>
                      </w:rPr>
                    </m:ctrlPr>
                  </m:sSubPr>
                  <m:e>
                    <m:r>
                      <w:rPr>
                        <w:rFonts w:ascii="Cambria Math" w:hAnsi="Cambria Math"/>
                      </w:rPr>
                      <m:t>ROI</m:t>
                    </m:r>
                  </m:e>
                  <m:sub>
                    <m:r>
                      <w:rPr>
                        <w:rFonts w:ascii="Cambria Math" w:hAnsi="Cambria Math"/>
                      </w:rPr>
                      <m:t>T</m:t>
                    </m:r>
                  </m:sub>
                </m:sSub>
              </m:e>
            </m:d>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H</m:t>
                </m:r>
              </m:sub>
            </m:sSub>
            <m:r>
              <m:rPr>
                <m:sty m:val="p"/>
              </m:rPr>
              <w:rPr>
                <w:rFonts w:ascii="Cambria Math" w:hAnsi="Cambria Math"/>
              </w:rPr>
              <m:t>)]/2</m:t>
            </m:r>
          </m:den>
        </m:f>
        <m:r>
          <w:rPr>
            <w:rFonts w:ascii="Cambria Math" w:hAnsi="Cambria Math"/>
          </w:rPr>
          <m:t>×100</m:t>
        </m:r>
      </m:oMath>
      <w:r w:rsidRPr="009F6FA8">
        <w:tab/>
      </w:r>
    </w:p>
    <w:p w14:paraId="05C78949" w14:textId="3B7169B9" w:rsidR="00104862" w:rsidRDefault="00104862" w:rsidP="00104862">
      <w:r>
        <w:rPr>
          <w:rFonts w:eastAsiaTheme="minorEastAsia"/>
        </w:rPr>
        <w:t>w</w:t>
      </w:r>
      <w:r w:rsidRPr="009F6FA8">
        <w:rPr>
          <w:rFonts w:eastAsiaTheme="minorEastAsia"/>
        </w:rPr>
        <w:t>here</w:t>
      </w:r>
      <w:r>
        <w:rPr>
          <w:rFonts w:eastAsiaTheme="minorEastAsia"/>
        </w:rPr>
        <w:t xml:space="preserve"> </w:t>
      </w:r>
      <m:oMath>
        <m:sSub>
          <m:sSubPr>
            <m:ctrlPr>
              <w:rPr>
                <w:rFonts w:ascii="Cambria Math" w:hAnsi="Cambria Math"/>
              </w:rPr>
            </m:ctrlPr>
          </m:sSubPr>
          <m:e>
            <m:r>
              <w:rPr>
                <w:rFonts w:ascii="Cambria Math" w:hAnsi="Cambria Math"/>
              </w:rPr>
              <m:t>T</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T</m:t>
            </m:r>
          </m:sub>
        </m:sSub>
        <m:r>
          <m:rPr>
            <m:sty m:val="p"/>
          </m:rPr>
          <w:rPr>
            <w:rFonts w:ascii="Cambria Math" w:hAnsi="Cambria Math"/>
          </w:rPr>
          <m:t xml:space="preserve">) </m:t>
        </m:r>
      </m:oMath>
      <w:r>
        <w:rPr>
          <w:rFonts w:eastAsiaTheme="minorEastAsia"/>
        </w:rPr>
        <w:t>a</w:t>
      </w:r>
      <w:proofErr w:type="spellStart"/>
      <w:r w:rsidRPr="00380047">
        <w:rPr>
          <w:rFonts w:eastAsiaTheme="minorEastAsia"/>
        </w:rPr>
        <w:t>nd</w:t>
      </w:r>
      <w:proofErr w:type="spellEnd"/>
      <w:r w:rsidRPr="00380047">
        <w:rPr>
          <w:rFonts w:eastAsiaTheme="minorEastAsia"/>
        </w:rPr>
        <w:t xml:space="preserve"> </w:t>
      </w:r>
      <m:oMath>
        <m:sSub>
          <m:sSubPr>
            <m:ctrlPr>
              <w:rPr>
                <w:rFonts w:ascii="Cambria Math" w:hAnsi="Cambria Math"/>
              </w:rPr>
            </m:ctrlPr>
          </m:sSubPr>
          <m:e>
            <m:r>
              <w:rPr>
                <w:rFonts w:ascii="Cambria Math" w:hAnsi="Cambria Math"/>
              </w:rPr>
              <m:t>T</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ROI</m:t>
            </m:r>
          </m:e>
          <m:sub>
            <m:r>
              <w:rPr>
                <w:rFonts w:ascii="Cambria Math" w:hAnsi="Cambria Math"/>
              </w:rPr>
              <m:t>H</m:t>
            </m:r>
          </m:sub>
        </m:sSub>
        <m:r>
          <m:rPr>
            <m:sty m:val="p"/>
          </m:rPr>
          <w:rPr>
            <w:rFonts w:ascii="Cambria Math" w:hAnsi="Cambria Math"/>
          </w:rPr>
          <m:t xml:space="preserve">) </m:t>
        </m:r>
      </m:oMath>
      <w:r>
        <w:rPr>
          <w:rFonts w:eastAsiaTheme="minorEastAsia"/>
        </w:rPr>
        <w:t>ar</w:t>
      </w:r>
      <w:r w:rsidRPr="009F6FA8">
        <w:rPr>
          <w:rFonts w:eastAsiaTheme="minorEastAsia"/>
        </w:rPr>
        <w:t xml:space="preserve">e the mean </w:t>
      </w:r>
      <w:r w:rsidRPr="008F5E14">
        <w:rPr>
          <w:rFonts w:eastAsiaTheme="minorEastAsia"/>
        </w:rPr>
        <w:t>T1</w:t>
      </w:r>
      <w:r w:rsidRPr="009F6FA8">
        <w:rPr>
          <w:rFonts w:eastAsiaTheme="minorEastAsia"/>
        </w:rPr>
        <w:t xml:space="preserve"> values from the ROIs in </w:t>
      </w:r>
      <w:proofErr w:type="spellStart"/>
      <w:r>
        <w:rPr>
          <w:rFonts w:eastAsiaTheme="minorEastAsia"/>
        </w:rPr>
        <w:t>tumo</w:t>
      </w:r>
      <w:r w:rsidR="007E661A">
        <w:rPr>
          <w:rFonts w:eastAsiaTheme="minorEastAsia"/>
        </w:rPr>
        <w:t>u</w:t>
      </w:r>
      <w:r>
        <w:rPr>
          <w:rFonts w:eastAsiaTheme="minorEastAsia"/>
        </w:rPr>
        <w:t>r</w:t>
      </w:r>
      <w:proofErr w:type="spellEnd"/>
      <w:r w:rsidRPr="009F6FA8">
        <w:rPr>
          <w:rFonts w:eastAsiaTheme="minorEastAsia"/>
        </w:rPr>
        <w:t xml:space="preserve"> and adjacent healthy tissue respectively</w:t>
      </w:r>
      <w:r>
        <w:rPr>
          <w:rFonts w:eastAsiaTheme="minorEastAsia"/>
        </w:rPr>
        <w:t xml:space="preserve"> from T</w:t>
      </w:r>
      <w:r>
        <w:rPr>
          <w:rFonts w:eastAsiaTheme="minorEastAsia"/>
          <w:vertAlign w:val="subscript"/>
        </w:rPr>
        <w:t>1</w:t>
      </w:r>
      <w:r>
        <w:rPr>
          <w:rFonts w:eastAsiaTheme="minorEastAsia"/>
        </w:rPr>
        <w:t xml:space="preserve"> maps</w:t>
      </w:r>
      <w:r w:rsidRPr="009F6FA8">
        <w:rPr>
          <w:rFonts w:eastAsiaTheme="minorEastAsia"/>
        </w:rPr>
        <w:t>.</w:t>
      </w:r>
    </w:p>
    <w:sectPr w:rsidR="00104862" w:rsidSect="00663E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862"/>
    <w:rsid w:val="00104862"/>
    <w:rsid w:val="00124C34"/>
    <w:rsid w:val="00146D4E"/>
    <w:rsid w:val="002D2BA0"/>
    <w:rsid w:val="00663E9C"/>
    <w:rsid w:val="00687619"/>
    <w:rsid w:val="007E661A"/>
    <w:rsid w:val="00841741"/>
    <w:rsid w:val="0093448D"/>
    <w:rsid w:val="00A25A8A"/>
    <w:rsid w:val="00B84CEF"/>
    <w:rsid w:val="00CD1B91"/>
    <w:rsid w:val="00DB0CC3"/>
    <w:rsid w:val="00EC0467"/>
    <w:rsid w:val="00FF4E5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4285E"/>
  <w15:chartTrackingRefBased/>
  <w15:docId w15:val="{F3F2616D-65E4-47A0-AE9A-36A4CC06A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862"/>
    <w:pPr>
      <w:spacing w:before="240" w:after="240" w:line="240" w:lineRule="auto"/>
    </w:pPr>
    <w:rPr>
      <w:rFonts w:cstheme="minorHAnsi"/>
      <w:kern w:val="0"/>
      <w:sz w:val="24"/>
      <w:szCs w:val="24"/>
      <w:lang w:val="en-US"/>
      <w14:ligatures w14:val="none"/>
    </w:rPr>
  </w:style>
  <w:style w:type="paragraph" w:styleId="Heading2">
    <w:name w:val="heading 2"/>
    <w:basedOn w:val="Normal"/>
    <w:next w:val="Normal"/>
    <w:link w:val="Heading2Char"/>
    <w:uiPriority w:val="9"/>
    <w:unhideWhenUsed/>
    <w:qFormat/>
    <w:rsid w:val="00104862"/>
    <w:pPr>
      <w:keepNext/>
      <w:keepLines/>
      <w:spacing w:before="40" w:after="0"/>
      <w:outlineLvl w:val="1"/>
    </w:pPr>
    <w:rPr>
      <w:rFonts w:asciiTheme="majorHAnsi" w:eastAsiaTheme="majorEastAsia" w:hAnsiTheme="majorHAnsi" w:cstheme="majorBidi"/>
      <w:color w:val="2F5496" w:themeColor="accent1"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4862"/>
    <w:rPr>
      <w:rFonts w:asciiTheme="majorHAnsi" w:eastAsiaTheme="majorEastAsia" w:hAnsiTheme="majorHAnsi" w:cstheme="majorBidi"/>
      <w:color w:val="2F5496" w:themeColor="accent1" w:themeShade="BF"/>
      <w:kern w:val="0"/>
      <w:sz w:val="28"/>
      <w:szCs w:val="26"/>
      <w:lang w:val="en-US"/>
      <w14:ligatures w14:val="none"/>
    </w:rPr>
  </w:style>
  <w:style w:type="paragraph" w:styleId="Caption">
    <w:name w:val="caption"/>
    <w:basedOn w:val="Normal"/>
    <w:next w:val="Normal"/>
    <w:uiPriority w:val="35"/>
    <w:unhideWhenUsed/>
    <w:qFormat/>
    <w:rsid w:val="00104862"/>
    <w:rPr>
      <w:color w:val="44546A"/>
      <w:lang w:eastAsia="en-GB"/>
    </w:rPr>
  </w:style>
  <w:style w:type="paragraph" w:styleId="Title">
    <w:name w:val="Title"/>
    <w:basedOn w:val="Normal"/>
    <w:next w:val="Normal"/>
    <w:link w:val="TitleChar"/>
    <w:uiPriority w:val="10"/>
    <w:qFormat/>
    <w:rsid w:val="00104862"/>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4862"/>
    <w:rPr>
      <w:rFonts w:asciiTheme="majorHAnsi" w:eastAsiaTheme="majorEastAsia" w:hAnsiTheme="majorHAnsi" w:cstheme="majorBidi"/>
      <w:spacing w:val="-10"/>
      <w:kern w:val="28"/>
      <w:sz w:val="56"/>
      <w:szCs w:val="5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A08E1E91A2DF44AD104B99B3793310" ma:contentTypeVersion="17" ma:contentTypeDescription="Create a new document." ma:contentTypeScope="" ma:versionID="1942f02dd426015a6dcc0e5e3f05980a">
  <xsd:schema xmlns:xsd="http://www.w3.org/2001/XMLSchema" xmlns:xs="http://www.w3.org/2001/XMLSchema" xmlns:p="http://schemas.microsoft.com/office/2006/metadata/properties" xmlns:ns2="3d31ebe0-dd2a-4e7a-a507-dafc9c129f12" xmlns:ns3="7c0afdb8-f191-455d-8a02-073134b0f431" xmlns:ns4="2450a831-3a9d-4e0b-bbb4-d40fb62fbd2b" targetNamespace="http://schemas.microsoft.com/office/2006/metadata/properties" ma:root="true" ma:fieldsID="e5fc4fd238959f4deb66abd2bb5f6d8f" ns2:_="" ns3:_="" ns4:_="">
    <xsd:import namespace="3d31ebe0-dd2a-4e7a-a507-dafc9c129f12"/>
    <xsd:import namespace="7c0afdb8-f191-455d-8a02-073134b0f431"/>
    <xsd:import namespace="2450a831-3a9d-4e0b-bbb4-d40fb62fbd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31ebe0-dd2a-4e7a-a507-dafc9c129f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07c90d-3ac7-4967-848a-ba06276b17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0afdb8-f191-455d-8a02-073134b0f43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50a831-3a9d-4e0b-bbb4-d40fb62fbd2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de1e64f6-8caa-44b0-af9a-445be1047812}" ma:internalName="TaxCatchAll" ma:showField="CatchAllData" ma:web="7c0afdb8-f191-455d-8a02-073134b0f4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C37312-FD6A-4F04-840B-1955946765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31ebe0-dd2a-4e7a-a507-dafc9c129f12"/>
    <ds:schemaRef ds:uri="7c0afdb8-f191-455d-8a02-073134b0f431"/>
    <ds:schemaRef ds:uri="2450a831-3a9d-4e0b-bbb4-d40fb62fbd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AF89E2-5271-481A-9DE1-1B20F7F081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556</Words>
  <Characters>3170</Characters>
  <Application>Microsoft Office Word</Application>
  <DocSecurity>0</DocSecurity>
  <Lines>26</Lines>
  <Paragraphs>7</Paragraphs>
  <ScaleCrop>false</ScaleCrop>
  <Company>University of Aberdeen</Company>
  <LinksUpToDate>false</LinksUpToDate>
  <CharactersWithSpaces>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Broche, Lionel</dc:creator>
  <cp:keywords/>
  <dc:description/>
  <cp:lastModifiedBy>Mallikourti, Vasiliki</cp:lastModifiedBy>
  <cp:revision>4</cp:revision>
  <dcterms:created xsi:type="dcterms:W3CDTF">2023-09-18T12:59:00Z</dcterms:created>
  <dcterms:modified xsi:type="dcterms:W3CDTF">2023-12-15T13:14:00Z</dcterms:modified>
</cp:coreProperties>
</file>