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1493B" w14:textId="77777777" w:rsidR="00977C50" w:rsidRDefault="00977C50" w:rsidP="00977C50">
      <w:pPr>
        <w:spacing w:line="276" w:lineRule="auto"/>
        <w:jc w:val="both"/>
        <w:rPr>
          <w:b/>
          <w:bCs/>
        </w:rPr>
      </w:pPr>
      <w:r w:rsidRPr="00811E3E">
        <w:rPr>
          <w:b/>
          <w:bCs/>
        </w:rPr>
        <w:t>Supplementary Figure</w:t>
      </w:r>
    </w:p>
    <w:p w14:paraId="0D233BE5" w14:textId="77777777" w:rsidR="00977C50" w:rsidRPr="00811E3E" w:rsidRDefault="00977C50" w:rsidP="00977C50">
      <w:pPr>
        <w:spacing w:line="276" w:lineRule="auto"/>
        <w:jc w:val="both"/>
        <w:rPr>
          <w:b/>
          <w:bCs/>
        </w:rPr>
      </w:pPr>
    </w:p>
    <w:p w14:paraId="1BBD8368" w14:textId="77777777" w:rsidR="00977C50" w:rsidRDefault="00977C50" w:rsidP="00977C50">
      <w:pPr>
        <w:spacing w:line="276" w:lineRule="auto"/>
        <w:jc w:val="both"/>
      </w:pPr>
    </w:p>
    <w:p w14:paraId="5066DDA2" w14:textId="77777777" w:rsidR="00977C50" w:rsidRPr="001514F3" w:rsidRDefault="00977C50" w:rsidP="00977C50">
      <w:pPr>
        <w:spacing w:line="276" w:lineRule="auto"/>
        <w:jc w:val="both"/>
      </w:pPr>
      <w:r w:rsidRPr="001514F3">
        <w:rPr>
          <w:noProof/>
        </w:rPr>
        <w:drawing>
          <wp:inline distT="0" distB="0" distL="0" distR="0" wp14:anchorId="71C8E085" wp14:editId="425A35CB">
            <wp:extent cx="5687878" cy="3019964"/>
            <wp:effectExtent l="0" t="0" r="190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625" t="19475" r="14635" b="2428"/>
                    <a:stretch/>
                  </pic:blipFill>
                  <pic:spPr bwMode="auto">
                    <a:xfrm>
                      <a:off x="0" y="0"/>
                      <a:ext cx="5717875" cy="3035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17A2E" w14:textId="77777777" w:rsidR="00977C50" w:rsidRPr="001514F3" w:rsidRDefault="00977C50" w:rsidP="00977C50">
      <w:pPr>
        <w:spacing w:line="276" w:lineRule="auto"/>
        <w:jc w:val="both"/>
      </w:pPr>
      <w:r w:rsidRPr="00930FCE">
        <w:rPr>
          <w:b/>
          <w:lang w:val="en-US"/>
        </w:rPr>
        <w:t xml:space="preserve">Figure </w:t>
      </w:r>
      <w:r>
        <w:rPr>
          <w:b/>
          <w:lang w:val="en-US"/>
        </w:rPr>
        <w:t>S1</w:t>
      </w:r>
      <w:r w:rsidRPr="00930FCE">
        <w:rPr>
          <w:b/>
          <w:lang w:val="en-US"/>
        </w:rPr>
        <w:t>:</w:t>
      </w:r>
      <w:r w:rsidRPr="001514F3">
        <w:rPr>
          <w:lang w:val="en-US"/>
        </w:rPr>
        <w:t xml:space="preserve"> </w:t>
      </w:r>
      <w:r>
        <w:rPr>
          <w:lang w:val="en-US"/>
        </w:rPr>
        <w:t xml:space="preserve">RNA concentration vs observed RT-PCR Ct values for </w:t>
      </w:r>
      <w:r w:rsidRPr="006732B8">
        <w:rPr>
          <w:i/>
          <w:lang w:val="en-US"/>
        </w:rPr>
        <w:t>mrk</w:t>
      </w:r>
      <w:r>
        <w:rPr>
          <w:lang w:val="en-US"/>
        </w:rPr>
        <w:t xml:space="preserve">D, </w:t>
      </w:r>
      <w:r w:rsidRPr="006732B8">
        <w:rPr>
          <w:i/>
          <w:lang w:val="en-US"/>
        </w:rPr>
        <w:t>pga</w:t>
      </w:r>
      <w:r>
        <w:rPr>
          <w:lang w:val="en-US"/>
        </w:rPr>
        <w:t xml:space="preserve">C and </w:t>
      </w:r>
      <w:r w:rsidRPr="006732B8">
        <w:rPr>
          <w:i/>
          <w:lang w:val="en-US"/>
        </w:rPr>
        <w:t>wca</w:t>
      </w:r>
      <w:r>
        <w:rPr>
          <w:lang w:val="en-US"/>
        </w:rPr>
        <w:t xml:space="preserve">J genes from </w:t>
      </w:r>
      <w:r w:rsidRPr="00732495">
        <w:rPr>
          <w:i/>
          <w:lang w:val="en-US"/>
        </w:rPr>
        <w:t>K. pneumoniae</w:t>
      </w:r>
      <w:r>
        <w:rPr>
          <w:lang w:val="en-US"/>
        </w:rPr>
        <w:t>. Picture depicts decreased Ct values with increasing RNA concentration exhibiting the sensitivity of the RT-PCR with as low as 1 ng/µl RNA concentrations.</w:t>
      </w:r>
    </w:p>
    <w:p w14:paraId="5B6F3F22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C50"/>
    <w:rsid w:val="00342DA6"/>
    <w:rsid w:val="005868F4"/>
    <w:rsid w:val="00703469"/>
    <w:rsid w:val="00753CA0"/>
    <w:rsid w:val="007D23AF"/>
    <w:rsid w:val="0090563E"/>
    <w:rsid w:val="00977C50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CAB43"/>
  <w15:chartTrackingRefBased/>
  <w15:docId w15:val="{C261693C-308C-4FCC-94F9-5ECA0567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C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Springer Nature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2024-01-18T09:45:00Z</dcterms:created>
  <dcterms:modified xsi:type="dcterms:W3CDTF">2024-01-18T09:45:00Z</dcterms:modified>
</cp:coreProperties>
</file>