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802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480"/>
        <w:gridCol w:w="6540"/>
      </w:tblGrid>
      <w:tr w:rsidR="00766489" w:rsidRPr="00766489" w14:paraId="06BC9FFB" w14:textId="77777777" w:rsidTr="00766489">
        <w:trPr>
          <w:trHeight w:val="276"/>
        </w:trPr>
        <w:tc>
          <w:tcPr>
            <w:tcW w:w="14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2B4E9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Gene symbol</w:t>
            </w:r>
          </w:p>
        </w:tc>
        <w:tc>
          <w:tcPr>
            <w:tcW w:w="6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33107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Gene name</w:t>
            </w:r>
          </w:p>
        </w:tc>
      </w:tr>
      <w:tr w:rsidR="00766489" w:rsidRPr="00766489" w14:paraId="7F9227FF" w14:textId="77777777" w:rsidTr="00766489">
        <w:trPr>
          <w:trHeight w:val="276"/>
        </w:trPr>
        <w:tc>
          <w:tcPr>
            <w:tcW w:w="14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209C6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AKAP12</w:t>
            </w:r>
          </w:p>
        </w:tc>
        <w:tc>
          <w:tcPr>
            <w:tcW w:w="65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D9D24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A-kinase anchoring protein 12</w:t>
            </w:r>
          </w:p>
        </w:tc>
      </w:tr>
      <w:tr w:rsidR="00766489" w:rsidRPr="00766489" w14:paraId="69EBC4CF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5154B23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ANGPTL4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3CF04DF7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Angiopoietin like 4</w:t>
            </w:r>
          </w:p>
        </w:tc>
      </w:tr>
      <w:tr w:rsidR="00766489" w:rsidRPr="00766489" w14:paraId="4C1A3C65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4EA2F5D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BCL2A1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7727C76B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BCL2 related protein A1</w:t>
            </w:r>
          </w:p>
        </w:tc>
      </w:tr>
      <w:tr w:rsidR="00766489" w:rsidRPr="00766489" w14:paraId="701C21C9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58BD785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BCL2L1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00D7C138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BCL2 like 1</w:t>
            </w:r>
          </w:p>
        </w:tc>
      </w:tr>
      <w:tr w:rsidR="00766489" w:rsidRPr="00766489" w14:paraId="2D176C49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2490ED1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C1R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47CA0B11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complement C1r</w:t>
            </w:r>
          </w:p>
        </w:tc>
      </w:tr>
      <w:tr w:rsidR="00766489" w:rsidRPr="00766489" w14:paraId="6F34B4DA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6A20695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C1S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40E368B5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complement C1s</w:t>
            </w:r>
          </w:p>
        </w:tc>
      </w:tr>
      <w:tr w:rsidR="00766489" w:rsidRPr="00766489" w14:paraId="390E8119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40B0BE0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C3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46D373CE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complement C3</w:t>
            </w:r>
          </w:p>
        </w:tc>
      </w:tr>
      <w:tr w:rsidR="00766489" w:rsidRPr="00766489" w14:paraId="5D75D5D5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C7B7F0F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CCNB2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28C660A1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cyclin B2</w:t>
            </w:r>
          </w:p>
        </w:tc>
      </w:tr>
      <w:tr w:rsidR="00766489" w:rsidRPr="00766489" w14:paraId="59655313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C9921F3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COL12A1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69B82B63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collagen type XII alpha 1 chain</w:t>
            </w:r>
          </w:p>
        </w:tc>
      </w:tr>
      <w:tr w:rsidR="00766489" w:rsidRPr="00766489" w14:paraId="1280912F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F30DF23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CSF1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30ED1663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colony stimulating factor 1</w:t>
            </w:r>
          </w:p>
        </w:tc>
      </w:tr>
      <w:tr w:rsidR="00766489" w:rsidRPr="00766489" w14:paraId="3763E32B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94E7AE8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DLGAP5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02CE1763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DLG associated protein 5</w:t>
            </w:r>
          </w:p>
        </w:tc>
      </w:tr>
      <w:tr w:rsidR="00766489" w:rsidRPr="00766489" w14:paraId="561D1EA8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E0EB6ED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DUT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658C6575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deoxyuridine</w:t>
            </w:r>
            <w:proofErr w:type="spellEnd"/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triphosphatase</w:t>
            </w:r>
          </w:p>
        </w:tc>
      </w:tr>
      <w:tr w:rsidR="00766489" w:rsidRPr="00766489" w14:paraId="3F66AAF0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62DF51D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EMP1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1C212A76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epithelial membrane protein 1</w:t>
            </w:r>
          </w:p>
        </w:tc>
      </w:tr>
      <w:tr w:rsidR="00766489" w:rsidRPr="00766489" w14:paraId="7A56C329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0B88A42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EREG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229CF459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epiregulin</w:t>
            </w:r>
          </w:p>
        </w:tc>
      </w:tr>
      <w:tr w:rsidR="00766489" w:rsidRPr="00766489" w14:paraId="133D8261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D89EB03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ETS1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5F09BA50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ETS proto-oncogene 1, transcription factor</w:t>
            </w:r>
          </w:p>
        </w:tc>
      </w:tr>
      <w:tr w:rsidR="00766489" w:rsidRPr="00766489" w14:paraId="5C14450D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9BF8B9F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EZH2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045C1813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enhancer of </w:t>
            </w:r>
            <w:proofErr w:type="spellStart"/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zeste</w:t>
            </w:r>
            <w:proofErr w:type="spellEnd"/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2 </w:t>
            </w:r>
            <w:proofErr w:type="spellStart"/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polycomb</w:t>
            </w:r>
            <w:proofErr w:type="spellEnd"/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repressive complex 2 subunit</w:t>
            </w:r>
          </w:p>
        </w:tc>
      </w:tr>
      <w:tr w:rsidR="00766489" w:rsidRPr="00766489" w14:paraId="7DA02B51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0A9EDC0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HELZ2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6212930C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helicase with zinc finger 2</w:t>
            </w:r>
          </w:p>
        </w:tc>
      </w:tr>
      <w:tr w:rsidR="00766489" w:rsidRPr="00766489" w14:paraId="477C471C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4AABB37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HK2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24DCD8F7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hexokinase 2</w:t>
            </w:r>
          </w:p>
        </w:tc>
      </w:tr>
      <w:tr w:rsidR="00766489" w:rsidRPr="00766489" w14:paraId="41428051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5C0CCAD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HLA-B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5078B19C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major histocompatibility complex, class I, B</w:t>
            </w:r>
          </w:p>
        </w:tc>
      </w:tr>
      <w:tr w:rsidR="00766489" w:rsidRPr="00766489" w14:paraId="2EB325B2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F418AAE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ICAM1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0071F43B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intercellular adhesion molecule 1</w:t>
            </w:r>
          </w:p>
        </w:tc>
      </w:tr>
      <w:tr w:rsidR="00766489" w:rsidRPr="00766489" w14:paraId="3E6CE15C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9B9E23A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IER3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5B2891C4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immediate early response 3</w:t>
            </w:r>
          </w:p>
        </w:tc>
      </w:tr>
      <w:tr w:rsidR="00766489" w:rsidRPr="00766489" w14:paraId="6A18F229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20E5DC9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IFI27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2C30E048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interferon alpha inducible protein 27</w:t>
            </w:r>
          </w:p>
        </w:tc>
      </w:tr>
      <w:tr w:rsidR="00766489" w:rsidRPr="00766489" w14:paraId="2203F753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A0EFE16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IFI44L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0C36811D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interferon induced protein 44 like</w:t>
            </w:r>
          </w:p>
        </w:tc>
      </w:tr>
      <w:tr w:rsidR="00766489" w:rsidRPr="00766489" w14:paraId="35B3F763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D33F110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IFNGR2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1CB3B859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interferon gamma receptor 2</w:t>
            </w:r>
          </w:p>
        </w:tc>
      </w:tr>
      <w:tr w:rsidR="00766489" w:rsidRPr="00766489" w14:paraId="72919709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4266EA0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IL1B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616ECBE9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interleukin 1 beta</w:t>
            </w:r>
          </w:p>
        </w:tc>
      </w:tr>
      <w:tr w:rsidR="00766489" w:rsidRPr="00766489" w14:paraId="4DC251D0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65C3BF7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IL6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2B754AC6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interleukin 6</w:t>
            </w:r>
          </w:p>
        </w:tc>
      </w:tr>
      <w:tr w:rsidR="00766489" w:rsidRPr="00766489" w14:paraId="39125F0A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2C98822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IRF7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78784595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interferon regulatory factor 7</w:t>
            </w:r>
          </w:p>
        </w:tc>
      </w:tr>
      <w:tr w:rsidR="00766489" w:rsidRPr="00766489" w14:paraId="2CFEB71F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0D4CA7E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ITGA5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4E68FEAB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integrin subunit alpha 5</w:t>
            </w:r>
          </w:p>
        </w:tc>
      </w:tr>
      <w:tr w:rsidR="00766489" w:rsidRPr="00766489" w14:paraId="77B4337A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2C3E14D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ITGB3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6FA713EC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integrin subunit beta 3</w:t>
            </w:r>
          </w:p>
        </w:tc>
      </w:tr>
      <w:tr w:rsidR="00766489" w:rsidRPr="00766489" w14:paraId="7078C8B1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727BB24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LAMP3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2A433C9B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lysosomal associated membrane protein 3</w:t>
            </w:r>
          </w:p>
        </w:tc>
      </w:tr>
      <w:tr w:rsidR="00766489" w:rsidRPr="00766489" w14:paraId="76AE1CBE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4B82BF4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LIF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087B2103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LIF interleukin 6 family cytokine</w:t>
            </w:r>
          </w:p>
        </w:tc>
      </w:tr>
      <w:tr w:rsidR="00766489" w:rsidRPr="00766489" w14:paraId="23C292DA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091AF1F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LOX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3FF7E2BF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lysyl</w:t>
            </w:r>
            <w:proofErr w:type="spellEnd"/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oxidase</w:t>
            </w:r>
          </w:p>
        </w:tc>
      </w:tr>
      <w:tr w:rsidR="00766489" w:rsidRPr="00766489" w14:paraId="0C4FDAB9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A888A63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LTB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6331E5F5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lymphotoxin beta</w:t>
            </w:r>
          </w:p>
        </w:tc>
      </w:tr>
      <w:tr w:rsidR="00766489" w:rsidRPr="00766489" w14:paraId="0F2CC837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E86A234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MCM4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3E098B2B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minichromosome</w:t>
            </w:r>
            <w:proofErr w:type="spellEnd"/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maintenance complex component 4</w:t>
            </w:r>
          </w:p>
        </w:tc>
      </w:tr>
      <w:tr w:rsidR="00766489" w:rsidRPr="00766489" w14:paraId="2489F9D3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409A66B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MYC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414238CD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MYC proto-oncogene, </w:t>
            </w:r>
            <w:proofErr w:type="spellStart"/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bHLH</w:t>
            </w:r>
            <w:proofErr w:type="spellEnd"/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transcription factor</w:t>
            </w:r>
          </w:p>
        </w:tc>
      </w:tr>
      <w:tr w:rsidR="00766489" w:rsidRPr="00766489" w14:paraId="56922922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C41D5F6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NAMPT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64BA350D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nicotinamide </w:t>
            </w:r>
            <w:proofErr w:type="spellStart"/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phosphoribosyltransferase</w:t>
            </w:r>
            <w:proofErr w:type="spellEnd"/>
          </w:p>
        </w:tc>
      </w:tr>
      <w:tr w:rsidR="00766489" w:rsidRPr="00766489" w14:paraId="4D034A08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040EF65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OSMR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162CBAB4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oncostatin</w:t>
            </w:r>
            <w:proofErr w:type="spellEnd"/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M receptor</w:t>
            </w:r>
          </w:p>
        </w:tc>
      </w:tr>
      <w:tr w:rsidR="00766489" w:rsidRPr="00766489" w14:paraId="04BF9427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23BE90E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PARP14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1F6870E4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poly(ADP-ribose) polymerase family member 14</w:t>
            </w:r>
          </w:p>
        </w:tc>
      </w:tr>
      <w:tr w:rsidR="00766489" w:rsidRPr="00766489" w14:paraId="08A262F1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4A34DEC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PCNA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47F12196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proliferating cell nuclear antigen</w:t>
            </w:r>
          </w:p>
        </w:tc>
      </w:tr>
      <w:tr w:rsidR="00766489" w:rsidRPr="00766489" w14:paraId="5CFFD9E9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8BA7D28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PDGFB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05605DEC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platelet derived growth factor subunit B</w:t>
            </w:r>
          </w:p>
        </w:tc>
      </w:tr>
      <w:tr w:rsidR="00766489" w:rsidRPr="00766489" w14:paraId="5EF76DD8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E579BCE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PLAUR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620117B5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plasminogen activator, urokinase receptor</w:t>
            </w:r>
          </w:p>
        </w:tc>
      </w:tr>
      <w:tr w:rsidR="00766489" w:rsidRPr="00766489" w14:paraId="1BD636E7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53DD14F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POLD3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3F93955F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DNA polymerase delta 3, accessory subunit</w:t>
            </w:r>
          </w:p>
        </w:tc>
      </w:tr>
      <w:tr w:rsidR="00766489" w:rsidRPr="00766489" w14:paraId="7FFEBF23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4050A26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PTGS2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5062F931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prostaglandin-endoperoxide synthase 2</w:t>
            </w:r>
          </w:p>
        </w:tc>
      </w:tr>
      <w:tr w:rsidR="00766489" w:rsidRPr="00766489" w14:paraId="07FFEF0F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AF7A8F5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PTTG1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3A19B9F6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PTTG1 regulator of sister chromatid separation, </w:t>
            </w:r>
            <w:proofErr w:type="spellStart"/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securin</w:t>
            </w:r>
            <w:proofErr w:type="spellEnd"/>
          </w:p>
        </w:tc>
      </w:tr>
      <w:tr w:rsidR="00766489" w:rsidRPr="00766489" w14:paraId="17B92858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082BA04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RFC3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3226DB55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replication factor C subunit 3</w:t>
            </w:r>
          </w:p>
        </w:tc>
      </w:tr>
      <w:tr w:rsidR="00766489" w:rsidRPr="00766489" w14:paraId="3B922D82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54D7C7E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RPA2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78ADB8A9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replication protein A2</w:t>
            </w:r>
          </w:p>
        </w:tc>
      </w:tr>
      <w:tr w:rsidR="00766489" w:rsidRPr="00766489" w14:paraId="06B639C0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1E8AB11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SERPINA3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05F79906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serpin family A member 3</w:t>
            </w:r>
          </w:p>
        </w:tc>
      </w:tr>
      <w:tr w:rsidR="00766489" w:rsidRPr="00766489" w14:paraId="08C5C2E5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7D22191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SLC39A8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735E6E98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solute carrier family 39 member 8</w:t>
            </w:r>
          </w:p>
        </w:tc>
      </w:tr>
      <w:tr w:rsidR="00766489" w:rsidRPr="00766489" w14:paraId="1ECD2D84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5D28078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SOD2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179734B1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superoxide dismutase 2</w:t>
            </w:r>
          </w:p>
        </w:tc>
      </w:tr>
      <w:tr w:rsidR="00766489" w:rsidRPr="00766489" w14:paraId="43111311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057D1CF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TAP1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0418B62A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transporter 1, ATP binding cassette subfamily B member</w:t>
            </w:r>
          </w:p>
        </w:tc>
      </w:tr>
      <w:tr w:rsidR="00766489" w:rsidRPr="00766489" w14:paraId="5975411D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1155AA8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TGM2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2B438C97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transglutaminase 2</w:t>
            </w:r>
          </w:p>
        </w:tc>
      </w:tr>
      <w:tr w:rsidR="00766489" w:rsidRPr="00766489" w14:paraId="7745D0F6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24FED16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TLR2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4F47243B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toll like receptor 2</w:t>
            </w:r>
          </w:p>
        </w:tc>
      </w:tr>
      <w:tr w:rsidR="00766489" w:rsidRPr="00766489" w14:paraId="4E4F81E7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C6E62EE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TNF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41D61E26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tumor necrosis factor</w:t>
            </w:r>
          </w:p>
        </w:tc>
      </w:tr>
      <w:tr w:rsidR="00766489" w:rsidRPr="00766489" w14:paraId="213257D3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B375C8C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TNFAIP3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75E65AB2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TNF alpha induced protein 3</w:t>
            </w:r>
          </w:p>
        </w:tc>
      </w:tr>
      <w:tr w:rsidR="00766489" w:rsidRPr="00766489" w14:paraId="27817CC5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360088E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TRIM25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3634ED54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tripartite motif containing 25</w:t>
            </w:r>
          </w:p>
        </w:tc>
      </w:tr>
      <w:tr w:rsidR="00766489" w:rsidRPr="00766489" w14:paraId="1EF06051" w14:textId="77777777" w:rsidTr="00766489">
        <w:trPr>
          <w:trHeight w:val="276"/>
        </w:trPr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D9C4F75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VEGFA</w:t>
            </w:r>
          </w:p>
        </w:tc>
        <w:tc>
          <w:tcPr>
            <w:tcW w:w="6540" w:type="dxa"/>
            <w:shd w:val="clear" w:color="auto" w:fill="auto"/>
            <w:noWrap/>
            <w:vAlign w:val="center"/>
            <w:hideMark/>
          </w:tcPr>
          <w:p w14:paraId="60A116B1" w14:textId="77777777" w:rsidR="00766489" w:rsidRPr="00766489" w:rsidRDefault="00766489" w:rsidP="0076648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6648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vascular endothelial growth factor A</w:t>
            </w:r>
          </w:p>
        </w:tc>
      </w:tr>
    </w:tbl>
    <w:p w14:paraId="2D9589A8" w14:textId="77777777" w:rsidR="00766489" w:rsidRDefault="00766489">
      <w:pPr>
        <w:rPr>
          <w:rFonts w:ascii="Times New Roman" w:hAnsi="Times New Roman" w:cs="Times New Roman"/>
          <w:sz w:val="24"/>
          <w:szCs w:val="24"/>
        </w:rPr>
      </w:pPr>
    </w:p>
    <w:p w14:paraId="0D2C52CD" w14:textId="35AFB707" w:rsidR="004E6570" w:rsidRPr="00766489" w:rsidRDefault="00766489">
      <w:pPr>
        <w:rPr>
          <w:rFonts w:ascii="Times New Roman" w:hAnsi="Times New Roman" w:cs="Times New Roman"/>
          <w:sz w:val="24"/>
          <w:szCs w:val="24"/>
        </w:rPr>
      </w:pPr>
      <w:r w:rsidRPr="00766489">
        <w:rPr>
          <w:rFonts w:ascii="Times New Roman" w:hAnsi="Times New Roman" w:cs="Times New Roman"/>
          <w:sz w:val="24"/>
          <w:szCs w:val="24"/>
        </w:rPr>
        <w:t xml:space="preserve">Table S1 The co-core genes from the </w:t>
      </w:r>
      <w:r w:rsidR="006C4F34">
        <w:rPr>
          <w:rFonts w:ascii="Times New Roman" w:hAnsi="Times New Roman" w:cs="Times New Roman"/>
          <w:sz w:val="24"/>
          <w:szCs w:val="24"/>
        </w:rPr>
        <w:t xml:space="preserve">co-enriched </w:t>
      </w:r>
      <w:r w:rsidRPr="00766489">
        <w:rPr>
          <w:rFonts w:ascii="Times New Roman" w:hAnsi="Times New Roman" w:cs="Times New Roman"/>
          <w:sz w:val="24"/>
          <w:szCs w:val="24"/>
        </w:rPr>
        <w:t>GSEA results.</w:t>
      </w:r>
    </w:p>
    <w:sectPr w:rsidR="004E6570" w:rsidRPr="007664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1207E3" w14:textId="77777777" w:rsidR="00303F54" w:rsidRDefault="00303F54" w:rsidP="00766489">
      <w:r>
        <w:separator/>
      </w:r>
    </w:p>
  </w:endnote>
  <w:endnote w:type="continuationSeparator" w:id="0">
    <w:p w14:paraId="35BC0EA4" w14:textId="77777777" w:rsidR="00303F54" w:rsidRDefault="00303F54" w:rsidP="007664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B8732B" w14:textId="77777777" w:rsidR="00303F54" w:rsidRDefault="00303F54" w:rsidP="00766489">
      <w:r>
        <w:separator/>
      </w:r>
    </w:p>
  </w:footnote>
  <w:footnote w:type="continuationSeparator" w:id="0">
    <w:p w14:paraId="4D18F4C1" w14:textId="77777777" w:rsidR="00303F54" w:rsidRDefault="00303F54" w:rsidP="007664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D26"/>
    <w:rsid w:val="00303F54"/>
    <w:rsid w:val="004E6570"/>
    <w:rsid w:val="006C4F34"/>
    <w:rsid w:val="00702D26"/>
    <w:rsid w:val="00766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8D2494"/>
  <w15:chartTrackingRefBased/>
  <w15:docId w15:val="{28816491-6375-4DE7-B021-09E3E9F07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664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6648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664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6648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261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316</Words>
  <Characters>1804</Characters>
  <Application>Microsoft Office Word</Application>
  <DocSecurity>0</DocSecurity>
  <Lines>15</Lines>
  <Paragraphs>4</Paragraphs>
  <ScaleCrop>false</ScaleCrop>
  <Company/>
  <LinksUpToDate>false</LinksUpToDate>
  <CharactersWithSpaces>2116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 智军</dc:creator>
  <cp:keywords/>
  <dc:description/>
  <cp:lastModifiedBy>冯 智军</cp:lastModifiedBy>
  <cp:revision>6</cp:revision>
  <dcterms:created xsi:type="dcterms:W3CDTF">2020-06-19T08:12:00Z</dcterms:created>
  <dcterms:modified xsi:type="dcterms:W3CDTF">2020-06-19T08:14:00Z</dcterms:modified>
</cp:coreProperties>
</file>