
<file path=[Content_Types].xml><?xml version="1.0" encoding="utf-8"?>
<Types xmlns="http://schemas.openxmlformats.org/package/2006/content-types">
  <Default Extension="tiff" ContentType="image/tif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Calibri" w:hAnsi="Calibri" w:cs="Calibri"/>
          <w:b/>
          <w:bCs/>
          <w:color w:val="auto"/>
          <w:sz w:val="24"/>
          <w:szCs w:val="24"/>
          <w:lang w:val="en-US" w:eastAsia="zh-CN"/>
        </w:rPr>
      </w:pPr>
      <w:r>
        <w:rPr>
          <w:rFonts w:hint="default" w:ascii="Calibri" w:hAnsi="Calibri" w:cs="Calibri"/>
          <w:b/>
          <w:bCs/>
          <w:color w:val="auto"/>
          <w:sz w:val="24"/>
          <w:szCs w:val="24"/>
          <w:lang w:val="en-US" w:eastAsia="zh-CN"/>
        </w:rPr>
        <w:t>A novel method for monitoring of Δ</w:t>
      </w:r>
      <w:r>
        <w:rPr>
          <w:rFonts w:hint="default" w:ascii="Calibri" w:hAnsi="Calibri" w:cs="Calibri"/>
          <w:b/>
          <w:bCs/>
          <w:color w:val="auto"/>
          <w:sz w:val="24"/>
          <w:szCs w:val="24"/>
          <w:vertAlign w:val="superscript"/>
          <w:lang w:val="en-US" w:eastAsia="zh-CN"/>
        </w:rPr>
        <w:t>9</w:t>
      </w:r>
      <w:r>
        <w:rPr>
          <w:rFonts w:hint="default" w:ascii="Calibri" w:hAnsi="Calibri" w:cs="Calibri"/>
          <w:b/>
          <w:bCs/>
          <w:color w:val="auto"/>
          <w:sz w:val="24"/>
          <w:szCs w:val="24"/>
          <w:lang w:val="en-US" w:eastAsia="zh-CN"/>
        </w:rPr>
        <w:t>-tetrahydrocannabinolic acid and cannabidiolic acid thermal decarboxylation reactions in cannabis plant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Calibri" w:hAnsi="Calibri" w:cs="Calibri"/>
          <w:i w:val="0"/>
          <w:iCs w:val="0"/>
          <w:color w:val="000000"/>
          <w:sz w:val="20"/>
          <w:szCs w:val="20"/>
          <w:lang w:val="en-US" w:eastAsia="zh-CN"/>
        </w:rPr>
      </w:pPr>
      <w:r>
        <w:rPr>
          <w:rFonts w:hint="default" w:ascii="Calibri" w:hAnsi="Calibri" w:cs="Calibri"/>
          <w:b/>
          <w:bCs/>
          <w:i w:val="0"/>
          <w:iCs w:val="0"/>
          <w:color w:val="000000"/>
          <w:sz w:val="20"/>
          <w:szCs w:val="20"/>
          <w:lang w:val="en-US" w:eastAsia="zh-CN"/>
        </w:rPr>
        <w:t>Baochang Gao*</w:t>
      </w:r>
      <w:r>
        <w:rPr>
          <w:rFonts w:hint="default" w:ascii="Calibri" w:hAnsi="Calibri" w:cs="Calibri"/>
          <w:b/>
          <w:bCs/>
          <w:i w:val="0"/>
          <w:iCs w:val="0"/>
          <w:color w:val="000000"/>
          <w:sz w:val="20"/>
          <w:szCs w:val="20"/>
          <w:vertAlign w:val="superscript"/>
          <w:lang w:val="en-US" w:eastAsia="zh-CN"/>
        </w:rPr>
        <w:t>,1,2,3</w:t>
      </w:r>
      <w:r>
        <w:rPr>
          <w:rFonts w:hint="default" w:ascii="Calibri" w:hAnsi="Calibri" w:cs="Calibri"/>
          <w:b/>
          <w:bCs/>
          <w:i w:val="0"/>
          <w:iCs w:val="0"/>
          <w:color w:val="000000"/>
          <w:sz w:val="20"/>
          <w:szCs w:val="20"/>
          <w:lang w:val="en-US" w:eastAsia="zh-CN"/>
        </w:rPr>
        <w:t>, Yuan Tian</w:t>
      </w:r>
      <w:r>
        <w:rPr>
          <w:rFonts w:hint="default" w:ascii="Calibri" w:hAnsi="Calibri" w:cs="Calibri"/>
          <w:b/>
          <w:bCs/>
          <w:i w:val="0"/>
          <w:iCs w:val="0"/>
          <w:color w:val="000000"/>
          <w:sz w:val="20"/>
          <w:szCs w:val="20"/>
          <w:vertAlign w:val="superscript"/>
          <w:lang w:val="en-US" w:eastAsia="zh-CN"/>
        </w:rPr>
        <w:t>2,3</w:t>
      </w:r>
      <w:r>
        <w:rPr>
          <w:rFonts w:hint="default" w:ascii="Calibri" w:hAnsi="Calibri" w:cs="Calibri"/>
          <w:b/>
          <w:bCs/>
          <w:i w:val="0"/>
          <w:iCs w:val="0"/>
          <w:color w:val="000000"/>
          <w:sz w:val="20"/>
          <w:szCs w:val="20"/>
          <w:lang w:val="en-US" w:eastAsia="zh-CN"/>
        </w:rPr>
        <w:t>, Yu Shi</w:t>
      </w:r>
      <w:r>
        <w:rPr>
          <w:rFonts w:hint="default" w:ascii="Calibri" w:hAnsi="Calibri" w:cs="Calibri"/>
          <w:b/>
          <w:bCs/>
          <w:i w:val="0"/>
          <w:iCs w:val="0"/>
          <w:color w:val="000000"/>
          <w:sz w:val="20"/>
          <w:szCs w:val="20"/>
          <w:vertAlign w:val="superscript"/>
          <w:lang w:val="en-US" w:eastAsia="zh-CN"/>
        </w:rPr>
        <w:t>2,3</w:t>
      </w:r>
      <w:r>
        <w:rPr>
          <w:rFonts w:hint="default" w:ascii="Calibri" w:hAnsi="Calibri" w:cs="Calibri"/>
          <w:b/>
          <w:bCs/>
          <w:i w:val="0"/>
          <w:iCs w:val="0"/>
          <w:color w:val="000000"/>
          <w:sz w:val="20"/>
          <w:szCs w:val="20"/>
          <w:lang w:val="en-US" w:eastAsia="zh-CN"/>
        </w:rPr>
        <w:t>, Zhiguo Zhang</w:t>
      </w:r>
      <w:r>
        <w:rPr>
          <w:rFonts w:hint="default" w:ascii="Calibri" w:hAnsi="Calibri" w:cs="Calibri"/>
          <w:b/>
          <w:bCs/>
          <w:i w:val="0"/>
          <w:iCs w:val="0"/>
          <w:color w:val="000000"/>
          <w:sz w:val="20"/>
          <w:szCs w:val="20"/>
          <w:vertAlign w:val="superscript"/>
          <w:lang w:val="en-US" w:eastAsia="zh-CN"/>
        </w:rPr>
        <w:t>2,3</w:t>
      </w:r>
      <w:r>
        <w:rPr>
          <w:rFonts w:hint="default" w:ascii="Calibri" w:hAnsi="Calibri" w:cs="Calibri"/>
          <w:b/>
          <w:bCs/>
          <w:i w:val="0"/>
          <w:iCs w:val="0"/>
          <w:color w:val="000000"/>
          <w:sz w:val="20"/>
          <w:szCs w:val="20"/>
          <w:lang w:val="en-US" w:eastAsia="zh-CN"/>
        </w:rPr>
        <w:t>, Jingru Zhang</w:t>
      </w:r>
      <w:r>
        <w:rPr>
          <w:rFonts w:hint="default" w:ascii="Calibri" w:hAnsi="Calibri" w:cs="Calibri"/>
          <w:b/>
          <w:bCs/>
          <w:i w:val="0"/>
          <w:iCs w:val="0"/>
          <w:color w:val="000000"/>
          <w:sz w:val="20"/>
          <w:szCs w:val="20"/>
          <w:vertAlign w:val="superscript"/>
          <w:lang w:val="en-US" w:eastAsia="zh-CN"/>
        </w:rPr>
        <w:t>2,3</w:t>
      </w:r>
      <w:r>
        <w:rPr>
          <w:rFonts w:hint="default" w:ascii="Calibri" w:hAnsi="Calibri" w:cs="Calibri"/>
          <w:b/>
          <w:bCs/>
          <w:i w:val="0"/>
          <w:iCs w:val="0"/>
          <w:color w:val="000000"/>
          <w:sz w:val="20"/>
          <w:szCs w:val="20"/>
          <w:lang w:val="en-US" w:eastAsia="zh-CN"/>
        </w:rPr>
        <w:t>, Guoliang Mao*</w:t>
      </w:r>
      <w:r>
        <w:rPr>
          <w:rFonts w:hint="default" w:ascii="Calibri" w:hAnsi="Calibri" w:cs="Calibri"/>
          <w:b/>
          <w:bCs/>
          <w:i w:val="0"/>
          <w:iCs w:val="0"/>
          <w:color w:val="000000"/>
          <w:sz w:val="20"/>
          <w:szCs w:val="20"/>
          <w:vertAlign w:val="superscript"/>
          <w:lang w:val="en-US" w:eastAsia="zh-CN"/>
        </w:rPr>
        <w:t>,1</w:t>
      </w:r>
      <w:r>
        <w:rPr>
          <w:rFonts w:hint="default" w:ascii="Calibri" w:hAnsi="Calibri" w:cs="Calibri"/>
          <w:b/>
          <w:bCs/>
          <w:i w:val="0"/>
          <w:iCs w:val="0"/>
          <w:color w:val="000000"/>
          <w:sz w:val="20"/>
          <w:szCs w:val="20"/>
          <w:lang w:val="en-US" w:eastAsia="zh-CN"/>
        </w:rPr>
        <w:t xml:space="preserve"> </w:t>
      </w:r>
    </w:p>
    <w:p>
      <w:pPr>
        <w:spacing w:line="240" w:lineRule="auto"/>
        <w:rPr>
          <w:rFonts w:hint="default" w:ascii="Calibri" w:hAnsi="Calibri" w:cs="Calibri"/>
          <w:i w:val="0"/>
          <w:iCs w:val="0"/>
          <w:color w:val="auto"/>
          <w:sz w:val="20"/>
          <w:szCs w:val="20"/>
          <w:lang w:val="en-US" w:eastAsia="zh-CN"/>
        </w:rPr>
      </w:pPr>
      <w:r>
        <w:rPr>
          <w:rFonts w:hint="default" w:ascii="Calibri" w:hAnsi="Calibri" w:cs="Calibri"/>
          <w:i w:val="0"/>
          <w:iCs w:val="0"/>
          <w:color w:val="auto"/>
          <w:sz w:val="20"/>
          <w:szCs w:val="20"/>
          <w:vertAlign w:val="superscript"/>
          <w:lang w:val="en-US" w:eastAsia="zh-CN"/>
        </w:rPr>
        <w:t xml:space="preserve">1 </w:t>
      </w:r>
      <w:r>
        <w:rPr>
          <w:rFonts w:hint="default" w:ascii="Calibri" w:hAnsi="Calibri" w:cs="Calibri"/>
          <w:i w:val="0"/>
          <w:iCs w:val="0"/>
          <w:color w:val="auto"/>
          <w:sz w:val="20"/>
          <w:szCs w:val="20"/>
          <w:lang w:val="en-US" w:eastAsia="zh-CN"/>
        </w:rPr>
        <w:t xml:space="preserve">College of Chemistry and Chemical Engineering, Northeast Petroleum University, Daqing 163319, P. R. China </w:t>
      </w:r>
    </w:p>
    <w:p>
      <w:pPr>
        <w:spacing w:line="240" w:lineRule="auto"/>
        <w:rPr>
          <w:rFonts w:hint="default" w:ascii="Calibri" w:hAnsi="Calibri" w:cs="Calibri"/>
          <w:i w:val="0"/>
          <w:iCs w:val="0"/>
          <w:color w:val="auto"/>
          <w:sz w:val="20"/>
          <w:szCs w:val="20"/>
          <w:lang w:val="en-US" w:eastAsia="zh-CN"/>
        </w:rPr>
      </w:pPr>
      <w:r>
        <w:rPr>
          <w:rFonts w:hint="default" w:ascii="Calibri" w:hAnsi="Calibri" w:cs="Calibri"/>
          <w:i w:val="0"/>
          <w:iCs w:val="0"/>
          <w:color w:val="auto"/>
          <w:sz w:val="20"/>
          <w:szCs w:val="20"/>
          <w:vertAlign w:val="superscript"/>
          <w:lang w:val="en-US" w:eastAsia="zh-CN"/>
        </w:rPr>
        <w:t xml:space="preserve">2 </w:t>
      </w:r>
      <w:r>
        <w:rPr>
          <w:rFonts w:hint="default" w:ascii="Calibri" w:hAnsi="Calibri" w:cs="Calibri"/>
          <w:i w:val="0"/>
          <w:iCs w:val="0"/>
          <w:color w:val="auto"/>
          <w:sz w:val="20"/>
          <w:szCs w:val="20"/>
          <w:lang w:val="en-US" w:eastAsia="zh-CN"/>
        </w:rPr>
        <w:t>Daqing Branch of Heilongjiang Academy of Sciences, Daqing 163319, P. R. China</w:t>
      </w:r>
    </w:p>
    <w:p>
      <w:pPr>
        <w:spacing w:line="240" w:lineRule="auto"/>
        <w:jc w:val="both"/>
        <w:rPr>
          <w:rFonts w:hint="default" w:ascii="Calibri" w:hAnsi="Calibri" w:cs="Calibri"/>
          <w:b w:val="0"/>
          <w:bCs w:val="0"/>
          <w:i w:val="0"/>
          <w:iCs w:val="0"/>
          <w:color w:val="000000"/>
          <w:sz w:val="20"/>
          <w:szCs w:val="20"/>
          <w:vertAlign w:val="baseline"/>
          <w:lang w:val="en-US" w:eastAsia="zh-CN"/>
        </w:rPr>
      </w:pPr>
      <w:r>
        <w:rPr>
          <w:rFonts w:hint="default" w:ascii="Calibri" w:hAnsi="Calibri" w:cs="Calibri"/>
          <w:b w:val="0"/>
          <w:bCs w:val="0"/>
          <w:i w:val="0"/>
          <w:iCs w:val="0"/>
          <w:color w:val="000000"/>
          <w:sz w:val="20"/>
          <w:szCs w:val="20"/>
          <w:vertAlign w:val="superscript"/>
          <w:lang w:val="en-US" w:eastAsia="zh-CN"/>
        </w:rPr>
        <w:t xml:space="preserve">3 </w:t>
      </w:r>
      <w:r>
        <w:rPr>
          <w:rFonts w:hint="default" w:ascii="Calibri" w:hAnsi="Calibri" w:cs="Calibri"/>
          <w:b w:val="0"/>
          <w:bCs w:val="0"/>
          <w:i w:val="0"/>
          <w:iCs w:val="0"/>
          <w:color w:val="000000"/>
          <w:sz w:val="20"/>
          <w:szCs w:val="20"/>
          <w:vertAlign w:val="baseline"/>
          <w:lang w:val="en-US" w:eastAsia="zh-CN"/>
        </w:rPr>
        <w:t>Engineering Research Center for Hemp and Product in Cold Region of Ministry of Education, Qiqihar University, Qiqihar 161006, China</w:t>
      </w:r>
    </w:p>
    <w:p>
      <w:pPr>
        <w:spacing w:line="240" w:lineRule="auto"/>
        <w:rPr>
          <w:rFonts w:hint="default" w:ascii="Calibri" w:hAnsi="Calibri" w:cs="Calibri"/>
          <w:b w:val="0"/>
          <w:bCs w:val="0"/>
          <w:i w:val="0"/>
          <w:iCs w:val="0"/>
          <w:color w:val="000000"/>
          <w:sz w:val="20"/>
          <w:szCs w:val="20"/>
          <w:lang w:val="en-US" w:eastAsia="zh-CN"/>
        </w:rPr>
      </w:pPr>
      <w:r>
        <w:rPr>
          <w:rFonts w:hint="default" w:ascii="Calibri" w:hAnsi="Calibri" w:cs="Calibri"/>
          <w:b w:val="0"/>
          <w:bCs w:val="0"/>
          <w:i w:val="0"/>
          <w:iCs w:val="0"/>
          <w:color w:val="000000"/>
          <w:sz w:val="20"/>
          <w:szCs w:val="20"/>
          <w:lang w:val="en-US" w:eastAsia="zh-CN"/>
        </w:rPr>
        <w:t xml:space="preserve">* Corresponding authors </w:t>
      </w:r>
    </w:p>
    <w:p>
      <w:pPr>
        <w:spacing w:line="240" w:lineRule="auto"/>
        <w:rPr>
          <w:rFonts w:hint="default" w:ascii="Calibri" w:hAnsi="Calibri" w:cs="Calibri"/>
          <w:b w:val="0"/>
          <w:bCs w:val="0"/>
          <w:i w:val="0"/>
          <w:iCs w:val="0"/>
          <w:color w:val="000000"/>
          <w:sz w:val="20"/>
          <w:szCs w:val="20"/>
          <w:lang w:val="en-US" w:eastAsia="zh-CN"/>
        </w:rPr>
      </w:pPr>
      <w:r>
        <w:rPr>
          <w:rFonts w:hint="default" w:ascii="Calibri" w:hAnsi="Calibri" w:cs="Calibri"/>
          <w:b w:val="0"/>
          <w:bCs w:val="0"/>
          <w:i w:val="0"/>
          <w:iCs w:val="0"/>
          <w:color w:val="000000"/>
          <w:sz w:val="20"/>
          <w:szCs w:val="20"/>
          <w:lang w:val="en-US" w:eastAsia="zh-CN"/>
        </w:rPr>
        <w:t xml:space="preserve">E-mail address: </w:t>
      </w:r>
      <w:r>
        <w:rPr>
          <w:rStyle w:val="4"/>
          <w:rFonts w:hint="default" w:ascii="Calibri" w:hAnsi="Calibri" w:cs="Calibri"/>
          <w:i w:val="0"/>
          <w:iCs w:val="0"/>
          <w:sz w:val="20"/>
          <w:szCs w:val="20"/>
          <w:lang w:val="en-US" w:eastAsia="zh-CN"/>
        </w:rPr>
        <w:fldChar w:fldCharType="begin"/>
      </w:r>
      <w:r>
        <w:rPr>
          <w:rStyle w:val="4"/>
          <w:rFonts w:hint="default" w:ascii="Calibri" w:hAnsi="Calibri" w:cs="Calibri"/>
          <w:i w:val="0"/>
          <w:iCs w:val="0"/>
          <w:sz w:val="20"/>
          <w:szCs w:val="20"/>
          <w:lang w:val="en-US" w:eastAsia="zh-CN"/>
        </w:rPr>
        <w:instrText xml:space="preserve"> HYPERLINK "mailto:chemgbc@163.com;" </w:instrText>
      </w:r>
      <w:r>
        <w:rPr>
          <w:rStyle w:val="4"/>
          <w:rFonts w:hint="default" w:ascii="Calibri" w:hAnsi="Calibri" w:cs="Calibri"/>
          <w:i w:val="0"/>
          <w:iCs w:val="0"/>
          <w:sz w:val="20"/>
          <w:szCs w:val="20"/>
          <w:lang w:val="en-US" w:eastAsia="zh-CN"/>
        </w:rPr>
        <w:fldChar w:fldCharType="separate"/>
      </w:r>
      <w:r>
        <w:rPr>
          <w:rStyle w:val="4"/>
          <w:rFonts w:hint="default" w:ascii="Calibri" w:hAnsi="Calibri" w:cs="Calibri"/>
          <w:i w:val="0"/>
          <w:iCs w:val="0"/>
          <w:sz w:val="20"/>
          <w:szCs w:val="20"/>
          <w:lang w:val="en-US" w:eastAsia="zh-CN"/>
        </w:rPr>
        <w:t xml:space="preserve">chemgbc@163.com, </w:t>
      </w:r>
      <w:r>
        <w:rPr>
          <w:rStyle w:val="4"/>
          <w:rFonts w:hint="default" w:ascii="Calibri" w:hAnsi="Calibri" w:cs="Calibri"/>
          <w:i w:val="0"/>
          <w:iCs w:val="0"/>
          <w:sz w:val="20"/>
          <w:szCs w:val="20"/>
          <w:lang w:val="en-US" w:eastAsia="zh-CN"/>
        </w:rPr>
        <w:fldChar w:fldCharType="end"/>
      </w:r>
      <w:r>
        <w:rPr>
          <w:rStyle w:val="4"/>
          <w:rFonts w:hint="default" w:ascii="Calibri" w:hAnsi="Calibri" w:cs="Calibri"/>
          <w:i w:val="0"/>
          <w:iCs w:val="0"/>
          <w:color w:val="auto"/>
          <w:sz w:val="20"/>
          <w:szCs w:val="20"/>
          <w:lang w:val="en-US" w:eastAsia="zh-CN"/>
        </w:rPr>
        <w:t>maoguoliang@nepu.edu.cn</w:t>
      </w:r>
    </w:p>
    <w:p>
      <w:pPr>
        <w:jc w:val="both"/>
        <w:rPr>
          <w:rFonts w:hint="default" w:ascii="Calibri" w:hAnsi="Calibri" w:cs="Calibri"/>
          <w:color w:val="auto"/>
          <w:sz w:val="20"/>
          <w:szCs w:val="20"/>
          <w:lang w:val="en-US" w:eastAsia="zh-CN"/>
        </w:rPr>
      </w:pPr>
      <w:r>
        <w:rPr>
          <w:rFonts w:hint="default" w:ascii="Calibri" w:hAnsi="Calibri" w:cs="Calibri"/>
          <w:b/>
          <w:bCs/>
          <w:sz w:val="20"/>
          <w:szCs w:val="20"/>
          <w:lang w:val="en-US" w:eastAsia="zh-CN"/>
        </w:rPr>
        <w:t>Abstract:</w:t>
      </w:r>
      <w:r>
        <w:rPr>
          <w:rFonts w:hint="default" w:ascii="Calibri" w:hAnsi="Calibri" w:cs="Calibri"/>
          <w:sz w:val="20"/>
          <w:szCs w:val="20"/>
          <w:lang w:val="en-US" w:eastAsia="zh-CN"/>
        </w:rPr>
        <w:t xml:space="preserve"> </w:t>
      </w:r>
      <w:r>
        <w:rPr>
          <w:rFonts w:hint="default" w:ascii="Calibri" w:hAnsi="Calibri" w:cs="Calibri"/>
          <w:color w:val="auto"/>
          <w:sz w:val="20"/>
          <w:szCs w:val="20"/>
          <w:lang w:val="en-US" w:eastAsia="zh-CN"/>
        </w:rPr>
        <w:t>The decarboxylation reaction for acidic cannabinoids is an important step in the use of cannabis. The effect of heating rates and cannabinoid composition on the decarboxylation process was studied. The TG/DTG curves of Δ9-tetrahydrocannabinolic acid (THCA) and cannabidiolic acid (CBDA), for a first time, compared the decarboxylation dynamics at different heating rates. Moreover, HPLC analysis on the plant sample after TG run presented evidence of cannabinoids conversion. The results showed that THCA had a higher decarboxylation reaction temperature than CBDA. In all cases, a significant loss of acid and neutral cannabinoids was observed at elevated heating rates in the absence of oxygen. THCA-dominant cannabis plant show lower activation energy (Ea) on THCA decarboxylation reaction. These findings were used to improve the decarboxylation condition and increase THC or CBD concentration.</w:t>
      </w:r>
    </w:p>
    <w:p>
      <w:pPr>
        <w:spacing w:line="480" w:lineRule="auto"/>
        <w:jc w:val="left"/>
        <w:rPr>
          <w:rFonts w:hint="default" w:ascii="Times New Roman" w:hAnsi="Times New Roman" w:cs="Times New Roman"/>
          <w:color w:val="auto"/>
          <w:sz w:val="20"/>
          <w:szCs w:val="20"/>
          <w:lang w:val="en-US" w:eastAsia="zh-CN"/>
        </w:rPr>
      </w:pPr>
      <w:r>
        <w:rPr>
          <w:rFonts w:hint="default" w:ascii="Calibri" w:hAnsi="Calibri" w:cs="Calibri"/>
          <w:b/>
          <w:bCs/>
          <w:color w:val="auto"/>
          <w:sz w:val="20"/>
          <w:szCs w:val="20"/>
          <w:lang w:val="en-US" w:eastAsia="zh-CN"/>
        </w:rPr>
        <w:t>Keywords:</w:t>
      </w:r>
      <w:r>
        <w:rPr>
          <w:rFonts w:hint="default" w:ascii="Calibri" w:hAnsi="Calibri" w:cs="Calibri"/>
          <w:color w:val="auto"/>
          <w:sz w:val="20"/>
          <w:szCs w:val="20"/>
          <w:lang w:val="en-US" w:eastAsia="zh-CN"/>
        </w:rPr>
        <w:t xml:space="preserve"> </w:t>
      </w:r>
      <w:r>
        <w:rPr>
          <w:rFonts w:hint="default" w:ascii="Times New Roman" w:hAnsi="Times New Roman" w:cs="Times New Roman"/>
          <w:color w:val="auto"/>
          <w:sz w:val="20"/>
          <w:szCs w:val="20"/>
          <w:lang w:val="en-US" w:eastAsia="zh-CN"/>
        </w:rPr>
        <w:t>Δ</w:t>
      </w:r>
      <w:r>
        <w:rPr>
          <w:rFonts w:hint="default" w:ascii="Times New Roman" w:hAnsi="Times New Roman" w:cs="Times New Roman"/>
          <w:color w:val="auto"/>
          <w:sz w:val="20"/>
          <w:szCs w:val="20"/>
          <w:vertAlign w:val="superscript"/>
          <w:lang w:val="en-US" w:eastAsia="zh-CN"/>
        </w:rPr>
        <w:t>9</w:t>
      </w:r>
      <w:r>
        <w:rPr>
          <w:rFonts w:hint="default" w:ascii="Times New Roman" w:hAnsi="Times New Roman" w:cs="Times New Roman"/>
          <w:color w:val="auto"/>
          <w:sz w:val="20"/>
          <w:szCs w:val="20"/>
          <w:lang w:val="en-US" w:eastAsia="zh-CN"/>
        </w:rPr>
        <w:t>-tetrahydrocannabinolic acid</w:t>
      </w:r>
      <w:r>
        <w:rPr>
          <w:rFonts w:hint="eastAsia" w:ascii="Times New Roman" w:hAnsi="Times New Roman" w:cs="Times New Roman"/>
          <w:color w:val="BEBEBE"/>
          <w:sz w:val="18"/>
          <w:szCs w:val="18"/>
          <w:vertAlign w:val="baseline"/>
          <w:lang w:val="en-US" w:eastAsia="zh-CN"/>
        </w:rPr>
        <w:t>·</w:t>
      </w:r>
      <w:r>
        <w:rPr>
          <w:rFonts w:hint="eastAsia" w:ascii="Times New Roman" w:hAnsi="Times New Roman" w:cs="Times New Roman"/>
          <w:color w:val="auto"/>
          <w:sz w:val="20"/>
          <w:szCs w:val="20"/>
          <w:lang w:val="en-US" w:eastAsia="zh-CN"/>
        </w:rPr>
        <w:t>C</w:t>
      </w:r>
      <w:r>
        <w:rPr>
          <w:rFonts w:hint="default" w:ascii="Times New Roman" w:hAnsi="Times New Roman" w:cs="Times New Roman"/>
          <w:color w:val="auto"/>
          <w:sz w:val="20"/>
          <w:szCs w:val="20"/>
          <w:lang w:val="en-US" w:eastAsia="zh-CN"/>
        </w:rPr>
        <w:t>annabidiolic acid</w:t>
      </w:r>
      <w:r>
        <w:rPr>
          <w:rFonts w:hint="eastAsia" w:ascii="Times New Roman" w:hAnsi="Times New Roman" w:cs="Times New Roman"/>
          <w:color w:val="BEBEBE"/>
          <w:sz w:val="18"/>
          <w:szCs w:val="18"/>
          <w:vertAlign w:val="baseline"/>
          <w:lang w:val="en-US" w:eastAsia="zh-CN"/>
        </w:rPr>
        <w:t>·</w:t>
      </w:r>
      <w:r>
        <w:rPr>
          <w:rFonts w:hint="eastAsia" w:ascii="Times New Roman" w:hAnsi="Times New Roman" w:cs="Times New Roman"/>
          <w:color w:val="auto"/>
          <w:sz w:val="20"/>
          <w:szCs w:val="20"/>
          <w:lang w:val="en-US" w:eastAsia="zh-CN"/>
        </w:rPr>
        <w:t>D</w:t>
      </w:r>
      <w:r>
        <w:rPr>
          <w:rFonts w:hint="default" w:ascii="Times New Roman" w:hAnsi="Times New Roman" w:cs="Times New Roman"/>
          <w:color w:val="auto"/>
          <w:sz w:val="20"/>
          <w:szCs w:val="20"/>
          <w:lang w:val="en-US" w:eastAsia="zh-CN"/>
        </w:rPr>
        <w:t>ecarboxylation</w:t>
      </w:r>
      <w:r>
        <w:rPr>
          <w:rFonts w:hint="eastAsia" w:ascii="Times New Roman" w:hAnsi="Times New Roman" w:cs="Times New Roman"/>
          <w:color w:val="BEBEBE"/>
          <w:sz w:val="18"/>
          <w:szCs w:val="18"/>
          <w:vertAlign w:val="baseline"/>
          <w:lang w:val="en-US" w:eastAsia="zh-CN"/>
        </w:rPr>
        <w:t>·</w:t>
      </w:r>
      <w:r>
        <w:rPr>
          <w:rFonts w:hint="eastAsia" w:ascii="Times New Roman" w:hAnsi="Times New Roman" w:cs="Times New Roman"/>
          <w:color w:val="auto"/>
          <w:sz w:val="20"/>
          <w:szCs w:val="20"/>
          <w:lang w:val="en-US" w:eastAsia="zh-CN"/>
        </w:rPr>
        <w:t>TG/DTG</w:t>
      </w:r>
      <w:r>
        <w:rPr>
          <w:rFonts w:hint="eastAsia" w:ascii="Times New Roman" w:hAnsi="Times New Roman" w:cs="Times New Roman"/>
          <w:color w:val="BEBEBE"/>
          <w:sz w:val="18"/>
          <w:szCs w:val="18"/>
          <w:vertAlign w:val="baseline"/>
          <w:lang w:val="en-US" w:eastAsia="zh-CN"/>
        </w:rPr>
        <w:t>·</w:t>
      </w:r>
      <w:r>
        <w:rPr>
          <w:rFonts w:hint="eastAsia" w:ascii="Times New Roman" w:hAnsi="Times New Roman" w:cs="Times New Roman"/>
          <w:color w:val="auto"/>
          <w:sz w:val="20"/>
          <w:szCs w:val="20"/>
          <w:lang w:val="en-US" w:eastAsia="zh-CN"/>
        </w:rPr>
        <w:t>HPLC</w:t>
      </w:r>
    </w:p>
    <w:p>
      <w:pPr>
        <w:spacing w:line="480" w:lineRule="auto"/>
        <w:jc w:val="left"/>
        <w:rPr>
          <w:rFonts w:hint="default" w:ascii="Times New Roman" w:hAnsi="Times New Roman" w:cs="Times New Roman"/>
          <w:color w:val="auto"/>
          <w:sz w:val="20"/>
          <w:szCs w:val="20"/>
          <w:lang w:val="en-US" w:eastAsia="zh-CN"/>
        </w:rPr>
      </w:pPr>
    </w:p>
    <w:p>
      <w:pPr>
        <w:jc w:val="left"/>
        <w:rPr>
          <w:rFonts w:hint="default" w:ascii="Times New Roman" w:hAnsi="Times New Roman" w:cs="Times New Roman"/>
          <w:color w:val="FF0000"/>
          <w:sz w:val="20"/>
          <w:szCs w:val="20"/>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bookmarkStart w:id="0" w:name="_GoBack"/>
      <w:bookmarkEnd w:id="0"/>
    </w:p>
    <w:p>
      <w:pPr>
        <w:rPr>
          <w:rFonts w:hint="eastAsia"/>
          <w:lang w:val="en-US" w:eastAsia="zh-CN"/>
        </w:rPr>
      </w:pPr>
    </w:p>
    <w:p>
      <w:pPr>
        <w:numPr>
          <w:ilvl w:val="0"/>
          <w:numId w:val="0"/>
        </w:numPr>
        <w:bidi w:val="0"/>
        <w:spacing w:line="360" w:lineRule="auto"/>
        <w:jc w:val="center"/>
        <w:rPr>
          <w:rFonts w:hint="default" w:ascii="Calibri" w:hAnsi="Calibri" w:cs="Calibri"/>
          <w:b/>
          <w:bCs/>
          <w:i w:val="0"/>
          <w:iCs w:val="0"/>
          <w:sz w:val="24"/>
          <w:szCs w:val="24"/>
        </w:rPr>
      </w:pPr>
      <w:r>
        <w:rPr>
          <w:rFonts w:hint="default" w:ascii="Calibri" w:hAnsi="Calibri" w:cs="Calibri"/>
          <w:b/>
          <w:bCs/>
          <w:i w:val="0"/>
          <w:iCs w:val="0"/>
          <w:sz w:val="24"/>
          <w:szCs w:val="24"/>
        </w:rPr>
        <w:t>Electronic Supporting Information</w:t>
      </w:r>
    </w:p>
    <w:p>
      <w:pPr>
        <w:keepNext w:val="0"/>
        <w:keepLines w:val="0"/>
        <w:pageBreakBefore w:val="0"/>
        <w:numPr>
          <w:ilvl w:val="0"/>
          <w:numId w:val="1"/>
        </w:numPr>
        <w:kinsoku/>
        <w:wordWrap/>
        <w:overflowPunct/>
        <w:topLinePunct w:val="0"/>
        <w:autoSpaceDE/>
        <w:autoSpaceDN/>
        <w:bidi w:val="0"/>
        <w:adjustRightInd/>
        <w:snapToGrid/>
        <w:spacing w:line="348" w:lineRule="auto"/>
        <w:textAlignment w:val="auto"/>
        <w:rPr>
          <w:rFonts w:hint="default" w:ascii="Calibri" w:hAnsi="Calibri" w:cs="Calibri"/>
          <w:b w:val="0"/>
          <w:bCs w:val="0"/>
          <w:i w:val="0"/>
          <w:iCs w:val="0"/>
          <w:sz w:val="20"/>
          <w:szCs w:val="20"/>
        </w:rPr>
      </w:pPr>
      <w:r>
        <w:rPr>
          <w:rFonts w:hint="default" w:ascii="Calibri" w:hAnsi="Calibri" w:cs="Calibri"/>
          <w:b w:val="0"/>
          <w:bCs w:val="0"/>
          <w:i w:val="0"/>
          <w:iCs w:val="0"/>
          <w:sz w:val="20"/>
          <w:szCs w:val="20"/>
        </w:rPr>
        <w:t>General procedure for the</w:t>
      </w:r>
      <w:r>
        <w:rPr>
          <w:rFonts w:hint="eastAsia" w:ascii="Calibri" w:hAnsi="Calibri" w:eastAsia="宋体" w:cs="Calibri"/>
          <w:b w:val="0"/>
          <w:bCs w:val="0"/>
          <w:i w:val="0"/>
          <w:iCs w:val="0"/>
          <w:sz w:val="20"/>
          <w:szCs w:val="20"/>
          <w:lang w:val="en-US" w:eastAsia="zh-CN"/>
        </w:rPr>
        <w:t xml:space="preserve"> analysis of CBD</w:t>
      </w:r>
      <w:r>
        <w:rPr>
          <w:rFonts w:hint="eastAsia" w:cs="Calibri"/>
          <w:b w:val="0"/>
          <w:bCs w:val="0"/>
          <w:i w:val="0"/>
          <w:iCs w:val="0"/>
          <w:sz w:val="20"/>
          <w:szCs w:val="20"/>
          <w:lang w:val="en-US" w:eastAsia="zh-CN"/>
        </w:rPr>
        <w:t>,</w:t>
      </w:r>
      <w:r>
        <w:rPr>
          <w:rFonts w:hint="eastAsia" w:ascii="Calibri" w:hAnsi="Calibri" w:eastAsia="宋体" w:cs="Calibri"/>
          <w:b w:val="0"/>
          <w:bCs w:val="0"/>
          <w:i w:val="0"/>
          <w:iCs w:val="0"/>
          <w:sz w:val="20"/>
          <w:szCs w:val="20"/>
          <w:lang w:val="en-US" w:eastAsia="zh-CN"/>
        </w:rPr>
        <w:t xml:space="preserve"> CBDA</w:t>
      </w:r>
      <w:r>
        <w:rPr>
          <w:rFonts w:hint="eastAsia" w:cs="Calibri"/>
          <w:b w:val="0"/>
          <w:bCs w:val="0"/>
          <w:i w:val="0"/>
          <w:iCs w:val="0"/>
          <w:sz w:val="20"/>
          <w:szCs w:val="20"/>
          <w:lang w:val="en-US" w:eastAsia="zh-CN"/>
        </w:rPr>
        <w:t>, THC, and THCA</w:t>
      </w:r>
    </w:p>
    <w:p>
      <w:pPr>
        <w:keepNext w:val="0"/>
        <w:keepLines w:val="0"/>
        <w:pageBreakBefore w:val="0"/>
        <w:numPr>
          <w:ilvl w:val="0"/>
          <w:numId w:val="1"/>
        </w:numPr>
        <w:kinsoku/>
        <w:wordWrap/>
        <w:overflowPunct/>
        <w:topLinePunct w:val="0"/>
        <w:autoSpaceDE/>
        <w:autoSpaceDN/>
        <w:bidi w:val="0"/>
        <w:adjustRightInd/>
        <w:snapToGrid/>
        <w:spacing w:line="348" w:lineRule="auto"/>
        <w:ind w:left="0" w:leftChars="0" w:firstLine="0" w:firstLineChars="0"/>
        <w:textAlignment w:val="auto"/>
        <w:rPr>
          <w:rFonts w:hint="default" w:ascii="Calibri" w:hAnsi="Calibri" w:eastAsia="宋体" w:cs="Calibri"/>
          <w:i w:val="0"/>
          <w:iCs w:val="0"/>
          <w:sz w:val="20"/>
          <w:szCs w:val="20"/>
          <w:lang w:val="en-US" w:eastAsia="zh-CN"/>
        </w:rPr>
      </w:pPr>
      <w:r>
        <w:rPr>
          <w:rFonts w:hint="default" w:ascii="Calibri" w:hAnsi="Calibri" w:eastAsia="宋体" w:cs="Calibri"/>
          <w:i w:val="0"/>
          <w:iCs w:val="0"/>
          <w:sz w:val="20"/>
          <w:szCs w:val="20"/>
          <w:lang w:val="en-US" w:eastAsia="zh-CN"/>
        </w:rPr>
        <w:t>Table S1. Linearity and limits of detection</w:t>
      </w:r>
      <w:r>
        <w:rPr>
          <w:rFonts w:hint="eastAsia" w:ascii="Calibri" w:hAnsi="Calibri" w:eastAsia="宋体" w:cs="Calibri"/>
          <w:i w:val="0"/>
          <w:iCs w:val="0"/>
          <w:sz w:val="20"/>
          <w:szCs w:val="20"/>
          <w:lang w:val="en-US" w:eastAsia="zh-CN"/>
        </w:rPr>
        <w:t xml:space="preserve"> </w:t>
      </w:r>
      <w:r>
        <w:rPr>
          <w:rFonts w:hint="default" w:ascii="Calibri" w:hAnsi="Calibri" w:eastAsia="宋体" w:cs="Calibri"/>
          <w:i w:val="0"/>
          <w:iCs w:val="0"/>
          <w:sz w:val="20"/>
          <w:szCs w:val="20"/>
          <w:lang w:val="en-US" w:eastAsia="zh-CN"/>
        </w:rPr>
        <w:t>(LOD) and quantification</w:t>
      </w:r>
      <w:r>
        <w:rPr>
          <w:rFonts w:hint="eastAsia" w:ascii="Calibri" w:hAnsi="Calibri" w:eastAsia="宋体" w:cs="Calibri"/>
          <w:i w:val="0"/>
          <w:iCs w:val="0"/>
          <w:sz w:val="20"/>
          <w:szCs w:val="20"/>
          <w:lang w:val="en-US" w:eastAsia="zh-CN"/>
        </w:rPr>
        <w:t xml:space="preserve"> </w:t>
      </w:r>
      <w:r>
        <w:rPr>
          <w:rFonts w:hint="default" w:ascii="Calibri" w:hAnsi="Calibri" w:eastAsia="宋体" w:cs="Calibri"/>
          <w:i w:val="0"/>
          <w:iCs w:val="0"/>
          <w:sz w:val="20"/>
          <w:szCs w:val="20"/>
          <w:lang w:val="en-US" w:eastAsia="zh-CN"/>
        </w:rPr>
        <w:t xml:space="preserve">(LOQ) data calculated for standard </w:t>
      </w:r>
      <w:r>
        <w:rPr>
          <w:rFonts w:hint="eastAsia" w:ascii="Calibri" w:hAnsi="Calibri" w:eastAsia="宋体" w:cs="Calibri"/>
          <w:b w:val="0"/>
          <w:bCs w:val="0"/>
          <w:i w:val="0"/>
          <w:iCs w:val="0"/>
          <w:sz w:val="20"/>
          <w:szCs w:val="20"/>
          <w:lang w:val="en-US" w:eastAsia="zh-CN"/>
        </w:rPr>
        <w:t>CBD</w:t>
      </w:r>
      <w:r>
        <w:rPr>
          <w:rFonts w:hint="eastAsia" w:cs="Calibri"/>
          <w:b w:val="0"/>
          <w:bCs w:val="0"/>
          <w:i w:val="0"/>
          <w:iCs w:val="0"/>
          <w:sz w:val="20"/>
          <w:szCs w:val="20"/>
          <w:lang w:val="en-US" w:eastAsia="zh-CN"/>
        </w:rPr>
        <w:t>,</w:t>
      </w:r>
      <w:r>
        <w:rPr>
          <w:rFonts w:hint="eastAsia" w:ascii="Calibri" w:hAnsi="Calibri" w:eastAsia="宋体" w:cs="Calibri"/>
          <w:b w:val="0"/>
          <w:bCs w:val="0"/>
          <w:i w:val="0"/>
          <w:iCs w:val="0"/>
          <w:sz w:val="20"/>
          <w:szCs w:val="20"/>
          <w:lang w:val="en-US" w:eastAsia="zh-CN"/>
        </w:rPr>
        <w:t xml:space="preserve"> CBDA</w:t>
      </w:r>
      <w:r>
        <w:rPr>
          <w:rFonts w:hint="eastAsia" w:cs="Calibri"/>
          <w:b w:val="0"/>
          <w:bCs w:val="0"/>
          <w:i w:val="0"/>
          <w:iCs w:val="0"/>
          <w:sz w:val="20"/>
          <w:szCs w:val="20"/>
          <w:lang w:val="en-US" w:eastAsia="zh-CN"/>
        </w:rPr>
        <w:t>, THC, and THCA</w:t>
      </w:r>
    </w:p>
    <w:p>
      <w:pPr>
        <w:keepNext w:val="0"/>
        <w:keepLines w:val="0"/>
        <w:pageBreakBefore w:val="0"/>
        <w:numPr>
          <w:ilvl w:val="0"/>
          <w:numId w:val="0"/>
        </w:numPr>
        <w:kinsoku/>
        <w:wordWrap/>
        <w:overflowPunct/>
        <w:topLinePunct w:val="0"/>
        <w:autoSpaceDE/>
        <w:autoSpaceDN/>
        <w:bidi w:val="0"/>
        <w:adjustRightInd/>
        <w:snapToGrid/>
        <w:spacing w:line="348" w:lineRule="auto"/>
        <w:textAlignment w:val="auto"/>
        <w:rPr>
          <w:rFonts w:hint="default" w:ascii="Calibri" w:hAnsi="Calibri" w:cs="Calibri"/>
          <w:i w:val="0"/>
          <w:iCs w:val="0"/>
          <w:sz w:val="20"/>
          <w:szCs w:val="20"/>
        </w:rPr>
      </w:pPr>
      <w:r>
        <w:rPr>
          <w:rFonts w:hint="default" w:ascii="Calibri" w:hAnsi="Calibri" w:cs="Calibri"/>
          <w:i w:val="0"/>
          <w:iCs w:val="0"/>
          <w:sz w:val="20"/>
          <w:szCs w:val="20"/>
        </w:rPr>
        <w:t xml:space="preserve">3. Table S2. Retention times of CBD, CBDA, THC, and THCA </w:t>
      </w:r>
    </w:p>
    <w:p>
      <w:pPr>
        <w:keepNext w:val="0"/>
        <w:keepLines w:val="0"/>
        <w:pageBreakBefore w:val="0"/>
        <w:numPr>
          <w:ilvl w:val="0"/>
          <w:numId w:val="0"/>
        </w:numPr>
        <w:kinsoku/>
        <w:wordWrap/>
        <w:overflowPunct/>
        <w:topLinePunct w:val="0"/>
        <w:autoSpaceDE/>
        <w:autoSpaceDN/>
        <w:bidi w:val="0"/>
        <w:adjustRightInd/>
        <w:snapToGrid/>
        <w:spacing w:line="348" w:lineRule="auto"/>
        <w:textAlignment w:val="auto"/>
        <w:rPr>
          <w:rFonts w:hint="default" w:ascii="Calibri" w:hAnsi="Calibri" w:cs="Calibri"/>
          <w:i w:val="0"/>
          <w:iCs w:val="0"/>
          <w:sz w:val="20"/>
          <w:szCs w:val="20"/>
        </w:rPr>
      </w:pPr>
      <w:r>
        <w:rPr>
          <w:rFonts w:hint="eastAsia" w:ascii="Calibri" w:hAnsi="Calibri" w:eastAsia="宋体" w:cs="Calibri"/>
          <w:i w:val="0"/>
          <w:iCs w:val="0"/>
          <w:sz w:val="20"/>
          <w:szCs w:val="20"/>
          <w:lang w:val="en-US" w:eastAsia="zh-CN"/>
        </w:rPr>
        <w:t xml:space="preserve">4. </w:t>
      </w:r>
      <w:r>
        <w:rPr>
          <w:rFonts w:hint="default" w:ascii="Calibri" w:hAnsi="Calibri" w:cs="Calibri"/>
          <w:i w:val="0"/>
          <w:iCs w:val="0"/>
          <w:sz w:val="20"/>
          <w:szCs w:val="20"/>
        </w:rPr>
        <w:t>Figure S1. Chromatograms obtained by HPLC analysis of cannabis plant</w:t>
      </w:r>
    </w:p>
    <w:p>
      <w:pPr>
        <w:keepNext w:val="0"/>
        <w:keepLines w:val="0"/>
        <w:pageBreakBefore w:val="0"/>
        <w:numPr>
          <w:ilvl w:val="0"/>
          <w:numId w:val="0"/>
        </w:numPr>
        <w:kinsoku/>
        <w:wordWrap/>
        <w:overflowPunct/>
        <w:topLinePunct w:val="0"/>
        <w:autoSpaceDE/>
        <w:autoSpaceDN/>
        <w:bidi w:val="0"/>
        <w:adjustRightInd/>
        <w:snapToGrid/>
        <w:spacing w:line="348" w:lineRule="auto"/>
        <w:jc w:val="left"/>
        <w:textAlignment w:val="auto"/>
        <w:rPr>
          <w:rFonts w:hint="default" w:ascii="Calibri" w:hAnsi="Calibri" w:cs="Calibri"/>
          <w:b w:val="0"/>
          <w:bCs w:val="0"/>
          <w:i w:val="0"/>
          <w:iCs w:val="0"/>
          <w:color w:val="auto"/>
          <w:sz w:val="20"/>
          <w:szCs w:val="20"/>
        </w:rPr>
      </w:pPr>
      <w:r>
        <w:rPr>
          <w:rFonts w:hint="eastAsia" w:cs="Calibri"/>
          <w:b w:val="0"/>
          <w:bCs w:val="0"/>
          <w:i w:val="0"/>
          <w:iCs w:val="0"/>
          <w:sz w:val="20"/>
          <w:szCs w:val="20"/>
          <w:lang w:val="en-US" w:eastAsia="zh-CN"/>
        </w:rPr>
        <w:t>5</w:t>
      </w:r>
      <w:r>
        <w:rPr>
          <w:rFonts w:hint="default" w:ascii="Calibri" w:hAnsi="Calibri" w:cs="Calibri"/>
          <w:b w:val="0"/>
          <w:bCs w:val="0"/>
          <w:i w:val="0"/>
          <w:iCs w:val="0"/>
          <w:sz w:val="20"/>
          <w:szCs w:val="20"/>
        </w:rPr>
        <w:t>.</w:t>
      </w:r>
      <w:r>
        <w:rPr>
          <w:rFonts w:hint="eastAsia" w:ascii="Calibri" w:hAnsi="Calibri" w:eastAsia="宋体" w:cs="Calibri"/>
          <w:b w:val="0"/>
          <w:bCs w:val="0"/>
          <w:i w:val="0"/>
          <w:iCs w:val="0"/>
          <w:sz w:val="20"/>
          <w:szCs w:val="20"/>
          <w:lang w:val="en-US" w:eastAsia="zh-CN"/>
        </w:rPr>
        <w:t xml:space="preserve"> </w:t>
      </w:r>
      <w:r>
        <w:rPr>
          <w:rFonts w:hint="default" w:ascii="Calibri" w:hAnsi="Calibri" w:cs="Calibri"/>
          <w:b w:val="0"/>
          <w:bCs w:val="0"/>
          <w:i w:val="0"/>
          <w:iCs w:val="0"/>
          <w:sz w:val="20"/>
          <w:szCs w:val="20"/>
        </w:rPr>
        <w:t xml:space="preserve">General </w:t>
      </w:r>
      <w:r>
        <w:rPr>
          <w:rFonts w:hint="eastAsia" w:cs="Calibri"/>
          <w:b w:val="0"/>
          <w:bCs w:val="0"/>
          <w:i w:val="0"/>
          <w:iCs w:val="0"/>
          <w:sz w:val="20"/>
          <w:szCs w:val="20"/>
          <w:lang w:val="en-US" w:eastAsia="zh-CN"/>
        </w:rPr>
        <w:t>a</w:t>
      </w:r>
      <w:r>
        <w:rPr>
          <w:rFonts w:hint="default" w:ascii="Calibri" w:hAnsi="Calibri" w:cs="Calibri"/>
          <w:b w:val="0"/>
          <w:bCs w:val="0"/>
          <w:i w:val="0"/>
          <w:iCs w:val="0"/>
          <w:sz w:val="20"/>
          <w:szCs w:val="20"/>
        </w:rPr>
        <w:t xml:space="preserve">nalytical method for determining the conversion of and decarboxylation </w:t>
      </w:r>
    </w:p>
    <w:p>
      <w:pPr>
        <w:keepNext w:val="0"/>
        <w:keepLines w:val="0"/>
        <w:pageBreakBefore w:val="0"/>
        <w:numPr>
          <w:ilvl w:val="0"/>
          <w:numId w:val="0"/>
        </w:numPr>
        <w:kinsoku/>
        <w:wordWrap/>
        <w:overflowPunct/>
        <w:topLinePunct w:val="0"/>
        <w:autoSpaceDE/>
        <w:autoSpaceDN/>
        <w:bidi w:val="0"/>
        <w:adjustRightInd/>
        <w:snapToGrid/>
        <w:spacing w:line="348" w:lineRule="auto"/>
        <w:ind w:leftChars="0"/>
        <w:textAlignment w:val="auto"/>
        <w:rPr>
          <w:rFonts w:hint="eastAsia" w:ascii="Calibri" w:hAnsi="Calibri" w:eastAsia="宋体" w:cs="Calibri"/>
          <w:b w:val="0"/>
          <w:bCs w:val="0"/>
          <w:i w:val="0"/>
          <w:iCs w:val="0"/>
          <w:sz w:val="20"/>
          <w:szCs w:val="20"/>
          <w:lang w:val="en-US" w:eastAsia="zh-CN"/>
        </w:rPr>
      </w:pPr>
      <w:r>
        <w:rPr>
          <w:rFonts w:hint="eastAsia" w:cs="Calibri"/>
          <w:b w:val="0"/>
          <w:bCs w:val="0"/>
          <w:i w:val="0"/>
          <w:iCs w:val="0"/>
          <w:sz w:val="20"/>
          <w:szCs w:val="20"/>
          <w:lang w:val="en-US" w:eastAsia="zh-CN"/>
        </w:rPr>
        <w:t>6</w:t>
      </w:r>
      <w:r>
        <w:rPr>
          <w:rFonts w:hint="eastAsia" w:ascii="Calibri" w:hAnsi="Calibri" w:eastAsia="宋体" w:cs="Calibri"/>
          <w:b w:val="0"/>
          <w:bCs w:val="0"/>
          <w:i w:val="0"/>
          <w:iCs w:val="0"/>
          <w:sz w:val="20"/>
          <w:szCs w:val="20"/>
          <w:lang w:val="en-US" w:eastAsia="zh-CN"/>
        </w:rPr>
        <w:t>. Figure S</w:t>
      </w:r>
      <w:r>
        <w:rPr>
          <w:rFonts w:hint="eastAsia" w:cs="Calibri"/>
          <w:b w:val="0"/>
          <w:bCs w:val="0"/>
          <w:i w:val="0"/>
          <w:iCs w:val="0"/>
          <w:sz w:val="20"/>
          <w:szCs w:val="20"/>
          <w:lang w:val="en-US" w:eastAsia="zh-CN"/>
        </w:rPr>
        <w:t>2</w:t>
      </w:r>
      <w:r>
        <w:rPr>
          <w:rFonts w:hint="eastAsia" w:ascii="Calibri" w:hAnsi="Calibri" w:eastAsia="宋体" w:cs="Calibri"/>
          <w:b w:val="0"/>
          <w:bCs w:val="0"/>
          <w:i w:val="0"/>
          <w:iCs w:val="0"/>
          <w:sz w:val="20"/>
          <w:szCs w:val="20"/>
          <w:lang w:val="en-US" w:eastAsia="zh-CN"/>
        </w:rPr>
        <w:t xml:space="preserve">. </w:t>
      </w:r>
      <w:r>
        <w:rPr>
          <w:rFonts w:hint="eastAsia" w:ascii="Calibri" w:hAnsi="Calibri" w:eastAsia="宋体" w:cs="Calibri"/>
          <w:b w:val="0"/>
          <w:bCs w:val="0"/>
          <w:i w:val="0"/>
          <w:iCs w:val="0"/>
          <w:sz w:val="20"/>
          <w:szCs w:val="20"/>
          <w:vertAlign w:val="baseline"/>
          <w:lang w:val="en-US" w:eastAsia="zh-CN"/>
        </w:rPr>
        <w:t>MS analysis</w:t>
      </w:r>
      <w:r>
        <w:rPr>
          <w:rFonts w:hint="eastAsia" w:ascii="Calibri" w:hAnsi="Calibri" w:eastAsia="宋体" w:cs="Calibri"/>
          <w:b w:val="0"/>
          <w:bCs w:val="0"/>
          <w:i w:val="0"/>
          <w:iCs w:val="0"/>
          <w:sz w:val="20"/>
          <w:szCs w:val="20"/>
          <w:lang w:val="en-US" w:eastAsia="zh-CN"/>
        </w:rPr>
        <w:t xml:space="preserve"> spectra of CBD</w:t>
      </w:r>
    </w:p>
    <w:p>
      <w:pPr>
        <w:keepNext w:val="0"/>
        <w:keepLines w:val="0"/>
        <w:pageBreakBefore w:val="0"/>
        <w:numPr>
          <w:ilvl w:val="0"/>
          <w:numId w:val="0"/>
        </w:numPr>
        <w:kinsoku/>
        <w:wordWrap/>
        <w:overflowPunct/>
        <w:topLinePunct w:val="0"/>
        <w:autoSpaceDE/>
        <w:autoSpaceDN/>
        <w:bidi w:val="0"/>
        <w:adjustRightInd/>
        <w:snapToGrid/>
        <w:spacing w:line="348" w:lineRule="auto"/>
        <w:ind w:leftChars="0"/>
        <w:textAlignment w:val="auto"/>
        <w:rPr>
          <w:rFonts w:hint="default" w:ascii="Calibri" w:hAnsi="Calibri" w:eastAsia="宋体" w:cs="Calibri"/>
          <w:b w:val="0"/>
          <w:bCs w:val="0"/>
          <w:i w:val="0"/>
          <w:iCs w:val="0"/>
          <w:sz w:val="20"/>
          <w:szCs w:val="20"/>
          <w:lang w:val="en-US" w:eastAsia="zh-CN"/>
        </w:rPr>
      </w:pPr>
      <w:r>
        <w:rPr>
          <w:rFonts w:hint="eastAsia" w:cs="Calibri"/>
          <w:b w:val="0"/>
          <w:bCs w:val="0"/>
          <w:i w:val="0"/>
          <w:iCs w:val="0"/>
          <w:sz w:val="20"/>
          <w:szCs w:val="20"/>
          <w:lang w:val="en-US" w:eastAsia="zh-CN"/>
        </w:rPr>
        <w:t>7</w:t>
      </w:r>
      <w:r>
        <w:rPr>
          <w:rFonts w:hint="eastAsia" w:ascii="Calibri" w:hAnsi="Calibri" w:eastAsia="宋体" w:cs="Calibri"/>
          <w:b w:val="0"/>
          <w:bCs w:val="0"/>
          <w:i w:val="0"/>
          <w:iCs w:val="0"/>
          <w:sz w:val="20"/>
          <w:szCs w:val="20"/>
          <w:lang w:val="en-US" w:eastAsia="zh-CN"/>
        </w:rPr>
        <w:t>. Figure S</w:t>
      </w:r>
      <w:r>
        <w:rPr>
          <w:rFonts w:hint="eastAsia" w:cs="Calibri"/>
          <w:b w:val="0"/>
          <w:bCs w:val="0"/>
          <w:i w:val="0"/>
          <w:iCs w:val="0"/>
          <w:sz w:val="20"/>
          <w:szCs w:val="20"/>
          <w:lang w:val="en-US" w:eastAsia="zh-CN"/>
        </w:rPr>
        <w:t>3</w:t>
      </w:r>
      <w:r>
        <w:rPr>
          <w:rFonts w:hint="eastAsia" w:ascii="Calibri" w:hAnsi="Calibri" w:eastAsia="宋体" w:cs="Calibri"/>
          <w:b w:val="0"/>
          <w:bCs w:val="0"/>
          <w:i w:val="0"/>
          <w:iCs w:val="0"/>
          <w:sz w:val="20"/>
          <w:szCs w:val="20"/>
          <w:lang w:val="en-US" w:eastAsia="zh-CN"/>
        </w:rPr>
        <w:t>. MS analysis of CBD</w:t>
      </w:r>
      <w:r>
        <w:rPr>
          <w:rFonts w:hint="eastAsia" w:cs="Calibri"/>
          <w:b w:val="0"/>
          <w:bCs w:val="0"/>
          <w:i w:val="0"/>
          <w:iCs w:val="0"/>
          <w:sz w:val="20"/>
          <w:szCs w:val="20"/>
          <w:lang w:val="en-US" w:eastAsia="zh-CN"/>
        </w:rPr>
        <w:t>A</w:t>
      </w:r>
    </w:p>
    <w:p>
      <w:pPr>
        <w:keepNext w:val="0"/>
        <w:keepLines w:val="0"/>
        <w:pageBreakBefore w:val="0"/>
        <w:numPr>
          <w:ilvl w:val="0"/>
          <w:numId w:val="0"/>
        </w:numPr>
        <w:kinsoku/>
        <w:wordWrap/>
        <w:overflowPunct/>
        <w:topLinePunct w:val="0"/>
        <w:autoSpaceDE/>
        <w:autoSpaceDN/>
        <w:bidi w:val="0"/>
        <w:adjustRightInd/>
        <w:snapToGrid/>
        <w:spacing w:line="348" w:lineRule="auto"/>
        <w:ind w:leftChars="0"/>
        <w:textAlignment w:val="auto"/>
        <w:rPr>
          <w:rFonts w:hint="eastAsia" w:ascii="Calibri" w:hAnsi="Calibri" w:eastAsia="宋体" w:cs="Calibri"/>
          <w:b w:val="0"/>
          <w:bCs w:val="0"/>
          <w:i w:val="0"/>
          <w:iCs w:val="0"/>
          <w:sz w:val="20"/>
          <w:szCs w:val="20"/>
          <w:lang w:val="en-US" w:eastAsia="zh-CN"/>
        </w:rPr>
      </w:pPr>
      <w:r>
        <w:rPr>
          <w:rFonts w:hint="eastAsia" w:cs="Calibri"/>
          <w:b w:val="0"/>
          <w:bCs w:val="0"/>
          <w:i w:val="0"/>
          <w:iCs w:val="0"/>
          <w:sz w:val="20"/>
          <w:szCs w:val="20"/>
          <w:lang w:val="en-US" w:eastAsia="zh-CN"/>
        </w:rPr>
        <w:t>8</w:t>
      </w:r>
      <w:r>
        <w:rPr>
          <w:rFonts w:hint="eastAsia" w:ascii="Calibri" w:hAnsi="Calibri" w:eastAsia="宋体" w:cs="Calibri"/>
          <w:b w:val="0"/>
          <w:bCs w:val="0"/>
          <w:i w:val="0"/>
          <w:iCs w:val="0"/>
          <w:sz w:val="20"/>
          <w:szCs w:val="20"/>
          <w:lang w:val="en-US" w:eastAsia="zh-CN"/>
        </w:rPr>
        <w:t>. Figure S</w:t>
      </w:r>
      <w:r>
        <w:rPr>
          <w:rFonts w:hint="eastAsia" w:cs="Calibri"/>
          <w:b w:val="0"/>
          <w:bCs w:val="0"/>
          <w:i w:val="0"/>
          <w:iCs w:val="0"/>
          <w:sz w:val="20"/>
          <w:szCs w:val="20"/>
          <w:lang w:val="en-US" w:eastAsia="zh-CN"/>
        </w:rPr>
        <w:t>4</w:t>
      </w:r>
      <w:r>
        <w:rPr>
          <w:rFonts w:hint="eastAsia" w:ascii="Calibri" w:hAnsi="Calibri" w:eastAsia="宋体" w:cs="Calibri"/>
          <w:b w:val="0"/>
          <w:bCs w:val="0"/>
          <w:i w:val="0"/>
          <w:iCs w:val="0"/>
          <w:sz w:val="20"/>
          <w:szCs w:val="20"/>
          <w:lang w:val="en-US" w:eastAsia="zh-CN"/>
        </w:rPr>
        <w:t xml:space="preserve">. MS analysis of </w:t>
      </w:r>
      <w:r>
        <w:rPr>
          <w:rFonts w:hint="eastAsia" w:cs="Calibri"/>
          <w:b w:val="0"/>
          <w:bCs w:val="0"/>
          <w:i w:val="0"/>
          <w:iCs w:val="0"/>
          <w:sz w:val="20"/>
          <w:szCs w:val="20"/>
          <w:lang w:val="en-US" w:eastAsia="zh-CN"/>
        </w:rPr>
        <w:t>THC</w:t>
      </w:r>
      <w:r>
        <w:rPr>
          <w:rFonts w:hint="eastAsia" w:ascii="Calibri" w:hAnsi="Calibri" w:eastAsia="宋体" w:cs="Calibri"/>
          <w:b w:val="0"/>
          <w:bCs w:val="0"/>
          <w:i w:val="0"/>
          <w:iCs w:val="0"/>
          <w:sz w:val="20"/>
          <w:szCs w:val="20"/>
          <w:lang w:val="en-US" w:eastAsia="zh-CN"/>
        </w:rPr>
        <w:t xml:space="preserve"> </w:t>
      </w:r>
    </w:p>
    <w:p>
      <w:pPr>
        <w:keepNext w:val="0"/>
        <w:keepLines w:val="0"/>
        <w:pageBreakBefore w:val="0"/>
        <w:kinsoku/>
        <w:wordWrap/>
        <w:overflowPunct/>
        <w:topLinePunct w:val="0"/>
        <w:autoSpaceDE/>
        <w:autoSpaceDN/>
        <w:bidi w:val="0"/>
        <w:adjustRightInd/>
        <w:snapToGrid/>
        <w:spacing w:line="348" w:lineRule="auto"/>
        <w:textAlignment w:val="auto"/>
        <w:rPr>
          <w:rFonts w:hint="eastAsia"/>
          <w:lang w:val="en-US" w:eastAsia="zh-CN"/>
        </w:rPr>
      </w:pPr>
      <w:r>
        <w:rPr>
          <w:rFonts w:hint="eastAsia" w:cs="Calibri"/>
          <w:b w:val="0"/>
          <w:bCs w:val="0"/>
          <w:i w:val="0"/>
          <w:iCs w:val="0"/>
          <w:sz w:val="20"/>
          <w:szCs w:val="20"/>
          <w:lang w:val="en-US" w:eastAsia="zh-CN"/>
        </w:rPr>
        <w:t>9</w:t>
      </w:r>
      <w:r>
        <w:rPr>
          <w:rFonts w:hint="eastAsia" w:ascii="Calibri" w:hAnsi="Calibri" w:eastAsia="宋体" w:cs="Calibri"/>
          <w:b w:val="0"/>
          <w:bCs w:val="0"/>
          <w:i w:val="0"/>
          <w:iCs w:val="0"/>
          <w:sz w:val="20"/>
          <w:szCs w:val="20"/>
          <w:lang w:val="en-US" w:eastAsia="zh-CN"/>
        </w:rPr>
        <w:t>. Figure S</w:t>
      </w:r>
      <w:r>
        <w:rPr>
          <w:rFonts w:hint="eastAsia" w:cs="Calibri"/>
          <w:b w:val="0"/>
          <w:bCs w:val="0"/>
          <w:i w:val="0"/>
          <w:iCs w:val="0"/>
          <w:sz w:val="20"/>
          <w:szCs w:val="20"/>
          <w:lang w:val="en-US" w:eastAsia="zh-CN"/>
        </w:rPr>
        <w:t>5</w:t>
      </w:r>
      <w:r>
        <w:rPr>
          <w:rFonts w:hint="eastAsia" w:ascii="Calibri" w:hAnsi="Calibri" w:eastAsia="宋体" w:cs="Calibri"/>
          <w:b w:val="0"/>
          <w:bCs w:val="0"/>
          <w:i w:val="0"/>
          <w:iCs w:val="0"/>
          <w:sz w:val="20"/>
          <w:szCs w:val="20"/>
          <w:lang w:val="en-US" w:eastAsia="zh-CN"/>
        </w:rPr>
        <w:t xml:space="preserve">. MS analysis of </w:t>
      </w:r>
      <w:r>
        <w:rPr>
          <w:rFonts w:hint="eastAsia" w:cs="Calibri"/>
          <w:b w:val="0"/>
          <w:bCs w:val="0"/>
          <w:i w:val="0"/>
          <w:iCs w:val="0"/>
          <w:sz w:val="20"/>
          <w:szCs w:val="20"/>
          <w:lang w:val="en-US" w:eastAsia="zh-CN"/>
        </w:rPr>
        <w:t>THC</w:t>
      </w:r>
      <w:r>
        <w:rPr>
          <w:rFonts w:hint="eastAsia" w:ascii="Calibri" w:hAnsi="Calibri" w:eastAsia="宋体" w:cs="Calibri"/>
          <w:b w:val="0"/>
          <w:bCs w:val="0"/>
          <w:i w:val="0"/>
          <w:iCs w:val="0"/>
          <w:sz w:val="20"/>
          <w:szCs w:val="20"/>
          <w:lang w:val="en-US" w:eastAsia="zh-CN"/>
        </w:rPr>
        <w:t>A</w:t>
      </w:r>
    </w:p>
    <w:p>
      <w:pPr>
        <w:keepNext w:val="0"/>
        <w:keepLines w:val="0"/>
        <w:pageBreakBefore w:val="0"/>
        <w:widowControl w:val="0"/>
        <w:numPr>
          <w:ilvl w:val="0"/>
          <w:numId w:val="0"/>
        </w:numPr>
        <w:kinsoku/>
        <w:wordWrap/>
        <w:overflowPunct/>
        <w:topLinePunct w:val="0"/>
        <w:autoSpaceDE/>
        <w:autoSpaceDN/>
        <w:bidi w:val="0"/>
        <w:adjustRightInd/>
        <w:snapToGrid/>
        <w:spacing w:line="348" w:lineRule="auto"/>
        <w:textAlignment w:val="auto"/>
        <w:rPr>
          <w:rFonts w:hint="default" w:ascii="Calibri" w:hAnsi="Calibri" w:cs="Calibri"/>
          <w:b/>
          <w:bCs/>
          <w:i w:val="0"/>
          <w:iCs w:val="0"/>
        </w:rPr>
      </w:pPr>
      <w:r>
        <w:rPr>
          <w:rFonts w:hint="eastAsia" w:ascii="Calibri" w:hAnsi="Calibri" w:eastAsia="宋体" w:cs="Calibri"/>
          <w:b/>
          <w:bCs/>
          <w:i w:val="0"/>
          <w:iCs w:val="0"/>
          <w:lang w:val="en-US" w:eastAsia="zh-CN"/>
        </w:rPr>
        <w:t xml:space="preserve">1. </w:t>
      </w:r>
      <w:r>
        <w:rPr>
          <w:rFonts w:hint="default" w:ascii="Calibri" w:hAnsi="Calibri" w:cs="Calibri"/>
          <w:b/>
          <w:bCs/>
          <w:i w:val="0"/>
          <w:iCs w:val="0"/>
        </w:rPr>
        <w:t>General procedure for the</w:t>
      </w:r>
      <w:r>
        <w:rPr>
          <w:rFonts w:hint="eastAsia" w:ascii="Calibri" w:hAnsi="Calibri" w:eastAsia="宋体" w:cs="Calibri"/>
          <w:b/>
          <w:bCs/>
          <w:i w:val="0"/>
          <w:iCs w:val="0"/>
          <w:lang w:val="en-US" w:eastAsia="zh-CN"/>
        </w:rPr>
        <w:t xml:space="preserve"> analysis of CBD and CBDA</w:t>
      </w:r>
    </w:p>
    <w:p>
      <w:pPr>
        <w:keepNext w:val="0"/>
        <w:keepLines w:val="0"/>
        <w:pageBreakBefore w:val="0"/>
        <w:widowControl/>
        <w:numPr>
          <w:ilvl w:val="0"/>
          <w:numId w:val="0"/>
        </w:numPr>
        <w:kinsoku/>
        <w:wordWrap/>
        <w:overflowPunct/>
        <w:topLinePunct w:val="0"/>
        <w:autoSpaceDE/>
        <w:autoSpaceDN/>
        <w:bidi w:val="0"/>
        <w:adjustRightInd/>
        <w:snapToGrid/>
        <w:spacing w:line="348" w:lineRule="auto"/>
        <w:ind w:firstLine="200" w:firstLineChars="100"/>
        <w:textAlignment w:val="auto"/>
        <w:rPr>
          <w:rFonts w:hint="default" w:ascii="Calibri" w:hAnsi="Calibri" w:cs="Calibri"/>
          <w:i w:val="0"/>
          <w:iCs w:val="0"/>
          <w:sz w:val="20"/>
          <w:szCs w:val="20"/>
        </w:rPr>
      </w:pPr>
      <w:r>
        <w:rPr>
          <w:rFonts w:hint="default" w:ascii="Calibri" w:hAnsi="Calibri" w:cs="Calibri"/>
          <w:i w:val="0"/>
          <w:iCs w:val="0"/>
          <w:sz w:val="20"/>
          <w:szCs w:val="20"/>
        </w:rPr>
        <w:t>A precise 0.1 g weight of the sample was placed into 10 mL polypropylene centrifuge tubes. The tube was filled with 5 mL methanol (HPLC reagent grade). The combination underwent 30 s of vortexing and 30 min of sonication at 40</w:t>
      </w:r>
      <w:r>
        <w:rPr>
          <w:rFonts w:hint="eastAsia" w:ascii="Calibri" w:hAnsi="Calibri" w:eastAsia="宋体" w:cs="Calibri"/>
          <w:i w:val="0"/>
          <w:iCs w:val="0"/>
          <w:sz w:val="20"/>
          <w:szCs w:val="20"/>
          <w:lang w:val="en-US" w:eastAsia="zh-CN"/>
        </w:rPr>
        <w:t xml:space="preserve"> </w:t>
      </w:r>
      <w:r>
        <w:rPr>
          <w:rFonts w:hint="default" w:ascii="Calibri" w:hAnsi="Calibri" w:cs="Calibri"/>
          <w:i w:val="0"/>
          <w:iCs w:val="0"/>
          <w:sz w:val="20"/>
          <w:szCs w:val="20"/>
        </w:rPr>
        <w:t>°C. Samples were centrifuged for 5 min at 4000 rpm after they have all reached room temperature. The supernatant was removed to allow for more investigation. To make sure that all of the target cannabinoids present in the extract fell within the calibration curve, each sample was further diluted with methanol as necessary. Under the given conditions for the standards, plant material residues and extracts, baseline separation for all cannabinoids was successfully accomplished. Precision (RSD) was under the acceptable range (&lt;15%) for CBDA</w:t>
      </w:r>
      <w:r>
        <w:rPr>
          <w:rFonts w:hint="eastAsia" w:cs="Calibri"/>
          <w:i w:val="0"/>
          <w:iCs w:val="0"/>
          <w:sz w:val="20"/>
          <w:szCs w:val="20"/>
          <w:lang w:val="en-US" w:eastAsia="zh-CN"/>
        </w:rPr>
        <w:t>,</w:t>
      </w:r>
      <w:r>
        <w:rPr>
          <w:rFonts w:hint="default" w:ascii="Calibri" w:hAnsi="Calibri" w:cs="Calibri"/>
          <w:i w:val="0"/>
          <w:iCs w:val="0"/>
          <w:sz w:val="20"/>
          <w:szCs w:val="20"/>
        </w:rPr>
        <w:t xml:space="preserve"> CBD</w:t>
      </w:r>
      <w:r>
        <w:rPr>
          <w:rFonts w:hint="eastAsia" w:cs="Calibri"/>
          <w:i w:val="0"/>
          <w:iCs w:val="0"/>
          <w:sz w:val="20"/>
          <w:szCs w:val="20"/>
          <w:lang w:val="en-US" w:eastAsia="zh-CN"/>
        </w:rPr>
        <w:t>, THC, and THCA</w:t>
      </w:r>
      <w:r>
        <w:rPr>
          <w:rFonts w:hint="default" w:ascii="Calibri" w:hAnsi="Calibri" w:cs="Calibri"/>
          <w:i w:val="0"/>
          <w:iCs w:val="0"/>
          <w:sz w:val="20"/>
          <w:szCs w:val="20"/>
        </w:rPr>
        <w:t xml:space="preserve"> in all samples analysis. Data were analyzed five times, with mean values being used. A signal-to-noise ratio greater than 3:1 was obtained for LOD. A signal-to-noise ratio greater than 10:1 was obtained for LOQ.</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348" w:lineRule="auto"/>
        <w:ind w:leftChars="0"/>
        <w:textAlignment w:val="auto"/>
        <w:rPr>
          <w:rFonts w:hint="default" w:ascii="Calibri" w:hAnsi="Calibri" w:cs="Calibri"/>
          <w:sz w:val="21"/>
          <w:szCs w:val="21"/>
          <w:lang w:val="en-US"/>
        </w:rPr>
      </w:pPr>
      <w:r>
        <w:rPr>
          <w:rFonts w:hint="eastAsia" w:ascii="Calibri" w:hAnsi="Calibri" w:eastAsia="宋体" w:cs="Calibri"/>
          <w:b/>
          <w:bCs/>
          <w:sz w:val="21"/>
          <w:szCs w:val="21"/>
          <w:lang w:val="en-US" w:eastAsia="zh-CN"/>
        </w:rPr>
        <w:t xml:space="preserve">2. </w:t>
      </w:r>
      <w:r>
        <w:rPr>
          <w:rFonts w:hint="default" w:ascii="Calibri" w:hAnsi="Calibri" w:cs="Calibri"/>
          <w:b/>
          <w:bCs/>
          <w:sz w:val="21"/>
          <w:szCs w:val="21"/>
        </w:rPr>
        <w:t>Table S</w:t>
      </w:r>
      <w:r>
        <w:rPr>
          <w:rFonts w:hint="eastAsia" w:ascii="Calibri" w:hAnsi="Calibri" w:eastAsia="宋体" w:cs="Calibri"/>
          <w:b/>
          <w:bCs/>
          <w:sz w:val="21"/>
          <w:szCs w:val="21"/>
          <w:lang w:val="en-US" w:eastAsia="zh-CN"/>
        </w:rPr>
        <w:t>1.</w:t>
      </w:r>
      <w:r>
        <w:rPr>
          <w:rFonts w:hint="default" w:ascii="Calibri" w:hAnsi="Calibri" w:cs="Calibri"/>
          <w:sz w:val="21"/>
          <w:szCs w:val="21"/>
        </w:rPr>
        <w:t xml:space="preserve"> Linearity </w:t>
      </w:r>
      <w:r>
        <w:rPr>
          <w:rFonts w:hint="eastAsia" w:ascii="Calibri" w:hAnsi="Calibri" w:eastAsia="宋体" w:cs="Calibri"/>
          <w:sz w:val="21"/>
          <w:szCs w:val="21"/>
          <w:lang w:val="en-US" w:eastAsia="zh-CN"/>
        </w:rPr>
        <w:t>and</w:t>
      </w:r>
      <w:r>
        <w:rPr>
          <w:rFonts w:hint="default" w:ascii="Calibri" w:hAnsi="Calibri" w:cs="Calibri"/>
          <w:sz w:val="21"/>
          <w:szCs w:val="21"/>
        </w:rPr>
        <w:t xml:space="preserve"> </w:t>
      </w:r>
      <w:r>
        <w:rPr>
          <w:rFonts w:hint="eastAsia" w:ascii="Calibri" w:hAnsi="Calibri" w:eastAsia="宋体" w:cs="Calibri"/>
          <w:sz w:val="21"/>
          <w:szCs w:val="21"/>
          <w:lang w:val="en-US" w:eastAsia="zh-CN"/>
        </w:rPr>
        <w:t>l</w:t>
      </w:r>
      <w:r>
        <w:rPr>
          <w:rFonts w:hint="default" w:ascii="Calibri" w:hAnsi="Calibri" w:cs="Calibri"/>
          <w:sz w:val="21"/>
          <w:szCs w:val="21"/>
        </w:rPr>
        <w:t xml:space="preserve">imits of detection (LOD) and </w:t>
      </w:r>
      <w:r>
        <w:rPr>
          <w:rFonts w:hint="eastAsia" w:ascii="Calibri" w:hAnsi="Calibri" w:eastAsia="宋体" w:cs="Calibri"/>
          <w:sz w:val="21"/>
          <w:szCs w:val="21"/>
          <w:lang w:val="en-US" w:eastAsia="zh-CN"/>
        </w:rPr>
        <w:t xml:space="preserve">quantification (LOQ) </w:t>
      </w:r>
      <w:r>
        <w:rPr>
          <w:rFonts w:hint="default" w:ascii="Calibri" w:hAnsi="Calibri" w:cs="Calibri"/>
          <w:sz w:val="21"/>
          <w:szCs w:val="21"/>
        </w:rPr>
        <w:t xml:space="preserve">data calculated for standard </w:t>
      </w:r>
      <w:r>
        <w:rPr>
          <w:rFonts w:hint="eastAsia" w:ascii="Calibri" w:hAnsi="Calibri" w:eastAsia="宋体" w:cs="Calibri"/>
          <w:sz w:val="21"/>
          <w:szCs w:val="21"/>
          <w:lang w:val="en-US" w:eastAsia="zh-CN"/>
        </w:rPr>
        <w:t>CBD, CBDA, THC, and THCA. Data were determined by analyzing serial dilutions of a standard solution to reach a signal-to-noise ratio of 3:1 and 10:1, respectively</w:t>
      </w:r>
    </w:p>
    <w:tbl>
      <w:tblPr>
        <w:tblStyle w:val="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2706"/>
        <w:gridCol w:w="970"/>
        <w:gridCol w:w="1580"/>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78" w:type="pct"/>
            <w:tcBorders>
              <w:top w:val="single" w:color="auto" w:sz="8" w:space="0"/>
              <w:left w:val="nil"/>
              <w:bottom w:val="single" w:color="auto" w:sz="8" w:space="0"/>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rPr>
            </w:pPr>
            <w:r>
              <w:rPr>
                <w:rFonts w:hint="default" w:ascii="Calibri" w:hAnsi="Calibri" w:cs="Calibri"/>
                <w:sz w:val="20"/>
                <w:szCs w:val="20"/>
              </w:rPr>
              <w:t>Cannabinoids</w:t>
            </w:r>
          </w:p>
        </w:tc>
        <w:tc>
          <w:tcPr>
            <w:tcW w:w="1587" w:type="pct"/>
            <w:tcBorders>
              <w:top w:val="single" w:color="auto" w:sz="8" w:space="0"/>
              <w:left w:val="nil"/>
              <w:bottom w:val="single" w:color="auto" w:sz="8" w:space="0"/>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rPr>
            </w:pPr>
            <w:r>
              <w:rPr>
                <w:rFonts w:hint="default" w:ascii="Calibri" w:hAnsi="Calibri" w:cs="Calibri"/>
                <w:sz w:val="20"/>
                <w:szCs w:val="20"/>
                <w:lang w:val="en-US" w:eastAsia="zh-CN"/>
              </w:rPr>
              <w:t>Linearity range (μg/mL)</w:t>
            </w:r>
          </w:p>
        </w:tc>
        <w:tc>
          <w:tcPr>
            <w:tcW w:w="569" w:type="pct"/>
            <w:tcBorders>
              <w:top w:val="single" w:color="auto" w:sz="8" w:space="0"/>
              <w:left w:val="nil"/>
              <w:bottom w:val="single" w:color="auto" w:sz="8" w:space="0"/>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R</w:t>
            </w:r>
            <w:r>
              <w:rPr>
                <w:rFonts w:hint="default" w:ascii="Calibri" w:hAnsi="Calibri" w:cs="Calibri"/>
                <w:sz w:val="20"/>
                <w:szCs w:val="20"/>
                <w:vertAlign w:val="superscript"/>
                <w:lang w:val="en-US" w:eastAsia="zh-CN"/>
              </w:rPr>
              <w:t>2</w:t>
            </w:r>
          </w:p>
        </w:tc>
        <w:tc>
          <w:tcPr>
            <w:tcW w:w="927" w:type="pct"/>
            <w:tcBorders>
              <w:top w:val="single" w:color="auto" w:sz="8" w:space="0"/>
              <w:left w:val="nil"/>
              <w:bottom w:val="single" w:color="auto" w:sz="8" w:space="0"/>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rPr>
            </w:pPr>
            <w:r>
              <w:rPr>
                <w:rFonts w:hint="default" w:ascii="Calibri" w:hAnsi="Calibri" w:cs="Calibri"/>
                <w:sz w:val="20"/>
                <w:szCs w:val="20"/>
              </w:rPr>
              <w:t>LOD (</w:t>
            </w:r>
            <w:r>
              <w:rPr>
                <w:rFonts w:hint="default" w:ascii="Calibri" w:hAnsi="Calibri" w:eastAsia="宋体" w:cs="Calibri"/>
                <w:sz w:val="20"/>
                <w:szCs w:val="20"/>
                <w:lang w:eastAsia="zh-CN"/>
              </w:rPr>
              <w:t>μ</w:t>
            </w:r>
            <w:r>
              <w:rPr>
                <w:rFonts w:hint="eastAsia" w:ascii="Calibri" w:hAnsi="Calibri" w:eastAsia="宋体" w:cs="Calibri"/>
                <w:sz w:val="20"/>
                <w:szCs w:val="20"/>
                <w:lang w:val="en-US" w:eastAsia="zh-CN"/>
              </w:rPr>
              <w:t>g</w:t>
            </w:r>
            <w:r>
              <w:rPr>
                <w:rFonts w:hint="default" w:ascii="Calibri" w:hAnsi="Calibri" w:cs="Calibri"/>
                <w:sz w:val="20"/>
                <w:szCs w:val="20"/>
              </w:rPr>
              <w:t>/</w:t>
            </w:r>
            <w:r>
              <w:rPr>
                <w:rFonts w:hint="default" w:ascii="Calibri" w:hAnsi="Calibri" w:eastAsia="宋体" w:cs="Calibri"/>
                <w:sz w:val="20"/>
                <w:szCs w:val="20"/>
                <w:lang w:val="en-US" w:eastAsia="zh-CN"/>
              </w:rPr>
              <w:t>mL</w:t>
            </w:r>
            <w:r>
              <w:rPr>
                <w:rFonts w:hint="default" w:ascii="Calibri" w:hAnsi="Calibri" w:cs="Calibri"/>
                <w:sz w:val="20"/>
                <w:szCs w:val="20"/>
              </w:rPr>
              <w:t>)</w:t>
            </w:r>
          </w:p>
        </w:tc>
        <w:tc>
          <w:tcPr>
            <w:tcW w:w="936" w:type="pct"/>
            <w:tcBorders>
              <w:top w:val="single" w:color="auto" w:sz="8" w:space="0"/>
              <w:left w:val="nil"/>
              <w:bottom w:val="single" w:color="auto" w:sz="8" w:space="0"/>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rPr>
            </w:pPr>
            <w:r>
              <w:rPr>
                <w:rFonts w:hint="default" w:ascii="Calibri" w:hAnsi="Calibri" w:cs="Calibri"/>
                <w:sz w:val="20"/>
                <w:szCs w:val="20"/>
                <w:lang w:val="en-US" w:eastAsia="zh-CN"/>
              </w:rPr>
              <w:t>LOQ (</w:t>
            </w:r>
            <w:r>
              <w:rPr>
                <w:rFonts w:hint="default" w:ascii="Calibri" w:hAnsi="Calibri" w:eastAsia="宋体" w:cs="Calibri"/>
                <w:sz w:val="20"/>
                <w:szCs w:val="20"/>
                <w:lang w:eastAsia="zh-CN"/>
              </w:rPr>
              <w:t>μ</w:t>
            </w:r>
            <w:r>
              <w:rPr>
                <w:rFonts w:hint="eastAsia" w:ascii="Calibri" w:hAnsi="Calibri" w:eastAsia="宋体" w:cs="Calibri"/>
                <w:sz w:val="20"/>
                <w:szCs w:val="20"/>
                <w:lang w:val="en-US" w:eastAsia="zh-CN"/>
              </w:rPr>
              <w:t>g</w:t>
            </w:r>
            <w:r>
              <w:rPr>
                <w:rFonts w:hint="default" w:ascii="Calibri" w:hAnsi="Calibri" w:cs="Calibri"/>
                <w:sz w:val="20"/>
                <w:szCs w:val="20"/>
              </w:rPr>
              <w:t>/</w:t>
            </w:r>
            <w:r>
              <w:rPr>
                <w:rFonts w:hint="default" w:ascii="Calibri" w:hAnsi="Calibri" w:eastAsia="宋体" w:cs="Calibri"/>
                <w:sz w:val="20"/>
                <w:szCs w:val="20"/>
                <w:lang w:val="en-US" w:eastAsia="zh-CN"/>
              </w:rPr>
              <w:t>mL</w:t>
            </w:r>
            <w:r>
              <w:rPr>
                <w:rFonts w:hint="default" w:ascii="Calibri" w:hAnsi="Calibri" w:cs="Calibri"/>
                <w:sz w:val="20"/>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8" w:type="pct"/>
            <w:tcBorders>
              <w:top w:val="single" w:color="auto" w:sz="8" w:space="0"/>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highlight w:val="none"/>
                <w:lang w:val="en-US" w:eastAsia="zh-CN"/>
              </w:rPr>
            </w:pPr>
            <w:r>
              <w:rPr>
                <w:rFonts w:hint="default" w:ascii="Calibri" w:hAnsi="Calibri" w:cs="Calibri"/>
                <w:color w:val="auto"/>
                <w:sz w:val="20"/>
                <w:szCs w:val="20"/>
                <w:highlight w:val="none"/>
                <w:lang w:val="en-US" w:eastAsia="zh-CN"/>
              </w:rPr>
              <w:t>CBD</w:t>
            </w:r>
          </w:p>
        </w:tc>
        <w:tc>
          <w:tcPr>
            <w:tcW w:w="1587" w:type="pct"/>
            <w:tcBorders>
              <w:top w:val="single" w:color="auto" w:sz="8" w:space="0"/>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highlight w:val="none"/>
                <w:lang w:val="en-US" w:eastAsia="zh-CN"/>
              </w:rPr>
            </w:pPr>
            <w:r>
              <w:rPr>
                <w:rFonts w:hint="default" w:ascii="Calibri" w:hAnsi="Calibri" w:cs="Calibri"/>
                <w:color w:val="auto"/>
                <w:sz w:val="20"/>
                <w:szCs w:val="20"/>
                <w:highlight w:val="none"/>
                <w:lang w:val="en-US" w:eastAsia="zh-CN"/>
              </w:rPr>
              <w:t>0.</w:t>
            </w:r>
            <w:r>
              <w:rPr>
                <w:rFonts w:hint="eastAsia" w:ascii="Calibri" w:hAnsi="Calibri" w:cs="Calibri"/>
                <w:color w:val="auto"/>
                <w:sz w:val="20"/>
                <w:szCs w:val="20"/>
                <w:highlight w:val="none"/>
                <w:lang w:val="en-US" w:eastAsia="zh-CN"/>
              </w:rPr>
              <w:t>5</w:t>
            </w:r>
            <w:r>
              <w:rPr>
                <w:rFonts w:hint="eastAsia" w:cs="Calibri"/>
                <w:color w:val="auto"/>
                <w:sz w:val="20"/>
                <w:szCs w:val="20"/>
                <w:highlight w:val="none"/>
                <w:lang w:val="en-US" w:eastAsia="zh-CN"/>
              </w:rPr>
              <w:t>-</w:t>
            </w:r>
            <w:r>
              <w:rPr>
                <w:rFonts w:hint="default" w:ascii="Calibri" w:hAnsi="Calibri" w:cs="Calibri"/>
                <w:color w:val="auto"/>
                <w:sz w:val="20"/>
                <w:szCs w:val="20"/>
                <w:highlight w:val="none"/>
                <w:lang w:val="en-US" w:eastAsia="zh-CN"/>
              </w:rPr>
              <w:t>100</w:t>
            </w:r>
          </w:p>
        </w:tc>
        <w:tc>
          <w:tcPr>
            <w:tcW w:w="569" w:type="pct"/>
            <w:tcBorders>
              <w:top w:val="single" w:color="auto" w:sz="8" w:space="0"/>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highlight w:val="none"/>
                <w:lang w:val="en-US" w:eastAsia="zh-CN"/>
              </w:rPr>
            </w:pPr>
            <w:r>
              <w:rPr>
                <w:rFonts w:hint="default" w:ascii="Calibri" w:hAnsi="Calibri" w:cs="Calibri"/>
                <w:color w:val="auto"/>
                <w:sz w:val="20"/>
                <w:szCs w:val="20"/>
                <w:highlight w:val="none"/>
                <w:lang w:val="en-US" w:eastAsia="zh-CN"/>
              </w:rPr>
              <w:t>0.999</w:t>
            </w:r>
            <w:r>
              <w:rPr>
                <w:rFonts w:hint="eastAsia" w:ascii="Calibri" w:hAnsi="Calibri" w:cs="Calibri"/>
                <w:color w:val="auto"/>
                <w:sz w:val="20"/>
                <w:szCs w:val="20"/>
                <w:highlight w:val="none"/>
                <w:lang w:val="en-US" w:eastAsia="zh-CN"/>
              </w:rPr>
              <w:t>7</w:t>
            </w:r>
          </w:p>
        </w:tc>
        <w:tc>
          <w:tcPr>
            <w:tcW w:w="927" w:type="pct"/>
            <w:tcBorders>
              <w:top w:val="single" w:color="auto" w:sz="8" w:space="0"/>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Calibri" w:hAnsi="Calibri" w:eastAsia="宋体" w:cs="Calibri"/>
                <w:color w:val="auto"/>
                <w:sz w:val="20"/>
                <w:szCs w:val="20"/>
                <w:highlight w:val="none"/>
                <w:lang w:val="en-US" w:eastAsia="zh-CN"/>
              </w:rPr>
            </w:pPr>
            <w:r>
              <w:rPr>
                <w:rFonts w:hint="default" w:ascii="Calibri" w:hAnsi="Calibri" w:cs="Calibri"/>
                <w:color w:val="auto"/>
                <w:sz w:val="20"/>
                <w:szCs w:val="20"/>
                <w:highlight w:val="none"/>
              </w:rPr>
              <w:t>0.0</w:t>
            </w:r>
            <w:r>
              <w:rPr>
                <w:rFonts w:hint="eastAsia" w:cs="Calibri"/>
                <w:color w:val="auto"/>
                <w:sz w:val="20"/>
                <w:szCs w:val="20"/>
                <w:highlight w:val="none"/>
                <w:lang w:val="en-US" w:eastAsia="zh-CN"/>
              </w:rPr>
              <w:t>4</w:t>
            </w:r>
          </w:p>
        </w:tc>
        <w:tc>
          <w:tcPr>
            <w:tcW w:w="936" w:type="pct"/>
            <w:tcBorders>
              <w:top w:val="single" w:color="auto" w:sz="8" w:space="0"/>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highlight w:val="none"/>
                <w:lang w:val="en-US" w:eastAsia="zh-CN"/>
              </w:rPr>
            </w:pPr>
            <w:r>
              <w:rPr>
                <w:rFonts w:hint="default" w:ascii="Calibri" w:hAnsi="Calibri" w:cs="Calibri"/>
                <w:color w:val="auto"/>
                <w:sz w:val="20"/>
                <w:szCs w:val="20"/>
                <w:highlight w:val="none"/>
                <w:lang w:val="en-US" w:eastAsia="zh-CN"/>
              </w:rPr>
              <w:t>0.</w:t>
            </w:r>
            <w:r>
              <w:rPr>
                <w:rFonts w:hint="eastAsia" w:cs="Calibri"/>
                <w:color w:val="auto"/>
                <w:sz w:val="20"/>
                <w:szCs w:val="20"/>
                <w:highlight w:val="no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8"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default" w:ascii="Calibri" w:hAnsi="Calibri" w:cs="Calibri"/>
                <w:color w:val="auto"/>
                <w:sz w:val="20"/>
                <w:szCs w:val="20"/>
                <w:lang w:val="en-US" w:eastAsia="zh-CN"/>
              </w:rPr>
              <w:t>CBDA</w:t>
            </w:r>
          </w:p>
        </w:tc>
        <w:tc>
          <w:tcPr>
            <w:tcW w:w="1587"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default" w:ascii="Calibri" w:hAnsi="Calibri" w:cs="Calibri"/>
                <w:color w:val="auto"/>
                <w:sz w:val="20"/>
                <w:szCs w:val="20"/>
                <w:lang w:val="en-US" w:eastAsia="zh-CN"/>
              </w:rPr>
              <w:t>0.</w:t>
            </w:r>
            <w:r>
              <w:rPr>
                <w:rFonts w:hint="eastAsia" w:ascii="Calibri" w:hAnsi="Calibri" w:cs="Calibri"/>
                <w:color w:val="auto"/>
                <w:sz w:val="20"/>
                <w:szCs w:val="20"/>
                <w:lang w:val="en-US" w:eastAsia="zh-CN"/>
              </w:rPr>
              <w:t>5</w:t>
            </w:r>
            <w:r>
              <w:rPr>
                <w:rFonts w:hint="default" w:ascii="Calibri" w:hAnsi="Calibri" w:cs="Calibri"/>
                <w:color w:val="auto"/>
                <w:sz w:val="20"/>
                <w:szCs w:val="20"/>
                <w:lang w:val="en-US" w:eastAsia="zh-CN"/>
              </w:rPr>
              <w:t>-100</w:t>
            </w:r>
          </w:p>
        </w:tc>
        <w:tc>
          <w:tcPr>
            <w:tcW w:w="569"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default" w:ascii="Calibri" w:hAnsi="Calibri" w:cs="Calibri"/>
                <w:color w:val="auto"/>
                <w:sz w:val="20"/>
                <w:szCs w:val="20"/>
                <w:lang w:val="en-US" w:eastAsia="zh-CN"/>
              </w:rPr>
              <w:t>0.9998</w:t>
            </w:r>
          </w:p>
        </w:tc>
        <w:tc>
          <w:tcPr>
            <w:tcW w:w="927"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default" w:ascii="Calibri" w:hAnsi="Calibri" w:cs="Calibri"/>
                <w:color w:val="auto"/>
                <w:sz w:val="20"/>
                <w:szCs w:val="20"/>
                <w:lang w:val="en-US" w:eastAsia="zh-CN"/>
              </w:rPr>
              <w:t>0.0</w:t>
            </w:r>
            <w:r>
              <w:rPr>
                <w:rFonts w:hint="eastAsia" w:cs="Calibri"/>
                <w:color w:val="auto"/>
                <w:sz w:val="20"/>
                <w:szCs w:val="20"/>
                <w:lang w:val="en-US" w:eastAsia="zh-CN"/>
              </w:rPr>
              <w:t>8</w:t>
            </w:r>
          </w:p>
        </w:tc>
        <w:tc>
          <w:tcPr>
            <w:tcW w:w="936"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default" w:ascii="Calibri" w:hAnsi="Calibri" w:cs="Calibri"/>
                <w:color w:val="auto"/>
                <w:sz w:val="20"/>
                <w:szCs w:val="20"/>
                <w:lang w:val="en-US" w:eastAsia="zh-CN"/>
              </w:rPr>
              <w:t>0.</w:t>
            </w:r>
            <w:r>
              <w:rPr>
                <w:rFonts w:hint="eastAsia" w:cs="Calibri"/>
                <w:color w:val="auto"/>
                <w:sz w:val="20"/>
                <w:szCs w:val="20"/>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8"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eastAsia" w:cs="Calibri"/>
                <w:color w:val="auto"/>
                <w:sz w:val="20"/>
                <w:szCs w:val="20"/>
                <w:lang w:val="en-US" w:eastAsia="zh-CN"/>
              </w:rPr>
              <w:t>THC</w:t>
            </w:r>
          </w:p>
        </w:tc>
        <w:tc>
          <w:tcPr>
            <w:tcW w:w="2706" w:type="dxa"/>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default" w:ascii="Calibri" w:hAnsi="Calibri" w:cs="Calibri"/>
                <w:color w:val="auto"/>
                <w:sz w:val="20"/>
                <w:szCs w:val="20"/>
                <w:highlight w:val="none"/>
                <w:lang w:val="en-US" w:eastAsia="zh-CN"/>
              </w:rPr>
              <w:t>0.</w:t>
            </w:r>
            <w:r>
              <w:rPr>
                <w:rFonts w:hint="eastAsia" w:ascii="Calibri" w:hAnsi="Calibri" w:cs="Calibri"/>
                <w:color w:val="auto"/>
                <w:sz w:val="20"/>
                <w:szCs w:val="20"/>
                <w:highlight w:val="none"/>
                <w:lang w:val="en-US" w:eastAsia="zh-CN"/>
              </w:rPr>
              <w:t>5</w:t>
            </w:r>
            <w:r>
              <w:rPr>
                <w:rFonts w:hint="default" w:ascii="Calibri" w:hAnsi="Calibri" w:cs="Calibri"/>
                <w:color w:val="auto"/>
                <w:sz w:val="20"/>
                <w:szCs w:val="20"/>
                <w:highlight w:val="none"/>
                <w:lang w:val="en-US" w:eastAsia="zh-CN"/>
              </w:rPr>
              <w:t>-100</w:t>
            </w:r>
          </w:p>
        </w:tc>
        <w:tc>
          <w:tcPr>
            <w:tcW w:w="569"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eastAsia" w:cs="Calibri"/>
                <w:color w:val="auto"/>
                <w:sz w:val="20"/>
                <w:szCs w:val="20"/>
                <w:lang w:val="en-US" w:eastAsia="zh-CN"/>
              </w:rPr>
              <w:t>0.9999</w:t>
            </w:r>
          </w:p>
        </w:tc>
        <w:tc>
          <w:tcPr>
            <w:tcW w:w="927"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eastAsia" w:cs="Calibri"/>
                <w:color w:val="auto"/>
                <w:sz w:val="20"/>
                <w:szCs w:val="20"/>
                <w:lang w:val="en-US" w:eastAsia="zh-CN"/>
              </w:rPr>
              <w:t>0.06</w:t>
            </w:r>
          </w:p>
        </w:tc>
        <w:tc>
          <w:tcPr>
            <w:tcW w:w="936" w:type="pct"/>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eastAsia" w:cs="Calibri"/>
                <w:color w:val="auto"/>
                <w:sz w:val="20"/>
                <w:szCs w:val="20"/>
                <w:lang w:val="en-US" w:eastAsia="zh-CN"/>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8" w:type="pct"/>
            <w:tcBorders>
              <w:top w:val="nil"/>
              <w:left w:val="nil"/>
              <w:bottom w:val="single" w:color="auto" w:sz="8" w:space="0"/>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eastAsia" w:cs="Calibri"/>
                <w:color w:val="auto"/>
                <w:sz w:val="20"/>
                <w:szCs w:val="20"/>
                <w:lang w:val="en-US" w:eastAsia="zh-CN"/>
              </w:rPr>
              <w:t>THCA</w:t>
            </w:r>
          </w:p>
        </w:tc>
        <w:tc>
          <w:tcPr>
            <w:tcW w:w="2706" w:type="dxa"/>
            <w:tcBorders>
              <w:top w:val="nil"/>
              <w:left w:val="nil"/>
              <w:bottom w:val="single" w:color="auto" w:sz="8" w:space="0"/>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default" w:ascii="Calibri" w:hAnsi="Calibri" w:cs="Calibri"/>
                <w:color w:val="auto"/>
                <w:sz w:val="20"/>
                <w:szCs w:val="20"/>
                <w:lang w:val="en-US" w:eastAsia="zh-CN"/>
              </w:rPr>
              <w:t>0.</w:t>
            </w:r>
            <w:r>
              <w:rPr>
                <w:rFonts w:hint="eastAsia" w:ascii="Calibri" w:hAnsi="Calibri" w:cs="Calibri"/>
                <w:color w:val="auto"/>
                <w:sz w:val="20"/>
                <w:szCs w:val="20"/>
                <w:lang w:val="en-US" w:eastAsia="zh-CN"/>
              </w:rPr>
              <w:t>5</w:t>
            </w:r>
            <w:r>
              <w:rPr>
                <w:rFonts w:hint="default" w:ascii="Calibri" w:hAnsi="Calibri" w:cs="Calibri"/>
                <w:color w:val="auto"/>
                <w:sz w:val="20"/>
                <w:szCs w:val="20"/>
                <w:lang w:val="en-US" w:eastAsia="zh-CN"/>
              </w:rPr>
              <w:t>-100</w:t>
            </w:r>
          </w:p>
        </w:tc>
        <w:tc>
          <w:tcPr>
            <w:tcW w:w="569" w:type="pct"/>
            <w:tcBorders>
              <w:top w:val="nil"/>
              <w:left w:val="nil"/>
              <w:bottom w:val="single" w:color="auto" w:sz="8" w:space="0"/>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eastAsia" w:cs="Calibri"/>
                <w:color w:val="auto"/>
                <w:sz w:val="20"/>
                <w:szCs w:val="20"/>
                <w:lang w:val="en-US" w:eastAsia="zh-CN"/>
              </w:rPr>
              <w:t>0.9998</w:t>
            </w:r>
          </w:p>
        </w:tc>
        <w:tc>
          <w:tcPr>
            <w:tcW w:w="927" w:type="pct"/>
            <w:tcBorders>
              <w:top w:val="nil"/>
              <w:left w:val="nil"/>
              <w:bottom w:val="single" w:color="auto" w:sz="8" w:space="0"/>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eastAsia" w:cs="Calibri"/>
                <w:color w:val="auto"/>
                <w:sz w:val="20"/>
                <w:szCs w:val="20"/>
                <w:lang w:val="en-US" w:eastAsia="zh-CN"/>
              </w:rPr>
              <w:t>0.1</w:t>
            </w:r>
          </w:p>
        </w:tc>
        <w:tc>
          <w:tcPr>
            <w:tcW w:w="936" w:type="pct"/>
            <w:tcBorders>
              <w:top w:val="nil"/>
              <w:left w:val="nil"/>
              <w:bottom w:val="single" w:color="auto" w:sz="8" w:space="0"/>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color w:val="auto"/>
                <w:sz w:val="20"/>
                <w:szCs w:val="20"/>
                <w:lang w:val="en-US" w:eastAsia="zh-CN"/>
              </w:rPr>
            </w:pPr>
            <w:r>
              <w:rPr>
                <w:rFonts w:hint="eastAsia" w:cs="Calibri"/>
                <w:color w:val="auto"/>
                <w:sz w:val="20"/>
                <w:szCs w:val="20"/>
                <w:lang w:val="en-US" w:eastAsia="zh-CN"/>
              </w:rPr>
              <w:t>0.3</w:t>
            </w:r>
          </w:p>
        </w:tc>
      </w:tr>
    </w:tbl>
    <w:p>
      <w:pPr>
        <w:pStyle w:val="5"/>
        <w:numPr>
          <w:ilvl w:val="0"/>
          <w:numId w:val="0"/>
        </w:numPr>
        <w:ind w:leftChars="0"/>
        <w:rPr>
          <w:rFonts w:hint="default" w:ascii="Calibri" w:hAnsi="Calibri" w:cs="Calibri"/>
          <w:sz w:val="21"/>
          <w:szCs w:val="21"/>
        </w:rPr>
      </w:pPr>
      <w:r>
        <w:rPr>
          <w:rFonts w:hint="eastAsia" w:cs="Calibri"/>
          <w:b/>
          <w:bCs/>
          <w:sz w:val="21"/>
          <w:szCs w:val="21"/>
          <w:lang w:val="en-US" w:eastAsia="zh-CN"/>
        </w:rPr>
        <w:t>3</w:t>
      </w:r>
      <w:r>
        <w:rPr>
          <w:rFonts w:hint="eastAsia" w:ascii="Calibri" w:hAnsi="Calibri" w:eastAsia="宋体" w:cs="Calibri"/>
          <w:b/>
          <w:bCs/>
          <w:sz w:val="21"/>
          <w:szCs w:val="21"/>
          <w:lang w:val="en-US" w:eastAsia="zh-CN"/>
        </w:rPr>
        <w:t xml:space="preserve">. </w:t>
      </w:r>
      <w:r>
        <w:rPr>
          <w:rFonts w:hint="default" w:ascii="Calibri" w:hAnsi="Calibri" w:cs="Calibri"/>
          <w:b/>
          <w:bCs/>
          <w:sz w:val="21"/>
          <w:szCs w:val="21"/>
        </w:rPr>
        <w:t>Table S</w:t>
      </w:r>
      <w:r>
        <w:rPr>
          <w:rFonts w:hint="eastAsia" w:ascii="Calibri" w:hAnsi="Calibri" w:eastAsia="宋体" w:cs="Calibri"/>
          <w:b/>
          <w:bCs/>
          <w:sz w:val="21"/>
          <w:szCs w:val="21"/>
          <w:lang w:val="en-US" w:eastAsia="zh-CN"/>
        </w:rPr>
        <w:t>2.</w:t>
      </w:r>
      <w:r>
        <w:rPr>
          <w:rFonts w:hint="default" w:ascii="Calibri" w:hAnsi="Calibri" w:cs="Calibri"/>
          <w:sz w:val="21"/>
          <w:szCs w:val="21"/>
        </w:rPr>
        <w:t xml:space="preserve"> Retention times of CBD and CBDA </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2"/>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582" w:type="dxa"/>
            <w:tcBorders>
              <w:left w:val="nil"/>
              <w:bottom w:val="single" w:color="auto" w:sz="4" w:space="0"/>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ascii="Calibri" w:hAnsi="Calibri" w:cs="Calibri"/>
                <w:sz w:val="20"/>
                <w:szCs w:val="20"/>
                <w:lang w:val="en-US" w:eastAsia="zh-CN"/>
              </w:rPr>
              <w:t>C</w:t>
            </w:r>
            <w:r>
              <w:rPr>
                <w:rFonts w:hint="default" w:ascii="Calibri" w:hAnsi="Calibri" w:cs="Calibri"/>
                <w:sz w:val="20"/>
                <w:szCs w:val="20"/>
                <w:lang w:val="en-US" w:eastAsia="zh-CN"/>
              </w:rPr>
              <w:t>annabinoids</w:t>
            </w:r>
          </w:p>
        </w:tc>
        <w:tc>
          <w:tcPr>
            <w:tcW w:w="1131" w:type="dxa"/>
            <w:tcBorders>
              <w:left w:val="nil"/>
              <w:bottom w:val="single" w:color="auto" w:sz="4" w:space="0"/>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t</w:t>
            </w:r>
            <w:r>
              <w:rPr>
                <w:rFonts w:hint="default" w:ascii="Calibri" w:hAnsi="Calibri" w:cs="Calibri"/>
                <w:sz w:val="20"/>
                <w:szCs w:val="20"/>
                <w:vertAlign w:val="subscript"/>
                <w:lang w:val="en-US" w:eastAsia="zh-CN"/>
              </w:rPr>
              <w:t>R</w:t>
            </w:r>
            <w:r>
              <w:rPr>
                <w:rFonts w:hint="default" w:ascii="Calibri" w:hAnsi="Calibri" w:cs="Calibri"/>
                <w:sz w:val="20"/>
                <w:szCs w:val="20"/>
                <w:lang w:val="en-US" w:eastAsia="zh-CN"/>
              </w:rPr>
              <w:t>(min)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82" w:type="dxa"/>
            <w:tcBorders>
              <w:top w:val="single" w:color="auto" w:sz="4" w:space="0"/>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ascii="Calibri" w:hAnsi="Calibri" w:cs="Calibri"/>
                <w:sz w:val="20"/>
                <w:szCs w:val="20"/>
                <w:lang w:val="en-US" w:eastAsia="zh-CN"/>
              </w:rPr>
              <w:t>CBDA</w:t>
            </w:r>
          </w:p>
        </w:tc>
        <w:tc>
          <w:tcPr>
            <w:tcW w:w="1131" w:type="dxa"/>
            <w:tcBorders>
              <w:top w:val="single" w:color="auto" w:sz="4" w:space="0"/>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ascii="Calibri" w:hAnsi="Calibri" w:cs="Calibri"/>
                <w:sz w:val="20"/>
                <w:szCs w:val="20"/>
                <w:lang w:val="en-US" w:eastAsia="zh-CN"/>
              </w:rPr>
              <w:t>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582" w:type="dxa"/>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ascii="Calibri" w:hAnsi="Calibri" w:cs="Calibri"/>
                <w:sz w:val="20"/>
                <w:szCs w:val="20"/>
                <w:lang w:val="en-US" w:eastAsia="zh-CN"/>
              </w:rPr>
              <w:t>CBD</w:t>
            </w:r>
          </w:p>
        </w:tc>
        <w:tc>
          <w:tcPr>
            <w:tcW w:w="1131" w:type="dxa"/>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ascii="Calibri" w:hAnsi="Calibri" w:cs="Calibri"/>
                <w:sz w:val="20"/>
                <w:szCs w:val="20"/>
                <w:lang w:val="en-US" w:eastAsia="zh-CN"/>
              </w:rPr>
              <w:t>9.28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582" w:type="dxa"/>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cs="Calibri"/>
                <w:sz w:val="20"/>
                <w:szCs w:val="20"/>
                <w:lang w:val="en-US" w:eastAsia="zh-CN"/>
              </w:rPr>
              <w:t>THC</w:t>
            </w:r>
          </w:p>
        </w:tc>
        <w:tc>
          <w:tcPr>
            <w:tcW w:w="1131" w:type="dxa"/>
            <w:tcBorders>
              <w:top w:val="nil"/>
              <w:left w:val="nil"/>
              <w:bottom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cs="Calibri"/>
                <w:sz w:val="20"/>
                <w:szCs w:val="20"/>
                <w:lang w:val="en-US" w:eastAsia="zh-CN"/>
              </w:rPr>
              <w:t>15.06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582" w:type="dxa"/>
            <w:tcBorders>
              <w:top w:val="nil"/>
              <w:left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cs="Calibri"/>
                <w:sz w:val="20"/>
                <w:szCs w:val="20"/>
                <w:lang w:val="en-US" w:eastAsia="zh-CN"/>
              </w:rPr>
              <w:t>THCA</w:t>
            </w:r>
          </w:p>
        </w:tc>
        <w:tc>
          <w:tcPr>
            <w:tcW w:w="1131" w:type="dxa"/>
            <w:tcBorders>
              <w:top w:val="nil"/>
              <w:left w:val="nil"/>
              <w:right w:val="nil"/>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Calibri" w:hAnsi="Calibri" w:cs="Calibri"/>
                <w:sz w:val="20"/>
                <w:szCs w:val="20"/>
                <w:lang w:val="en-US" w:eastAsia="zh-CN"/>
              </w:rPr>
            </w:pPr>
            <w:r>
              <w:rPr>
                <w:rFonts w:hint="eastAsia" w:cs="Calibri"/>
                <w:sz w:val="20"/>
                <w:szCs w:val="20"/>
                <w:lang w:val="en-US" w:eastAsia="zh-CN"/>
              </w:rPr>
              <w:t>18.98</w:t>
            </w:r>
          </w:p>
        </w:tc>
      </w:tr>
    </w:tbl>
    <w:p>
      <w:pPr>
        <w:pStyle w:val="5"/>
        <w:keepNext w:val="0"/>
        <w:keepLines w:val="0"/>
        <w:pageBreakBefore w:val="0"/>
        <w:widowControl/>
        <w:numPr>
          <w:ilvl w:val="0"/>
          <w:numId w:val="0"/>
        </w:numPr>
        <w:kinsoku/>
        <w:wordWrap/>
        <w:overflowPunct/>
        <w:topLinePunct w:val="0"/>
        <w:autoSpaceDE/>
        <w:autoSpaceDN/>
        <w:bidi w:val="0"/>
        <w:adjustRightInd/>
        <w:snapToGrid/>
        <w:spacing w:before="181" w:beforeLines="50" w:line="240" w:lineRule="auto"/>
        <w:ind w:leftChars="0"/>
        <w:textAlignment w:val="auto"/>
        <w:rPr>
          <w:rFonts w:hint="eastAsia"/>
          <w:sz w:val="21"/>
          <w:szCs w:val="21"/>
          <w:lang w:val="en-US" w:eastAsia="zh-CN"/>
        </w:rPr>
      </w:pPr>
      <w:r>
        <w:rPr>
          <w:rFonts w:hint="eastAsia" w:cs="Calibri"/>
          <w:b/>
          <w:bCs/>
          <w:sz w:val="21"/>
          <w:szCs w:val="21"/>
          <w:lang w:val="en-US" w:eastAsia="zh-CN"/>
        </w:rPr>
        <w:t>4.</w:t>
      </w:r>
      <w:r>
        <w:rPr>
          <w:rFonts w:hint="eastAsia" w:ascii="Calibri" w:hAnsi="Calibri" w:eastAsia="宋体" w:cs="Calibri"/>
          <w:b/>
          <w:bCs/>
          <w:sz w:val="21"/>
          <w:szCs w:val="21"/>
          <w:lang w:val="en-US" w:eastAsia="zh-CN"/>
        </w:rPr>
        <w:t xml:space="preserve"> </w:t>
      </w:r>
      <w:r>
        <w:rPr>
          <w:rFonts w:hint="default" w:ascii="Calibri" w:hAnsi="Calibri" w:cs="Calibri"/>
          <w:b/>
          <w:bCs/>
          <w:sz w:val="21"/>
          <w:szCs w:val="21"/>
        </w:rPr>
        <w:t>Figure S</w:t>
      </w:r>
      <w:r>
        <w:rPr>
          <w:rFonts w:hint="eastAsia" w:ascii="Calibri" w:hAnsi="Calibri" w:eastAsia="宋体" w:cs="Calibri"/>
          <w:b/>
          <w:bCs/>
          <w:sz w:val="21"/>
          <w:szCs w:val="21"/>
          <w:lang w:val="en-US" w:eastAsia="zh-CN"/>
        </w:rPr>
        <w:t>1.</w:t>
      </w:r>
      <w:r>
        <w:rPr>
          <w:rFonts w:hint="default" w:ascii="Calibri" w:hAnsi="Calibri" w:cs="Calibri"/>
          <w:sz w:val="21"/>
          <w:szCs w:val="21"/>
        </w:rPr>
        <w:t xml:space="preserve"> Chromatograms obtained by HPLC analysis of cannabis plant: a) THCA-dominant cannabis plant; b) CBDA-dominant cannabis plant</w:t>
      </w:r>
    </w:p>
    <w:p>
      <w:pPr>
        <w:jc w:val="center"/>
        <w:rPr>
          <w:rFonts w:hint="eastAsia"/>
          <w:lang w:val="en-US" w:eastAsia="zh-CN"/>
        </w:rPr>
      </w:pPr>
      <w:r>
        <w:rPr>
          <w:rFonts w:hint="eastAsia"/>
          <w:lang w:val="en-US" w:eastAsia="zh-CN"/>
        </w:rPr>
        <w:drawing>
          <wp:inline distT="0" distB="0" distL="114300" distR="114300">
            <wp:extent cx="3968115" cy="1367790"/>
            <wp:effectExtent l="0" t="0" r="13335" b="3810"/>
            <wp:docPr id="1" name="图片 5" descr="谱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谱图"/>
                    <pic:cNvPicPr>
                      <a:picLocks noChangeAspect="1"/>
                    </pic:cNvPicPr>
                  </pic:nvPicPr>
                  <pic:blipFill>
                    <a:blip r:embed="rId4"/>
                    <a:stretch>
                      <a:fillRect/>
                    </a:stretch>
                  </pic:blipFill>
                  <pic:spPr>
                    <a:xfrm>
                      <a:off x="0" y="0"/>
                      <a:ext cx="3968115" cy="1367790"/>
                    </a:xfrm>
                    <a:prstGeom prst="rect">
                      <a:avLst/>
                    </a:prstGeom>
                    <a:noFill/>
                    <a:ln>
                      <a:noFill/>
                    </a:ln>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spacing w:line="348" w:lineRule="auto"/>
        <w:jc w:val="left"/>
        <w:textAlignment w:val="auto"/>
        <w:rPr>
          <w:rFonts w:hint="default" w:ascii="Calibri" w:hAnsi="Calibri" w:cs="Calibri"/>
          <w:b w:val="0"/>
          <w:bCs w:val="0"/>
          <w:i w:val="0"/>
          <w:iCs w:val="0"/>
          <w:color w:val="auto"/>
        </w:rPr>
      </w:pPr>
      <w:r>
        <w:rPr>
          <w:rFonts w:hint="eastAsia" w:cs="Calibri"/>
          <w:b/>
          <w:bCs/>
          <w:i w:val="0"/>
          <w:iCs w:val="0"/>
          <w:lang w:val="en-US" w:eastAsia="zh-CN"/>
        </w:rPr>
        <w:t>5</w:t>
      </w:r>
      <w:r>
        <w:rPr>
          <w:rFonts w:hint="default" w:ascii="Calibri" w:hAnsi="Calibri" w:cs="Calibri"/>
          <w:b/>
          <w:bCs/>
          <w:i w:val="0"/>
          <w:iCs w:val="0"/>
        </w:rPr>
        <w:t>.</w:t>
      </w:r>
      <w:r>
        <w:rPr>
          <w:rFonts w:hint="eastAsia" w:ascii="Calibri" w:hAnsi="Calibri" w:eastAsia="宋体" w:cs="Calibri"/>
          <w:b/>
          <w:bCs/>
          <w:i w:val="0"/>
          <w:iCs w:val="0"/>
          <w:lang w:val="en-US" w:eastAsia="zh-CN"/>
        </w:rPr>
        <w:t xml:space="preserve"> </w:t>
      </w:r>
      <w:r>
        <w:rPr>
          <w:rFonts w:hint="default" w:ascii="Calibri" w:hAnsi="Calibri" w:cs="Calibri"/>
          <w:b/>
          <w:bCs/>
          <w:i w:val="0"/>
          <w:iCs w:val="0"/>
        </w:rPr>
        <w:t xml:space="preserve">General </w:t>
      </w:r>
      <w:r>
        <w:rPr>
          <w:rFonts w:hint="eastAsia" w:cs="Calibri"/>
          <w:b/>
          <w:bCs/>
          <w:i w:val="0"/>
          <w:iCs w:val="0"/>
          <w:lang w:val="en-US" w:eastAsia="zh-CN"/>
        </w:rPr>
        <w:t>a</w:t>
      </w:r>
      <w:r>
        <w:rPr>
          <w:rFonts w:hint="default" w:ascii="Calibri" w:hAnsi="Calibri" w:cs="Calibri"/>
          <w:b/>
          <w:bCs/>
          <w:i w:val="0"/>
          <w:iCs w:val="0"/>
        </w:rPr>
        <w:t>nalytical method for determining the conversion of and decarboxylation</w:t>
      </w:r>
      <w:r>
        <w:rPr>
          <w:rFonts w:hint="default" w:ascii="Calibri" w:hAnsi="Calibri" w:cs="Calibri"/>
          <w:b w:val="0"/>
          <w:bCs w:val="0"/>
          <w:i w:val="0"/>
          <w:iCs w:val="0"/>
        </w:rPr>
        <w:t xml:space="preserve"> </w:t>
      </w:r>
    </w:p>
    <w:p>
      <w:pPr>
        <w:pStyle w:val="6"/>
        <w:ind w:left="0" w:leftChars="0" w:firstLine="200" w:firstLineChars="100"/>
        <w:rPr>
          <w:rFonts w:hint="eastAsia"/>
          <w:color w:val="auto"/>
        </w:rPr>
      </w:pPr>
      <w:r>
        <w:rPr>
          <w:rFonts w:hint="eastAsia"/>
          <w:sz w:val="20"/>
          <w:szCs w:val="20"/>
        </w:rPr>
        <w:t xml:space="preserve">Comparisons with the contents of the products and substrates were used to calculate the decarboxylation conversions. </w:t>
      </w:r>
      <w:r>
        <w:rPr>
          <w:rFonts w:hint="eastAsia"/>
          <w:color w:val="auto"/>
          <w:sz w:val="20"/>
          <w:szCs w:val="20"/>
        </w:rPr>
        <w:t xml:space="preserve">The conversion using the equations below. </w:t>
      </w:r>
    </w:p>
    <w:p>
      <w:pPr>
        <w:bidi w:val="0"/>
        <w:jc w:val="both"/>
        <w:rPr>
          <w:rFonts w:hint="eastAsia" w:eastAsia="宋体"/>
          <w:color w:val="FF0000"/>
          <w:lang w:eastAsia="zh-CN"/>
        </w:rPr>
      </w:pPr>
      <m:oMathPara>
        <m:oMathParaPr>
          <m:jc m:val="center"/>
        </m:oMathParaPr>
        <m:oMath>
          <m:r>
            <m:rPr>
              <m:sty m:val="p"/>
            </m:rPr>
            <w:rPr>
              <w:rFonts w:hint="default" w:ascii="Cambria Math" w:hAnsi="Cambria Math" w:cs="Times New Roman"/>
              <w:sz w:val="21"/>
              <w:szCs w:val="21"/>
              <w:lang w:val="en-US" w:eastAsia="zh-CN" w:bidi="ar-SA"/>
            </w:rPr>
            <m:t>THCA conversion (%)=</m:t>
          </m:r>
          <m:f>
            <m:fPr>
              <m:ctrlPr>
                <w:rPr>
                  <w:rFonts w:hint="default" w:ascii="Cambria Math" w:hAnsi="Cambria Math" w:cs="Times New Roman"/>
                  <w:b w:val="0"/>
                  <w:sz w:val="21"/>
                  <w:szCs w:val="21"/>
                  <w:lang w:val="en-US" w:eastAsia="zh-CN" w:bidi="ar-SA"/>
                </w:rPr>
              </m:ctrlPr>
            </m:fPr>
            <m:num>
              <m:r>
                <m:rPr>
                  <m:sty m:val="p"/>
                </m:rPr>
                <w:rPr>
                  <w:rFonts w:hint="default" w:ascii="Cambria Math" w:hAnsi="Cambria Math" w:cs="Times New Roman"/>
                  <w:sz w:val="21"/>
                  <w:szCs w:val="21"/>
                  <w:lang w:val="en-US" w:eastAsia="zh-CN" w:bidi="ar-SA"/>
                </w:rPr>
                <m:t>THCA content (%) after reaction−Initial THCA content (%)</m:t>
              </m:r>
              <m:ctrlPr>
                <w:rPr>
                  <w:rFonts w:hint="default" w:ascii="Cambria Math" w:hAnsi="Cambria Math" w:cs="Times New Roman"/>
                  <w:b w:val="0"/>
                  <w:sz w:val="21"/>
                  <w:szCs w:val="21"/>
                  <w:lang w:val="en-US" w:eastAsia="zh-CN" w:bidi="ar-SA"/>
                </w:rPr>
              </m:ctrlPr>
            </m:num>
            <m:den>
              <m:r>
                <m:rPr>
                  <m:sty m:val="p"/>
                </m:rPr>
                <w:rPr>
                  <w:rFonts w:hint="default" w:ascii="Cambria Math" w:hAnsi="Cambria Math" w:cs="Times New Roman"/>
                  <w:sz w:val="21"/>
                  <w:szCs w:val="21"/>
                  <w:lang w:val="en-US" w:eastAsia="zh-CN" w:bidi="ar-SA"/>
                </w:rPr>
                <m:t>Initial THCA content (%)</m:t>
              </m:r>
              <m:ctrlPr>
                <w:rPr>
                  <w:rFonts w:hint="default" w:ascii="Cambria Math" w:hAnsi="Cambria Math" w:cs="Times New Roman"/>
                  <w:b w:val="0"/>
                  <w:sz w:val="21"/>
                  <w:szCs w:val="21"/>
                  <w:lang w:val="en-US" w:eastAsia="zh-CN" w:bidi="ar-SA"/>
                </w:rPr>
              </m:ctrlPr>
            </m:den>
          </m:f>
        </m:oMath>
      </m:oMathPara>
    </w:p>
    <w:p>
      <w:pPr>
        <w:rPr>
          <w:rFonts w:hint="default" w:hAnsi="Cambria Math" w:cs="Times New Roman"/>
          <w:b w:val="0"/>
          <w:i w:val="0"/>
          <w:sz w:val="21"/>
          <w:szCs w:val="21"/>
          <w:lang w:val="en-US" w:eastAsia="zh-CN" w:bidi="ar-SA"/>
        </w:rPr>
      </w:pPr>
      <m:oMathPara>
        <m:oMath>
          <m:r>
            <m:rPr>
              <m:sty m:val="p"/>
            </m:rPr>
            <w:rPr>
              <w:rFonts w:hint="default" w:ascii="Cambria Math" w:hAnsi="Cambria Math" w:cs="Times New Roman"/>
              <w:sz w:val="21"/>
              <w:szCs w:val="21"/>
              <w:lang w:val="en-US" w:eastAsia="zh-CN" w:bidi="ar-SA"/>
            </w:rPr>
            <m:t>CBDA conversion (%)=</m:t>
          </m:r>
          <m:f>
            <m:fPr>
              <m:ctrlPr>
                <w:rPr>
                  <w:rFonts w:hint="default" w:ascii="Cambria Math" w:hAnsi="Cambria Math" w:cs="Times New Roman"/>
                  <w:b w:val="0"/>
                  <w:sz w:val="21"/>
                  <w:szCs w:val="21"/>
                  <w:lang w:val="en-US" w:eastAsia="zh-CN" w:bidi="ar-SA"/>
                </w:rPr>
              </m:ctrlPr>
            </m:fPr>
            <m:num>
              <m:r>
                <m:rPr>
                  <m:sty m:val="p"/>
                </m:rPr>
                <w:rPr>
                  <w:rFonts w:hint="default" w:ascii="Cambria Math" w:hAnsi="Cambria Math" w:cs="Times New Roman"/>
                  <w:sz w:val="21"/>
                  <w:szCs w:val="21"/>
                  <w:lang w:val="en-US" w:eastAsia="zh-CN" w:bidi="ar-SA"/>
                </w:rPr>
                <m:t>CBDA content (%) after reaction−Initial CBDA content (%)</m:t>
              </m:r>
              <m:ctrlPr>
                <w:rPr>
                  <w:rFonts w:hint="default" w:ascii="Cambria Math" w:hAnsi="Cambria Math" w:cs="Times New Roman"/>
                  <w:b w:val="0"/>
                  <w:sz w:val="21"/>
                  <w:szCs w:val="21"/>
                  <w:lang w:val="en-US" w:eastAsia="zh-CN" w:bidi="ar-SA"/>
                </w:rPr>
              </m:ctrlPr>
            </m:num>
            <m:den>
              <m:r>
                <m:rPr>
                  <m:sty m:val="p"/>
                </m:rPr>
                <w:rPr>
                  <w:rFonts w:hint="default" w:ascii="Cambria Math" w:hAnsi="Cambria Math" w:cs="Times New Roman"/>
                  <w:sz w:val="21"/>
                  <w:szCs w:val="21"/>
                  <w:lang w:val="en-US" w:eastAsia="zh-CN" w:bidi="ar-SA"/>
                </w:rPr>
                <m:t>Initial CBDA content (%)</m:t>
              </m:r>
              <m:ctrlPr>
                <w:rPr>
                  <w:rFonts w:hint="default" w:ascii="Cambria Math" w:hAnsi="Cambria Math" w:cs="Times New Roman"/>
                  <w:b w:val="0"/>
                  <w:sz w:val="21"/>
                  <w:szCs w:val="21"/>
                  <w:lang w:val="en-US" w:eastAsia="zh-CN" w:bidi="ar-SA"/>
                </w:rPr>
              </m:ctrlPr>
            </m:den>
          </m:f>
        </m:oMath>
      </m:oMathPara>
    </w:p>
    <w:p>
      <w:pPr>
        <w:keepNext w:val="0"/>
        <w:keepLines w:val="0"/>
        <w:pageBreakBefore w:val="0"/>
        <w:numPr>
          <w:ilvl w:val="0"/>
          <w:numId w:val="0"/>
        </w:numPr>
        <w:kinsoku/>
        <w:wordWrap/>
        <w:overflowPunct/>
        <w:topLinePunct w:val="0"/>
        <w:autoSpaceDE/>
        <w:autoSpaceDN/>
        <w:bidi w:val="0"/>
        <w:adjustRightInd/>
        <w:snapToGrid/>
        <w:spacing w:line="348" w:lineRule="auto"/>
        <w:ind w:leftChars="0"/>
        <w:textAlignment w:val="auto"/>
        <w:rPr>
          <w:rFonts w:hint="eastAsia" w:ascii="Calibri" w:hAnsi="Calibri" w:eastAsia="宋体" w:cs="Calibri"/>
          <w:b/>
          <w:bCs/>
          <w:i w:val="0"/>
          <w:iCs w:val="0"/>
          <w:lang w:val="en-US" w:eastAsia="zh-CN"/>
        </w:rPr>
      </w:pPr>
      <w:r>
        <w:rPr>
          <w:rFonts w:hint="eastAsia" w:cs="Calibri"/>
          <w:b/>
          <w:bCs/>
          <w:i w:val="0"/>
          <w:iCs w:val="0"/>
          <w:lang w:val="en-US" w:eastAsia="zh-CN"/>
        </w:rPr>
        <w:t>6</w:t>
      </w:r>
      <w:r>
        <w:rPr>
          <w:rFonts w:hint="eastAsia" w:ascii="Calibri" w:hAnsi="Calibri" w:eastAsia="宋体" w:cs="Calibri"/>
          <w:b/>
          <w:bCs/>
          <w:i w:val="0"/>
          <w:iCs w:val="0"/>
          <w:lang w:val="en-US" w:eastAsia="zh-CN"/>
        </w:rPr>
        <w:t>. Figure S</w:t>
      </w:r>
      <w:r>
        <w:rPr>
          <w:rFonts w:hint="eastAsia" w:cs="Calibri"/>
          <w:b/>
          <w:bCs/>
          <w:i w:val="0"/>
          <w:iCs w:val="0"/>
          <w:lang w:val="en-US" w:eastAsia="zh-CN"/>
        </w:rPr>
        <w:t>2</w:t>
      </w:r>
      <w:r>
        <w:rPr>
          <w:rFonts w:hint="eastAsia" w:ascii="Calibri" w:hAnsi="Calibri" w:eastAsia="宋体" w:cs="Calibri"/>
          <w:b/>
          <w:bCs/>
          <w:i w:val="0"/>
          <w:iCs w:val="0"/>
          <w:lang w:val="en-US" w:eastAsia="zh-CN"/>
        </w:rPr>
        <w:t xml:space="preserve">. </w:t>
      </w:r>
      <w:r>
        <w:rPr>
          <w:rFonts w:hint="eastAsia" w:ascii="Calibri" w:hAnsi="Calibri" w:eastAsia="宋体" w:cs="Calibri"/>
          <w:b/>
          <w:bCs/>
          <w:i w:val="0"/>
          <w:iCs w:val="0"/>
          <w:vertAlign w:val="baseline"/>
          <w:lang w:val="en-US" w:eastAsia="zh-CN"/>
        </w:rPr>
        <w:t>MS analysis</w:t>
      </w:r>
      <w:r>
        <w:rPr>
          <w:rFonts w:hint="eastAsia" w:ascii="Calibri" w:hAnsi="Calibri" w:eastAsia="宋体" w:cs="Calibri"/>
          <w:b/>
          <w:bCs/>
          <w:i w:val="0"/>
          <w:iCs w:val="0"/>
          <w:lang w:val="en-US" w:eastAsia="zh-CN"/>
        </w:rPr>
        <w:t xml:space="preserve"> spectra of CBD</w:t>
      </w: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5424805" cy="1007745"/>
            <wp:effectExtent l="0" t="0" r="4445" b="1905"/>
            <wp:docPr id="2"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56"/>
                    <pic:cNvPicPr>
                      <a:picLocks noChangeAspect="1"/>
                    </pic:cNvPicPr>
                  </pic:nvPicPr>
                  <pic:blipFill>
                    <a:blip r:embed="rId5"/>
                    <a:stretch>
                      <a:fillRect/>
                    </a:stretch>
                  </pic:blipFill>
                  <pic:spPr>
                    <a:xfrm>
                      <a:off x="0" y="0"/>
                      <a:ext cx="5424805" cy="1007745"/>
                    </a:xfrm>
                    <a:prstGeom prst="rect">
                      <a:avLst/>
                    </a:prstGeom>
                    <a:noFill/>
                    <a:ln w="9525">
                      <a:noFill/>
                    </a:ln>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spacing w:line="348" w:lineRule="auto"/>
        <w:ind w:leftChars="0"/>
        <w:textAlignment w:val="auto"/>
        <w:rPr>
          <w:rFonts w:hint="default" w:ascii="Calibri" w:hAnsi="Calibri" w:eastAsia="宋体" w:cs="Calibri"/>
          <w:b/>
          <w:bCs/>
          <w:i w:val="0"/>
          <w:iCs w:val="0"/>
          <w:lang w:val="en-US" w:eastAsia="zh-CN"/>
        </w:rPr>
      </w:pPr>
      <w:r>
        <w:rPr>
          <w:rFonts w:hint="eastAsia" w:cs="Calibri"/>
          <w:b/>
          <w:bCs/>
          <w:i w:val="0"/>
          <w:iCs w:val="0"/>
          <w:lang w:val="en-US" w:eastAsia="zh-CN"/>
        </w:rPr>
        <w:t>7</w:t>
      </w:r>
      <w:r>
        <w:rPr>
          <w:rFonts w:hint="eastAsia" w:ascii="Calibri" w:hAnsi="Calibri" w:eastAsia="宋体" w:cs="Calibri"/>
          <w:b/>
          <w:bCs/>
          <w:i w:val="0"/>
          <w:iCs w:val="0"/>
          <w:lang w:val="en-US" w:eastAsia="zh-CN"/>
        </w:rPr>
        <w:t>. Figure S</w:t>
      </w:r>
      <w:r>
        <w:rPr>
          <w:rFonts w:hint="eastAsia" w:cs="Calibri"/>
          <w:b/>
          <w:bCs/>
          <w:i w:val="0"/>
          <w:iCs w:val="0"/>
          <w:lang w:val="en-US" w:eastAsia="zh-CN"/>
        </w:rPr>
        <w:t>3</w:t>
      </w:r>
      <w:r>
        <w:rPr>
          <w:rFonts w:hint="eastAsia" w:ascii="Calibri" w:hAnsi="Calibri" w:eastAsia="宋体" w:cs="Calibri"/>
          <w:b/>
          <w:bCs/>
          <w:i w:val="0"/>
          <w:iCs w:val="0"/>
          <w:lang w:val="en-US" w:eastAsia="zh-CN"/>
        </w:rPr>
        <w:t>. MS analysis of CBD</w:t>
      </w:r>
      <w:r>
        <w:rPr>
          <w:rFonts w:hint="eastAsia" w:cs="Calibri"/>
          <w:b/>
          <w:bCs/>
          <w:i w:val="0"/>
          <w:iCs w:val="0"/>
          <w:lang w:val="en-US" w:eastAsia="zh-CN"/>
        </w:rPr>
        <w:t>A</w:t>
      </w:r>
    </w:p>
    <w:p>
      <w:pPr>
        <w:keepNext w:val="0"/>
        <w:keepLines w:val="0"/>
        <w:widowControl/>
        <w:suppressLineNumbers w:val="0"/>
        <w:jc w:val="left"/>
        <w:rPr>
          <w:rFonts w:hint="eastAsia" w:cs="Calibri"/>
          <w:b w:val="0"/>
          <w:bCs w:val="0"/>
          <w:i w:val="0"/>
          <w:iCs w:val="0"/>
          <w:lang w:val="en-US" w:eastAsia="zh-CN"/>
        </w:rPr>
      </w:pPr>
      <w:r>
        <w:rPr>
          <w:rFonts w:ascii="宋体" w:hAnsi="宋体" w:eastAsia="宋体" w:cs="宋体"/>
          <w:kern w:val="0"/>
          <w:sz w:val="24"/>
          <w:szCs w:val="24"/>
          <w:lang w:val="en-US" w:eastAsia="zh-CN" w:bidi="ar"/>
        </w:rPr>
        <w:drawing>
          <wp:inline distT="0" distB="0" distL="114300" distR="114300">
            <wp:extent cx="5555615" cy="1043940"/>
            <wp:effectExtent l="0" t="0" r="6985" b="3810"/>
            <wp:docPr id="3"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IMG_256"/>
                    <pic:cNvPicPr>
                      <a:picLocks noChangeAspect="1"/>
                    </pic:cNvPicPr>
                  </pic:nvPicPr>
                  <pic:blipFill>
                    <a:blip r:embed="rId6"/>
                    <a:stretch>
                      <a:fillRect/>
                    </a:stretch>
                  </pic:blipFill>
                  <pic:spPr>
                    <a:xfrm>
                      <a:off x="0" y="0"/>
                      <a:ext cx="5555615" cy="1043940"/>
                    </a:xfrm>
                    <a:prstGeom prst="rect">
                      <a:avLst/>
                    </a:prstGeom>
                    <a:noFill/>
                    <a:ln w="9525">
                      <a:noFill/>
                    </a:ln>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spacing w:line="348" w:lineRule="auto"/>
        <w:ind w:leftChars="0"/>
        <w:textAlignment w:val="auto"/>
        <w:rPr>
          <w:rFonts w:hint="eastAsia" w:ascii="Calibri" w:hAnsi="Calibri" w:eastAsia="宋体" w:cs="Calibri"/>
          <w:b w:val="0"/>
          <w:bCs w:val="0"/>
          <w:i w:val="0"/>
          <w:iCs w:val="0"/>
          <w:lang w:val="en-US" w:eastAsia="zh-CN"/>
        </w:rPr>
      </w:pPr>
      <w:r>
        <w:rPr>
          <w:rFonts w:hint="eastAsia" w:cs="Calibri"/>
          <w:b/>
          <w:bCs/>
          <w:i w:val="0"/>
          <w:iCs w:val="0"/>
          <w:lang w:val="en-US" w:eastAsia="zh-CN"/>
        </w:rPr>
        <w:t>8</w:t>
      </w:r>
      <w:r>
        <w:rPr>
          <w:rFonts w:hint="eastAsia" w:ascii="Calibri" w:hAnsi="Calibri" w:eastAsia="宋体" w:cs="Calibri"/>
          <w:b/>
          <w:bCs/>
          <w:i w:val="0"/>
          <w:iCs w:val="0"/>
          <w:lang w:val="en-US" w:eastAsia="zh-CN"/>
        </w:rPr>
        <w:t>. Figure S</w:t>
      </w:r>
      <w:r>
        <w:rPr>
          <w:rFonts w:hint="eastAsia" w:cs="Calibri"/>
          <w:b/>
          <w:bCs/>
          <w:i w:val="0"/>
          <w:iCs w:val="0"/>
          <w:lang w:val="en-US" w:eastAsia="zh-CN"/>
        </w:rPr>
        <w:t>4</w:t>
      </w:r>
      <w:r>
        <w:rPr>
          <w:rFonts w:hint="eastAsia" w:ascii="Calibri" w:hAnsi="Calibri" w:eastAsia="宋体" w:cs="Calibri"/>
          <w:b/>
          <w:bCs/>
          <w:i w:val="0"/>
          <w:iCs w:val="0"/>
          <w:lang w:val="en-US" w:eastAsia="zh-CN"/>
        </w:rPr>
        <w:t xml:space="preserve">. MS analysis of </w:t>
      </w:r>
      <w:r>
        <w:rPr>
          <w:rFonts w:hint="eastAsia" w:cs="Calibri"/>
          <w:b/>
          <w:bCs/>
          <w:i w:val="0"/>
          <w:iCs w:val="0"/>
          <w:lang w:val="en-US" w:eastAsia="zh-CN"/>
        </w:rPr>
        <w:t>THC</w:t>
      </w:r>
      <w:r>
        <w:rPr>
          <w:rFonts w:hint="eastAsia" w:ascii="Calibri" w:hAnsi="Calibri" w:eastAsia="宋体" w:cs="Calibri"/>
          <w:b w:val="0"/>
          <w:bCs w:val="0"/>
          <w:i w:val="0"/>
          <w:iCs w:val="0"/>
          <w:lang w:val="en-US" w:eastAsia="zh-CN"/>
        </w:rPr>
        <w:t xml:space="preserve"> </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334635" cy="785495"/>
            <wp:effectExtent l="0" t="0" r="0" b="0"/>
            <wp:docPr id="4"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IMG_256"/>
                    <pic:cNvPicPr>
                      <a:picLocks noChangeAspect="1"/>
                    </pic:cNvPicPr>
                  </pic:nvPicPr>
                  <pic:blipFill>
                    <a:blip r:embed="rId7"/>
                    <a:srcRect t="5138"/>
                    <a:stretch>
                      <a:fillRect/>
                    </a:stretch>
                  </pic:blipFill>
                  <pic:spPr>
                    <a:xfrm>
                      <a:off x="0" y="0"/>
                      <a:ext cx="5334635" cy="785495"/>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348" w:lineRule="auto"/>
        <w:textAlignment w:val="auto"/>
        <w:rPr>
          <w:rFonts w:hint="eastAsia"/>
          <w:lang w:val="en-US" w:eastAsia="zh-CN"/>
        </w:rPr>
      </w:pPr>
      <w:r>
        <w:rPr>
          <w:rFonts w:hint="eastAsia" w:cs="Calibri"/>
          <w:b/>
          <w:bCs/>
          <w:i w:val="0"/>
          <w:iCs w:val="0"/>
          <w:lang w:val="en-US" w:eastAsia="zh-CN"/>
        </w:rPr>
        <w:t>9</w:t>
      </w:r>
      <w:r>
        <w:rPr>
          <w:rFonts w:hint="eastAsia" w:ascii="Calibri" w:hAnsi="Calibri" w:eastAsia="宋体" w:cs="Calibri"/>
          <w:b/>
          <w:bCs/>
          <w:i w:val="0"/>
          <w:iCs w:val="0"/>
          <w:lang w:val="en-US" w:eastAsia="zh-CN"/>
        </w:rPr>
        <w:t>. Figure S</w:t>
      </w:r>
      <w:r>
        <w:rPr>
          <w:rFonts w:hint="eastAsia" w:cs="Calibri"/>
          <w:b/>
          <w:bCs/>
          <w:i w:val="0"/>
          <w:iCs w:val="0"/>
          <w:lang w:val="en-US" w:eastAsia="zh-CN"/>
        </w:rPr>
        <w:t>5</w:t>
      </w:r>
      <w:r>
        <w:rPr>
          <w:rFonts w:hint="eastAsia" w:ascii="Calibri" w:hAnsi="Calibri" w:eastAsia="宋体" w:cs="Calibri"/>
          <w:b/>
          <w:bCs/>
          <w:i w:val="0"/>
          <w:iCs w:val="0"/>
          <w:lang w:val="en-US" w:eastAsia="zh-CN"/>
        </w:rPr>
        <w:t xml:space="preserve">. MS analysis of </w:t>
      </w:r>
      <w:r>
        <w:rPr>
          <w:rFonts w:hint="eastAsia" w:cs="Calibri"/>
          <w:b/>
          <w:bCs/>
          <w:i w:val="0"/>
          <w:iCs w:val="0"/>
          <w:lang w:val="en-US" w:eastAsia="zh-CN"/>
        </w:rPr>
        <w:t>THC</w:t>
      </w:r>
      <w:r>
        <w:rPr>
          <w:rFonts w:hint="eastAsia" w:ascii="Calibri" w:hAnsi="Calibri" w:eastAsia="宋体" w:cs="Calibri"/>
          <w:b/>
          <w:bCs/>
          <w:i w:val="0"/>
          <w:iCs w:val="0"/>
          <w:lang w:val="en-US" w:eastAsia="zh-CN"/>
        </w:rPr>
        <w:t>A</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398770" cy="772795"/>
            <wp:effectExtent l="0" t="0" r="0" b="0"/>
            <wp:docPr id="5"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IMG_256"/>
                    <pic:cNvPicPr>
                      <a:picLocks noChangeAspect="1"/>
                    </pic:cNvPicPr>
                  </pic:nvPicPr>
                  <pic:blipFill>
                    <a:blip r:embed="rId8"/>
                    <a:srcRect t="6672"/>
                    <a:stretch>
                      <a:fillRect/>
                    </a:stretch>
                  </pic:blipFill>
                  <pic:spPr>
                    <a:xfrm>
                      <a:off x="0" y="0"/>
                      <a:ext cx="5398770" cy="772795"/>
                    </a:xfrm>
                    <a:prstGeom prst="rect">
                      <a:avLst/>
                    </a:prstGeom>
                    <a:noFill/>
                    <a:ln w="9525">
                      <a:noFill/>
                    </a:ln>
                  </pic:spPr>
                </pic:pic>
              </a:graphicData>
            </a:graphic>
          </wp:inline>
        </w:drawing>
      </w:r>
    </w:p>
    <w:p>
      <w:pPr>
        <w:rPr>
          <w:rFonts w:hint="eastAsia" w:hAnsi="Cambria Math" w:cs="Times New Roman"/>
          <w:b w:val="0"/>
          <w:i w:val="0"/>
          <w:sz w:val="21"/>
          <w:szCs w:val="21"/>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auto"/>
    <w:pitch w:val="default"/>
    <w:sig w:usb0="E00002FF" w:usb1="42002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E60CF4"/>
    <w:multiLevelType w:val="singleLevel"/>
    <w:tmpl w:val="44E60CF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5ODljNmQ3ODQwMTc0YWJmZjc5N2U2MjQzMjYyZWYifQ=="/>
  </w:docVars>
  <w:rsids>
    <w:rsidRoot w:val="00000000"/>
    <w:rsid w:val="00CF5500"/>
    <w:rsid w:val="00FF067D"/>
    <w:rsid w:val="02C1356F"/>
    <w:rsid w:val="03FD4132"/>
    <w:rsid w:val="0792797E"/>
    <w:rsid w:val="08FD4BD5"/>
    <w:rsid w:val="0A290836"/>
    <w:rsid w:val="0B286835"/>
    <w:rsid w:val="0BF56037"/>
    <w:rsid w:val="0E8A2A67"/>
    <w:rsid w:val="0E924011"/>
    <w:rsid w:val="14976965"/>
    <w:rsid w:val="158A3C94"/>
    <w:rsid w:val="18626802"/>
    <w:rsid w:val="18700F1F"/>
    <w:rsid w:val="1A530AF8"/>
    <w:rsid w:val="1C8F393E"/>
    <w:rsid w:val="1CBB4733"/>
    <w:rsid w:val="1FA63478"/>
    <w:rsid w:val="220821C8"/>
    <w:rsid w:val="22A7378F"/>
    <w:rsid w:val="23137077"/>
    <w:rsid w:val="24F44C86"/>
    <w:rsid w:val="26C708A4"/>
    <w:rsid w:val="29634188"/>
    <w:rsid w:val="2973261D"/>
    <w:rsid w:val="2B013C59"/>
    <w:rsid w:val="2B400C25"/>
    <w:rsid w:val="2CBA0563"/>
    <w:rsid w:val="2D9E7E85"/>
    <w:rsid w:val="2EBF6305"/>
    <w:rsid w:val="2EDA4EED"/>
    <w:rsid w:val="2EE814E3"/>
    <w:rsid w:val="306B1C3A"/>
    <w:rsid w:val="3317670F"/>
    <w:rsid w:val="332F419B"/>
    <w:rsid w:val="33B3020A"/>
    <w:rsid w:val="346F257B"/>
    <w:rsid w:val="364F61C0"/>
    <w:rsid w:val="3AD86D09"/>
    <w:rsid w:val="3B2A0FAA"/>
    <w:rsid w:val="3B74335B"/>
    <w:rsid w:val="3B985F13"/>
    <w:rsid w:val="3C973023"/>
    <w:rsid w:val="3E9230EE"/>
    <w:rsid w:val="3E9A01F4"/>
    <w:rsid w:val="43010842"/>
    <w:rsid w:val="43B13D6A"/>
    <w:rsid w:val="442347E8"/>
    <w:rsid w:val="44DA134B"/>
    <w:rsid w:val="45F34DBA"/>
    <w:rsid w:val="486F624E"/>
    <w:rsid w:val="48FA1FBB"/>
    <w:rsid w:val="4B42402A"/>
    <w:rsid w:val="4D3F08E5"/>
    <w:rsid w:val="4D9724CF"/>
    <w:rsid w:val="4DBA61BD"/>
    <w:rsid w:val="4FC07A46"/>
    <w:rsid w:val="4FDC241B"/>
    <w:rsid w:val="50AA42C7"/>
    <w:rsid w:val="51340035"/>
    <w:rsid w:val="5164091A"/>
    <w:rsid w:val="51DA6E2E"/>
    <w:rsid w:val="51E732F9"/>
    <w:rsid w:val="521340EE"/>
    <w:rsid w:val="53F27720"/>
    <w:rsid w:val="55185224"/>
    <w:rsid w:val="56150435"/>
    <w:rsid w:val="561641AD"/>
    <w:rsid w:val="574E45CB"/>
    <w:rsid w:val="586B6A32"/>
    <w:rsid w:val="58953AAF"/>
    <w:rsid w:val="58BF28DA"/>
    <w:rsid w:val="5AAD49D1"/>
    <w:rsid w:val="5B3E21DC"/>
    <w:rsid w:val="5E0F7E5F"/>
    <w:rsid w:val="61A22D98"/>
    <w:rsid w:val="63CC234F"/>
    <w:rsid w:val="65091AAC"/>
    <w:rsid w:val="655A5E64"/>
    <w:rsid w:val="66611474"/>
    <w:rsid w:val="6A38073E"/>
    <w:rsid w:val="6AB97AD1"/>
    <w:rsid w:val="6B056872"/>
    <w:rsid w:val="6CC60283"/>
    <w:rsid w:val="6E442D70"/>
    <w:rsid w:val="72347A3D"/>
    <w:rsid w:val="72C74D55"/>
    <w:rsid w:val="7407365B"/>
    <w:rsid w:val="74341F76"/>
    <w:rsid w:val="7437028D"/>
    <w:rsid w:val="78882890"/>
    <w:rsid w:val="79F24465"/>
    <w:rsid w:val="7A6D1D3E"/>
    <w:rsid w:val="7B0D52CF"/>
    <w:rsid w:val="7BA06143"/>
    <w:rsid w:val="7C683105"/>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Notes on contributors"/>
    <w:basedOn w:val="1"/>
    <w:qFormat/>
    <w:uiPriority w:val="0"/>
    <w:pPr>
      <w:spacing w:before="240" w:line="360" w:lineRule="auto"/>
    </w:pPr>
    <w:rPr>
      <w:sz w:val="22"/>
    </w:rPr>
  </w:style>
  <w:style w:type="paragraph" w:customStyle="1" w:styleId="6">
    <w:name w:val="New paragraph"/>
    <w:basedOn w:val="1"/>
    <w:qFormat/>
    <w:uiPriority w:val="0"/>
    <w:pPr>
      <w:ind w:firstLine="72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2023-11-18T08:19:00Z</dcterms:created>
  <dc:creator>Administrator</dc:creator>
  <cp:lastModifiedBy>Gbc</cp:lastModifiedBy>
  <dcterms:modified xsi:type="dcterms:W3CDTF">2023-12-14T02:13:17Z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A2BA5C910E0241D68984DAAB97764E8A_13</vt:lpwstr>
  </property>
</Properties>
</file>