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eastAsiaTheme="minorEastAsia"/>
          <w:b w:val="0"/>
          <w:bCs w:val="0"/>
          <w:lang w:val="en-US" w:eastAsia="zh-CN"/>
        </w:rPr>
      </w:pPr>
      <w:r>
        <w:rPr>
          <w:rFonts w:hint="eastAsia" w:ascii="Times New Roman" w:hAnsi="Times New Roman" w:cs="Times New Roman"/>
          <w:b/>
          <w:bCs/>
          <w:lang w:val="en-US" w:eastAsia="zh-CN"/>
        </w:rPr>
        <w:t>S</w:t>
      </w:r>
      <w:r>
        <w:rPr>
          <w:rFonts w:hint="default" w:ascii="Times New Roman" w:hAnsi="Times New Roman" w:cs="Times New Roman" w:eastAsiaTheme="minorEastAsia"/>
          <w:b/>
          <w:bCs/>
          <w:lang w:val="en-US" w:eastAsia="zh-CN"/>
        </w:rPr>
        <w:t>upport information</w:t>
      </w:r>
    </w:p>
    <w:p>
      <w:pPr>
        <w:spacing w:line="360" w:lineRule="auto"/>
        <w:ind w:firstLine="420" w:firstLineChars="200"/>
        <w:rPr>
          <w:rFonts w:hint="eastAsia" w:ascii="Times New Roman" w:hAnsi="Times New Roman" w:cs="Times New Roman"/>
          <w:lang w:val="en-US" w:eastAsia="zh-CN"/>
        </w:rPr>
      </w:pPr>
      <w:r>
        <w:rPr>
          <w:rFonts w:hint="default" w:ascii="Times New Roman" w:hAnsi="Times New Roman" w:cs="Times New Roman" w:eastAsiaTheme="minorEastAsia"/>
          <w:lang w:val="en-US" w:eastAsia="zh-CN"/>
        </w:rPr>
        <w:t>Plant nutrient allocation is fundamentally important for plants to</w:t>
      </w:r>
      <w:r>
        <w:rPr>
          <w:rFonts w:hint="eastAsia" w:ascii="Times New Roman" w:hAnsi="Times New Roman" w:cs="Times New Roman"/>
          <w:lang w:val="en-US" w:eastAsia="zh-CN"/>
        </w:rPr>
        <w:t xml:space="preserve"> </w:t>
      </w:r>
      <w:r>
        <w:rPr>
          <w:rFonts w:hint="default" w:ascii="Times New Roman" w:hAnsi="Times New Roman" w:cs="Times New Roman" w:eastAsiaTheme="minorEastAsia"/>
          <w:lang w:val="en-US" w:eastAsia="zh-CN"/>
        </w:rPr>
        <w:t>function as balanced systems in terms of resource uptake and use,</w:t>
      </w:r>
      <w:r>
        <w:rPr>
          <w:rFonts w:hint="eastAsia" w:ascii="Times New Roman" w:hAnsi="Times New Roman" w:cs="Times New Roman"/>
          <w:lang w:val="en-US" w:eastAsia="zh-CN"/>
        </w:rPr>
        <w:t xml:space="preserve"> </w:t>
      </w:r>
      <w:r>
        <w:rPr>
          <w:rFonts w:hint="default" w:ascii="Times New Roman" w:hAnsi="Times New Roman" w:cs="Times New Roman" w:eastAsiaTheme="minorEastAsia"/>
          <w:lang w:val="en-US" w:eastAsia="zh-CN"/>
        </w:rPr>
        <w:t>and is related to plant growth rate,</w:t>
      </w:r>
      <w:r>
        <w:rPr>
          <w:rFonts w:hint="eastAsia" w:ascii="Times New Roman" w:hAnsi="Times New Roman" w:cs="Times New Roman"/>
          <w:lang w:val="en-US" w:eastAsia="zh-CN"/>
        </w:rPr>
        <w:t xml:space="preserve"> </w:t>
      </w:r>
      <w:r>
        <w:rPr>
          <w:rFonts w:hint="default" w:ascii="Times New Roman" w:hAnsi="Times New Roman" w:cs="Times New Roman" w:eastAsiaTheme="minorEastAsia"/>
          <w:lang w:val="en-US" w:eastAsia="zh-CN"/>
        </w:rPr>
        <w:t>reproduction, defense, and other life‐history strategies.</w:t>
      </w:r>
      <w:r>
        <w:rPr>
          <w:rFonts w:hint="eastAsia" w:ascii="Times New Roman" w:hAnsi="Times New Roman" w:cs="Times New Roman"/>
          <w:lang w:val="en-US" w:eastAsia="zh-CN"/>
        </w:rPr>
        <w:t xml:space="preserve"> Stoichiometric homeostasis refers to the degree to which an organism maintains relatively constant ele</w:t>
      </w:r>
      <w:r>
        <w:rPr>
          <w:rFonts w:hint="eastAsia" w:ascii="Times New Roman" w:hAnsi="Times New Roman" w:cs="Times New Roman"/>
          <w:lang w:val="en-US" w:eastAsia="zh-CN"/>
        </w:rPr>
        <w:t/>
      </w:r>
      <w:r>
        <w:rPr>
          <w:rFonts w:hint="eastAsia" w:ascii="Times New Roman" w:hAnsi="Times New Roman" w:cs="Times New Roman"/>
          <w:lang w:val="en-US" w:eastAsia="zh-CN"/>
        </w:rPr>
        <w:t>mental concentrations or ratios within its tissues when confronted with variation in the relative availabilities of elements in its environment. These index explore that the general rules constraining nutrient allocation in different plant functional groups. Indeed, the observed index indicate a degree of conservatism in nutrient allocation with the scaling exponent constrained within a specific range in response to different plant functional groups and environmental change. Therefore, we calculated these parameters in different parts of moss plant to reveal the characteristics of nutrient allometric distribution and stoichiometry homeostasis to environmental changes.</w:t>
      </w:r>
    </w:p>
    <w:p>
      <w:pPr>
        <w:spacing w:line="360" w:lineRule="auto"/>
        <w:ind w:firstLine="420" w:firstLineChars="200"/>
        <w:rPr>
          <w:rFonts w:hint="default" w:ascii="Times New Roman" w:hAnsi="Times New Roman" w:cs="Times New Roman"/>
          <w:lang w:val="en-US" w:eastAsia="zh-CN"/>
        </w:rPr>
      </w:pPr>
      <w:r>
        <w:rPr>
          <w:rFonts w:hint="default" w:ascii="Times New Roman" w:hAnsi="Times New Roman" w:cs="Times New Roman"/>
          <w:lang w:val="en-US" w:eastAsia="zh-CN"/>
        </w:rPr>
        <w:t>The scaling relationship of multiple nutrients among the plant organs</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is described by the following equations:</w:t>
      </w:r>
    </w:p>
    <w:p>
      <w:pPr>
        <w:spacing w:line="360" w:lineRule="auto"/>
        <w:jc w:val="center"/>
        <w:rPr>
          <w:rFonts w:hint="default" w:ascii="Times New Roman" w:hAnsi="Times New Roman" w:cs="Times New Roman"/>
          <w:lang w:val="en-US" w:eastAsia="zh-CN"/>
        </w:rPr>
      </w:pPr>
      <w:r>
        <w:rPr>
          <w:rFonts w:hint="default" w:ascii="Times New Roman" w:hAnsi="Times New Roman" w:cs="Times New Roman"/>
          <w:lang w:val="en-US" w:eastAsia="zh-CN"/>
        </w:rPr>
        <w:t>Y=</w:t>
      </w:r>
      <w:r>
        <w:rPr>
          <w:rFonts w:hint="eastAsia" w:ascii="Symbol" w:hAnsi="Symbol" w:cs="Symbol"/>
          <w:lang w:val="en-US" w:eastAsia="zh-CN"/>
        </w:rPr>
        <w:t>b</w:t>
      </w:r>
      <w:r>
        <w:rPr>
          <w:rFonts w:hint="default" w:ascii="Times New Roman" w:hAnsi="Times New Roman" w:cs="Times New Roman"/>
          <w:lang w:val="en-US" w:eastAsia="zh-CN"/>
        </w:rPr>
        <w:t>X</w:t>
      </w:r>
      <w:r>
        <w:rPr>
          <w:rFonts w:hint="default" w:ascii="Symbol" w:hAnsi="Symbol" w:cs="Symbol"/>
          <w:vertAlign w:val="superscript"/>
          <w:lang w:val="en-US" w:eastAsia="zh-CN"/>
        </w:rPr>
        <w:t>a</w:t>
      </w:r>
    </w:p>
    <w:p>
      <w:pPr>
        <w:spacing w:line="360" w:lineRule="auto"/>
        <w:jc w:val="center"/>
        <w:rPr>
          <w:rFonts w:hint="default" w:ascii="Times New Roman" w:hAnsi="Times New Roman" w:cs="Times New Roman"/>
          <w:lang w:val="en-US" w:eastAsia="zh-CN"/>
        </w:rPr>
      </w:pPr>
      <w:r>
        <w:rPr>
          <w:rFonts w:hint="default" w:ascii="Times New Roman" w:hAnsi="Times New Roman" w:cs="Times New Roman"/>
          <w:lang w:val="en-US" w:eastAsia="zh-CN"/>
        </w:rPr>
        <w:t>or log(Y)=log(</w:t>
      </w:r>
      <w:r>
        <w:rPr>
          <w:rFonts w:hint="default" w:ascii="Symbol" w:hAnsi="Symbol" w:cs="Symbol"/>
          <w:lang w:val="en-US" w:eastAsia="zh-CN"/>
        </w:rPr>
        <w:t>b</w:t>
      </w:r>
      <w:r>
        <w:rPr>
          <w:rFonts w:hint="default" w:ascii="Times New Roman" w:hAnsi="Times New Roman" w:cs="Times New Roman"/>
          <w:lang w:val="en-US" w:eastAsia="zh-CN"/>
        </w:rPr>
        <w:t>)+</w:t>
      </w:r>
      <w:r>
        <w:rPr>
          <w:rFonts w:hint="default" w:ascii="Symbol" w:hAnsi="Symbol" w:cs="Symbol"/>
          <w:lang w:val="en-US" w:eastAsia="zh-CN"/>
        </w:rPr>
        <w:t>a</w:t>
      </w:r>
      <w:r>
        <w:rPr>
          <w:rFonts w:hint="default" w:ascii="Times New Roman" w:hAnsi="Times New Roman" w:cs="Times New Roman"/>
          <w:lang w:val="en-US" w:eastAsia="zh-CN"/>
        </w:rPr>
        <w:t xml:space="preserve"> log(X) ,</w:t>
      </w:r>
    </w:p>
    <w:p>
      <w:pPr>
        <w:spacing w:line="360" w:lineRule="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 xml:space="preserve">where X and Y are the elemental concentrations of </w:t>
      </w:r>
      <w:r>
        <w:rPr>
          <w:rFonts w:hint="eastAsia" w:ascii="Times New Roman" w:hAnsi="Times New Roman" w:cs="Times New Roman"/>
          <w:lang w:val="en-US" w:eastAsia="zh-CN"/>
        </w:rPr>
        <w:t>moss different parts</w:t>
      </w:r>
      <w:r>
        <w:rPr>
          <w:rFonts w:hint="default" w:ascii="Times New Roman" w:hAnsi="Times New Roman" w:cs="Times New Roman" w:eastAsiaTheme="minorEastAsia"/>
          <w:lang w:val="en-US" w:eastAsia="zh-CN"/>
        </w:rPr>
        <w:t>,β represents</w:t>
      </w:r>
      <w:r>
        <w:rPr>
          <w:rFonts w:hint="eastAsia" w:ascii="Times New Roman" w:hAnsi="Times New Roman" w:cs="Times New Roman"/>
          <w:lang w:val="en-US" w:eastAsia="zh-CN"/>
        </w:rPr>
        <w:t xml:space="preserve"> </w:t>
      </w:r>
      <w:r>
        <w:rPr>
          <w:rFonts w:hint="default" w:ascii="Times New Roman" w:hAnsi="Times New Roman" w:cs="Times New Roman" w:eastAsiaTheme="minorEastAsia"/>
          <w:lang w:val="en-US" w:eastAsia="zh-CN"/>
        </w:rPr>
        <w:t>the y‐intercept and α represents the slope of the scaling function, indicating the allometric exponent.</w:t>
      </w:r>
    </w:p>
    <w:p>
      <w:pPr>
        <w:spacing w:line="360" w:lineRule="auto"/>
        <w:ind w:firstLine="420" w:firstLineChars="200"/>
        <w:rPr>
          <w:rFonts w:hint="eastAsia" w:ascii="Times New Roman" w:hAnsi="Times New Roman" w:cs="Times New Roman"/>
          <w:lang w:val="en-US" w:eastAsia="zh-CN"/>
        </w:rPr>
      </w:pPr>
      <w:r>
        <w:rPr>
          <w:rFonts w:hint="eastAsia" w:ascii="Times New Roman" w:hAnsi="Times New Roman" w:cs="Times New Roman"/>
          <w:lang w:val="en-US" w:eastAsia="zh-CN"/>
        </w:rPr>
        <w:t>H</w:t>
      </w:r>
      <w:r>
        <w:rPr>
          <w:rFonts w:hint="default" w:ascii="Times New Roman" w:hAnsi="Times New Roman" w:cs="Times New Roman" w:eastAsiaTheme="minorEastAsia"/>
          <w:lang w:val="en-US" w:eastAsia="zh-CN"/>
        </w:rPr>
        <w:t>omoeostatic regulation coefficient (H), calculated using the following equation</w:t>
      </w:r>
      <w:r>
        <w:rPr>
          <w:rFonts w:hint="eastAsia" w:ascii="Times New Roman" w:hAnsi="Times New Roman" w:cs="Times New Roman"/>
          <w:lang w:val="en-US" w:eastAsia="zh-CN"/>
        </w:rPr>
        <w:t>:</w:t>
      </w:r>
    </w:p>
    <w:p>
      <w:pPr>
        <w:spacing w:line="360" w:lineRule="auto"/>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position w:val="-6"/>
          <w:lang w:val="en-US" w:eastAsia="zh-CN"/>
        </w:rPr>
        <w:object>
          <v:shape id="_x0000_i1025" o:spt="75" type="#_x0000_t75" style="height:24pt;width:42pt;" o:ole="t" filled="f" o:preferrelative="t" stroked="f" coordsize="21600,21600">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pPr>
        <w:spacing w:line="360" w:lineRule="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 xml:space="preserve">where y represents elemental concentrations </w:t>
      </w:r>
      <w:r>
        <w:rPr>
          <w:rFonts w:hint="eastAsia" w:ascii="Times New Roman" w:hAnsi="Times New Roman" w:cs="Times New Roman"/>
          <w:lang w:val="en-US" w:eastAsia="zh-CN"/>
        </w:rPr>
        <w:t>in different parts of moss</w:t>
      </w:r>
      <w:r>
        <w:rPr>
          <w:rFonts w:hint="default" w:ascii="Times New Roman" w:hAnsi="Times New Roman" w:cs="Times New Roman" w:eastAsiaTheme="minorEastAsia"/>
          <w:lang w:val="en-US" w:eastAsia="zh-CN"/>
        </w:rPr>
        <w:t>, x represents the concentrations of the corresponding elements in soil (g/kg), and c is a constant. The value of</w:t>
      </w:r>
      <w:r>
        <w:rPr>
          <w:rFonts w:hint="eastAsia" w:ascii="Times New Roman" w:hAnsi="Times New Roman" w:cs="Times New Roman"/>
          <w:lang w:val="en-US" w:eastAsia="zh-CN"/>
        </w:rPr>
        <w:t xml:space="preserve"> </w:t>
      </w:r>
      <w:r>
        <w:rPr>
          <w:rFonts w:hint="default" w:ascii="Times New Roman" w:hAnsi="Times New Roman" w:cs="Times New Roman" w:eastAsiaTheme="minorEastAsia"/>
          <w:lang w:val="en-US" w:eastAsia="zh-CN"/>
        </w:rPr>
        <w:t>(1/H) ranged between 1 and 0</w:t>
      </w:r>
      <w:r>
        <w:rPr>
          <w:rFonts w:hint="eastAsia" w:ascii="Times New Roman" w:hAnsi="Times New Roman" w:cs="Times New Roman"/>
          <w:lang w:val="en-US" w:eastAsia="zh-CN"/>
        </w:rPr>
        <w:t>.</w:t>
      </w:r>
    </w:p>
    <w:p>
      <w:pPr>
        <w:spacing w:line="360" w:lineRule="auto"/>
        <w:rPr>
          <w:rFonts w:hint="default" w:ascii="Times New Roman" w:hAnsi="Times New Roman" w:cs="Times New Roman"/>
          <w:lang w:val="en-US" w:eastAsia="zh-CN"/>
        </w:rPr>
      </w:pPr>
      <w:r>
        <w:rPr>
          <w:rFonts w:hint="default" w:ascii="Times New Roman" w:hAnsi="Times New Roman" w:cs="Times New Roman" w:eastAsiaTheme="minorEastAsia"/>
          <w:lang w:val="en-US" w:eastAsia="zh-CN"/>
        </w:rPr>
        <w:t>In recent years, structural equation modeling approach (SEM) has been applied more and more</w:t>
      </w:r>
      <w:r>
        <w:rPr>
          <w:rFonts w:hint="eastAsia" w:ascii="Times New Roman" w:hAnsi="Times New Roman" w:cs="Times New Roman"/>
          <w:lang w:val="en-US" w:eastAsia="zh-CN"/>
        </w:rPr>
        <w:t xml:space="preserve">. </w:t>
      </w:r>
      <w:r>
        <w:rPr>
          <w:rFonts w:hint="default" w:ascii="Times New Roman" w:hAnsi="Times New Roman" w:cs="Times New Roman" w:eastAsiaTheme="minorEastAsia"/>
          <w:lang w:val="en-US" w:eastAsia="zh-CN"/>
        </w:rPr>
        <w:t xml:space="preserve">It is used to analyze and study the complex interactions between different processes in the ecosystem. In this study, SEM was used to calculate the path correlation coefficient of each variable to identify the </w:t>
      </w:r>
      <w:r>
        <w:rPr>
          <w:rFonts w:hint="eastAsia" w:ascii="Times New Roman" w:hAnsi="Times New Roman" w:cs="Times New Roman"/>
          <w:lang w:val="en-US" w:eastAsia="zh-CN"/>
        </w:rPr>
        <w:t xml:space="preserve">moss crust. </w:t>
      </w:r>
      <w:r>
        <w:rPr>
          <w:rFonts w:hint="default" w:ascii="Times New Roman" w:hAnsi="Times New Roman" w:cs="Times New Roman" w:eastAsiaTheme="minorEastAsia"/>
          <w:lang w:val="en-US" w:eastAsia="zh-CN"/>
        </w:rPr>
        <w:t xml:space="preserve">Based on the relationship between different </w:t>
      </w:r>
      <w:r>
        <w:rPr>
          <w:rFonts w:hint="eastAsia" w:ascii="Times New Roman" w:hAnsi="Times New Roman" w:cs="Times New Roman"/>
          <w:lang w:val="en-US" w:eastAsia="zh-CN"/>
        </w:rPr>
        <w:t>climate factors, soil nutrients and moss stoichiometry</w:t>
      </w:r>
      <w:r>
        <w:rPr>
          <w:rFonts w:hint="default" w:ascii="Times New Roman" w:hAnsi="Times New Roman" w:cs="Times New Roman" w:eastAsiaTheme="minorEastAsia"/>
          <w:lang w:val="en-US" w:eastAsia="zh-CN"/>
        </w:rPr>
        <w:t xml:space="preserve">, the key factors driving </w:t>
      </w:r>
      <w:r>
        <w:rPr>
          <w:rFonts w:hint="eastAsia" w:ascii="Times New Roman" w:hAnsi="Times New Roman" w:cs="Times New Roman"/>
          <w:lang w:val="en-US" w:eastAsia="zh-CN"/>
        </w:rPr>
        <w:t>different parts of moss stoichiomery</w:t>
      </w:r>
      <w:r>
        <w:rPr>
          <w:rFonts w:hint="default" w:ascii="Times New Roman" w:hAnsi="Times New Roman" w:cs="Times New Roman" w:eastAsiaTheme="minorEastAsia"/>
          <w:lang w:val="en-US" w:eastAsia="zh-CN"/>
        </w:rPr>
        <w:t xml:space="preserve"> were determined. There are three steps in the analysis</w:t>
      </w:r>
      <w:r>
        <w:rPr>
          <w:rFonts w:hint="eastAsia" w:ascii="Times New Roman" w:hAnsi="Times New Roman" w:cs="Times New Roman"/>
          <w:lang w:val="en-US" w:eastAsia="zh-CN"/>
        </w:rPr>
        <w:t>: 1) A priori model is proposed, which is the assumption of causality of the problems involved, that is, the initial model or a priori model. In this model, causality or correlation between variables is assumed based on the existing knowledge level. Different initial SEM models were built separately for N, P and K. According to the integrated model, three conceptual variables are initially set: climate factors, latitude, longitude, soil nutrients and moss stoichiometry. The arrow represents the possible impact. 2) A priori model is put forward, which is the assumption of causality for the problems involved, that is, the initial model or a priori model. In this model, causality or correlation between variables is assumed based on the existing knowledge level. 2) Model evaluation: use observation or test data to fit the initial model as a whole. SEM can not only evaluate the whole model, but also observe the statistical information of each path in the model. In this study, chi square test was used to evaluate the fitting effect of the initial model. When P &gt; 0.05, it was generally considered that the "initial model" was acceptable. If it is found that the collected data can not fit the initial model well, the model should be modified, and some paths should be added or reduced according to the correction index; 3) Inference and prediction based on the modified model: the modified model fits the observed data. The key factors affecting the stoichiometric characteristics of moss were demonstrated.</w:t>
      </w:r>
    </w:p>
    <w:p>
      <w:pPr>
        <w:spacing w:line="360" w:lineRule="auto"/>
        <w:rPr>
          <w:rFonts w:hint="default" w:ascii="Times New Roman" w:hAnsi="Times New Roman" w:cs="Times New Roman" w:eastAsiaTheme="minorEastAsia"/>
          <w:lang w:val="en-US" w:eastAsia="zh-CN"/>
        </w:rPr>
      </w:pPr>
    </w:p>
    <w:p>
      <w:pPr>
        <w:spacing w:line="360" w:lineRule="auto"/>
      </w:pPr>
      <w:r>
        <w:drawing>
          <wp:inline distT="0" distB="0" distL="114300" distR="114300">
            <wp:extent cx="5977255" cy="2591435"/>
            <wp:effectExtent l="0" t="0" r="4445" b="1841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6"/>
                    <a:stretch>
                      <a:fillRect/>
                    </a:stretch>
                  </pic:blipFill>
                  <pic:spPr>
                    <a:xfrm>
                      <a:off x="0" y="0"/>
                      <a:ext cx="5977255" cy="2591435"/>
                    </a:xfrm>
                    <a:prstGeom prst="rect">
                      <a:avLst/>
                    </a:prstGeom>
                    <a:noFill/>
                    <a:ln>
                      <a:noFill/>
                    </a:ln>
                  </pic:spPr>
                </pic:pic>
              </a:graphicData>
            </a:graphic>
          </wp:inline>
        </w:drawing>
      </w:r>
    </w:p>
    <w:p>
      <w:pPr>
        <w:spacing w:line="360" w:lineRule="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Fig S1 The scaling exponents in above- and below-ground of moss</w:t>
      </w:r>
      <w:r>
        <w:rPr>
          <w:rFonts w:hint="eastAsia" w:ascii="Times New Roman" w:hAnsi="Times New Roman" w:cs="Times New Roman"/>
          <w:lang w:val="en-US" w:eastAsia="zh-CN"/>
        </w:rPr>
        <w:t xml:space="preserve"> element</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a, the N vs. K scaling exponents; b, the P vs. K scaling exponents.</w:t>
      </w:r>
    </w:p>
    <w:p>
      <w:pPr>
        <w:spacing w:line="360" w:lineRule="auto"/>
        <w:rPr>
          <w:rFonts w:ascii="Times New Roman" w:hAnsi="Times New Roman" w:cs="Times New Roman"/>
          <w:sz w:val="20"/>
          <w:szCs w:val="20"/>
        </w:rPr>
      </w:pPr>
      <w:r>
        <w:drawing>
          <wp:inline distT="0" distB="0" distL="114300" distR="114300">
            <wp:extent cx="3514090" cy="8494395"/>
            <wp:effectExtent l="0" t="0" r="10160" b="190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7"/>
                    <a:stretch>
                      <a:fillRect/>
                    </a:stretch>
                  </pic:blipFill>
                  <pic:spPr>
                    <a:xfrm>
                      <a:off x="0" y="0"/>
                      <a:ext cx="3514090" cy="8494395"/>
                    </a:xfrm>
                    <a:prstGeom prst="rect">
                      <a:avLst/>
                    </a:prstGeom>
                    <a:noFill/>
                    <a:ln>
                      <a:noFill/>
                    </a:ln>
                  </pic:spPr>
                </pic:pic>
              </a:graphicData>
            </a:graphic>
          </wp:inline>
        </w:drawing>
      </w:r>
    </w:p>
    <w:p>
      <w:pPr>
        <w:spacing w:line="360" w:lineRule="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Fig S2 Scaling relationships between soil and moss nitrogen (or phosphorus, potassium) concentrations. (a) nitrogen element; (b) phosphorus element. (c) potassium element.</w:t>
      </w:r>
    </w:p>
    <w:p>
      <w:pPr>
        <w:spacing w:line="360" w:lineRule="auto"/>
      </w:pPr>
      <w:r>
        <w:drawing>
          <wp:inline distT="0" distB="0" distL="114300" distR="114300">
            <wp:extent cx="6106795" cy="6358890"/>
            <wp:effectExtent l="0" t="0" r="8255"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6106795" cy="6358890"/>
                    </a:xfrm>
                    <a:prstGeom prst="rect">
                      <a:avLst/>
                    </a:prstGeom>
                    <a:noFill/>
                    <a:ln>
                      <a:noFill/>
                    </a:ln>
                  </pic:spPr>
                </pic:pic>
              </a:graphicData>
            </a:graphic>
          </wp:inline>
        </w:drawing>
      </w:r>
    </w:p>
    <w:p>
      <w:pPr>
        <w:spacing w:line="360" w:lineRule="auto"/>
        <w:rPr>
          <w:rFonts w:hint="default" w:ascii="Times New Roman" w:hAnsi="Times New Roman" w:cs="Times New Roman" w:eastAsiaTheme="minorEastAsia"/>
          <w:lang w:val="en-US" w:eastAsia="zh-CN"/>
        </w:rPr>
      </w:pPr>
      <w:r>
        <w:rPr>
          <w:rFonts w:hint="default" w:ascii="Times New Roman" w:hAnsi="Times New Roman" w:cs="Times New Roman"/>
        </w:rPr>
        <w:t>Fig S</w:t>
      </w:r>
      <w:r>
        <w:rPr>
          <w:rFonts w:hint="eastAsia" w:ascii="Times New Roman" w:hAnsi="Times New Roman" w:cs="Times New Roman"/>
          <w:lang w:val="en-US" w:eastAsia="zh-CN"/>
        </w:rPr>
        <w:t>3</w:t>
      </w:r>
      <w:r>
        <w:rPr>
          <w:rFonts w:hint="default" w:ascii="Times New Roman" w:hAnsi="Times New Roman" w:cs="Times New Roman"/>
        </w:rPr>
        <w:t xml:space="preserve"> Scaling relationships between above-ground and below-ground of moss </w:t>
      </w:r>
      <w:r>
        <w:rPr>
          <w:rFonts w:hint="eastAsia" w:ascii="Times New Roman" w:hAnsi="Times New Roman" w:cs="Times New Roman"/>
          <w:lang w:val="en-US" w:eastAsia="zh-CN"/>
        </w:rPr>
        <w:t>element rate. Axis X is element rate in below-ground; Axis Y is element rate in above-ground parts.</w:t>
      </w:r>
      <w:r>
        <w:rPr>
          <w:rFonts w:hint="default" w:ascii="Times New Roman" w:hAnsi="Times New Roman" w:cs="Times New Roman"/>
        </w:rPr>
        <w:t xml:space="preserve"> (a) </w:t>
      </w:r>
      <w:r>
        <w:rPr>
          <w:rFonts w:hint="eastAsia" w:ascii="Times New Roman" w:hAnsi="Times New Roman" w:cs="Times New Roman"/>
          <w:lang w:val="en-US" w:eastAsia="zh-CN"/>
        </w:rPr>
        <w:t>the C:N scaling exponent;</w:t>
      </w:r>
      <w:r>
        <w:rPr>
          <w:rFonts w:hint="default" w:ascii="Times New Roman" w:hAnsi="Times New Roman" w:cs="Times New Roman"/>
        </w:rPr>
        <w:t xml:space="preserve"> (b) the C:</w:t>
      </w:r>
      <w:r>
        <w:rPr>
          <w:rFonts w:hint="eastAsia" w:ascii="Times New Roman" w:hAnsi="Times New Roman" w:cs="Times New Roman"/>
          <w:lang w:val="en-US" w:eastAsia="zh-CN"/>
        </w:rPr>
        <w:t>P</w:t>
      </w:r>
      <w:r>
        <w:rPr>
          <w:rFonts w:hint="default" w:ascii="Times New Roman" w:hAnsi="Times New Roman" w:cs="Times New Roman"/>
        </w:rPr>
        <w:t xml:space="preserve"> scaling exponent; (c) the C:</w:t>
      </w:r>
      <w:r>
        <w:rPr>
          <w:rFonts w:hint="eastAsia" w:ascii="Times New Roman" w:hAnsi="Times New Roman" w:cs="Times New Roman"/>
          <w:lang w:val="en-US" w:eastAsia="zh-CN"/>
        </w:rPr>
        <w:t>K</w:t>
      </w:r>
      <w:r>
        <w:rPr>
          <w:rFonts w:hint="default" w:ascii="Times New Roman" w:hAnsi="Times New Roman" w:cs="Times New Roman"/>
        </w:rPr>
        <w:t xml:space="preserve"> scaling exponent;</w:t>
      </w:r>
      <w:r>
        <w:rPr>
          <w:rFonts w:hint="eastAsia" w:ascii="Times New Roman" w:hAnsi="Times New Roman" w:cs="Times New Roman"/>
          <w:lang w:val="en-US" w:eastAsia="zh-CN"/>
        </w:rPr>
        <w:t xml:space="preserve"> (d) the N:P scaling exponent; (e) the N:K scaling exponent; (f) the P:K scaling exponent.</w:t>
      </w:r>
    </w:p>
    <w:p>
      <w:r>
        <w:drawing>
          <wp:inline distT="0" distB="0" distL="0" distR="0">
            <wp:extent cx="5630545" cy="5919470"/>
            <wp:effectExtent l="0" t="0" r="8255"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630545" cy="5919470"/>
                    </a:xfrm>
                    <a:prstGeom prst="rect">
                      <a:avLst/>
                    </a:prstGeom>
                    <a:noFill/>
                  </pic:spPr>
                </pic:pic>
              </a:graphicData>
            </a:graphic>
          </wp:inline>
        </w:drawing>
      </w:r>
      <w:bookmarkStart w:id="0" w:name="_GoBack"/>
      <w:bookmarkEnd w:id="0"/>
    </w:p>
    <w:p/>
    <w:p>
      <w:pPr>
        <w:spacing w:line="360" w:lineRule="auto"/>
        <w:rPr>
          <w:rFonts w:ascii="Times New Roman" w:hAnsi="Times New Roman" w:cs="Times New Roman"/>
        </w:rPr>
      </w:pPr>
      <w:r>
        <w:rPr>
          <w:rFonts w:ascii="Times New Roman" w:hAnsi="Times New Roman" w:cs="Times New Roman"/>
          <w:sz w:val="20"/>
        </w:rPr>
        <w:t xml:space="preserve">Fig </w:t>
      </w:r>
      <w:r>
        <w:rPr>
          <w:rFonts w:hint="eastAsia" w:ascii="Times New Roman" w:hAnsi="Times New Roman" w:cs="Times New Roman"/>
          <w:sz w:val="20"/>
          <w:lang w:val="en-US" w:eastAsia="zh-CN"/>
        </w:rPr>
        <w:t>S</w:t>
      </w:r>
      <w:r>
        <w:rPr>
          <w:rFonts w:ascii="Times New Roman" w:hAnsi="Times New Roman" w:cs="Times New Roman"/>
          <w:sz w:val="20"/>
        </w:rPr>
        <w:t xml:space="preserve">4 Correlation analysis of moss stoichiometry and stoichiometric ratios in different parts of moss. a, moss stoichiometry and stoichiometric ratios in aboveground parts of moss; b, moss stoichiometry and stoichiometric ratios in belowground of parts moss; c, moss stoichiometry and stoichiometric ratios between aboveground and belowground parts of moss. The number 1 after the letters indicates aboveground parts of the mosses, while number 2 indicates belowground parts of the mosses. The size and color of the circle indicate the strength and significance of the relationship (Pearson's correlation coefficient), respectively. The colors also indicate the strength of the relationship (Pearson’s correlation coefficient). * in the circle indicates the Pearson's correlation ( </w:t>
      </w:r>
      <w:r>
        <w:rPr>
          <w:rFonts w:ascii="Times New Roman" w:hAnsi="Times New Roman" w:cs="Times New Roman"/>
          <w:i/>
          <w:sz w:val="20"/>
        </w:rPr>
        <w:t>P</w:t>
      </w:r>
      <w:r>
        <w:rPr>
          <w:rFonts w:ascii="Times New Roman" w:hAnsi="Times New Roman" w:cs="Times New Roman"/>
          <w:sz w:val="20"/>
        </w:rPr>
        <w:t xml:space="preserve">&lt;0.05 ). </w:t>
      </w:r>
    </w:p>
    <w:p>
      <w:pPr>
        <w:rPr>
          <w:rFonts w:ascii="Times New Roman" w:hAnsi="Times New Roman" w:cs="Times New Roman"/>
        </w:rPr>
      </w:pPr>
    </w:p>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drawing>
          <wp:inline distT="0" distB="0" distL="0" distR="0">
            <wp:extent cx="4668520" cy="3063240"/>
            <wp:effectExtent l="0" t="0" r="0"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02024" cy="3085543"/>
                    </a:xfrm>
                    <a:prstGeom prst="rect">
                      <a:avLst/>
                    </a:prstGeom>
                    <a:noFill/>
                  </pic:spPr>
                </pic:pic>
              </a:graphicData>
            </a:graphic>
          </wp:inline>
        </w:drawing>
      </w:r>
    </w:p>
    <w:p>
      <w:pPr>
        <w:rPr>
          <w:rFonts w:ascii="Times New Roman" w:hAnsi="Times New Roman" w:cs="Times New Roman"/>
        </w:rPr>
      </w:pP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Fig. </w:t>
      </w:r>
      <w:r>
        <w:rPr>
          <w:rFonts w:hint="eastAsia" w:ascii="Times New Roman" w:hAnsi="Times New Roman" w:cs="Times New Roman"/>
          <w:sz w:val="20"/>
          <w:szCs w:val="20"/>
          <w:lang w:val="en-US" w:eastAsia="zh-CN"/>
        </w:rPr>
        <w:t>S5</w:t>
      </w:r>
      <w:r>
        <w:rPr>
          <w:rFonts w:ascii="Times New Roman" w:hAnsi="Times New Roman" w:cs="Times New Roman"/>
          <w:sz w:val="20"/>
          <w:szCs w:val="20"/>
        </w:rPr>
        <w:t xml:space="preserve"> Final fitted structural equation models depicting relative effects of soil N and moss N content in above-ground and below-ground parts. </w:t>
      </w:r>
      <w:r>
        <w:rPr>
          <w:rFonts w:ascii="Times New Roman" w:hAnsi="Times New Roman" w:cs="Times New Roman"/>
          <w:i/>
          <w:sz w:val="20"/>
          <w:szCs w:val="20"/>
        </w:rPr>
        <w:t>Boxes</w:t>
      </w:r>
      <w:r>
        <w:rPr>
          <w:rFonts w:ascii="Times New Roman" w:hAnsi="Times New Roman" w:cs="Times New Roman"/>
          <w:sz w:val="20"/>
          <w:szCs w:val="20"/>
        </w:rPr>
        <w:t xml:space="preserve"> represent measured variables. N</w:t>
      </w:r>
      <w:r>
        <w:rPr>
          <w:rFonts w:ascii="Times New Roman" w:hAnsi="Times New Roman" w:cs="Times New Roman"/>
          <w:sz w:val="20"/>
          <w:szCs w:val="20"/>
          <w:vertAlign w:val="subscript"/>
        </w:rPr>
        <w:t>above-ground</w:t>
      </w:r>
      <w:r>
        <w:rPr>
          <w:rFonts w:ascii="Times New Roman" w:hAnsi="Times New Roman" w:cs="Times New Roman"/>
          <w:sz w:val="20"/>
          <w:szCs w:val="20"/>
        </w:rPr>
        <w:t>: nitrogen content in above-ground parts of moss; N</w:t>
      </w:r>
      <w:r>
        <w:rPr>
          <w:rFonts w:ascii="Times New Roman" w:hAnsi="Times New Roman" w:cs="Times New Roman"/>
          <w:sz w:val="20"/>
          <w:szCs w:val="20"/>
          <w:vertAlign w:val="subscript"/>
        </w:rPr>
        <w:t>below-ground</w:t>
      </w:r>
      <w:r>
        <w:rPr>
          <w:rFonts w:ascii="Times New Roman" w:hAnsi="Times New Roman" w:cs="Times New Roman"/>
          <w:sz w:val="20"/>
          <w:szCs w:val="20"/>
        </w:rPr>
        <w:t xml:space="preserve">: nitrogen content in below-ground parts of moss. Standardized path coefficients are displayed, with the width of each arrow equivalent to the strength of the path. </w:t>
      </w:r>
      <w:r>
        <w:rPr>
          <w:rFonts w:ascii="Times New Roman" w:hAnsi="Times New Roman" w:cs="Times New Roman"/>
          <w:i/>
          <w:sz w:val="20"/>
          <w:szCs w:val="20"/>
        </w:rPr>
        <w:t>Solid lines</w:t>
      </w:r>
      <w:r>
        <w:rPr>
          <w:rFonts w:ascii="Times New Roman" w:hAnsi="Times New Roman" w:cs="Times New Roman"/>
          <w:sz w:val="20"/>
          <w:szCs w:val="20"/>
        </w:rPr>
        <w:t xml:space="preserve"> represent the positive paths. </w:t>
      </w:r>
      <w:r>
        <w:rPr>
          <w:rFonts w:ascii="Times New Roman" w:hAnsi="Times New Roman" w:cs="Times New Roman"/>
          <w:i/>
          <w:sz w:val="20"/>
          <w:szCs w:val="20"/>
        </w:rPr>
        <w:t>Dashed lines</w:t>
      </w:r>
      <w:r>
        <w:rPr>
          <w:rFonts w:ascii="Times New Roman" w:hAnsi="Times New Roman" w:cs="Times New Roman"/>
          <w:sz w:val="20"/>
          <w:szCs w:val="20"/>
        </w:rPr>
        <w:t xml:space="preserve"> indicate negative paths. The total amount of variance (R</w:t>
      </w:r>
      <w:r>
        <w:rPr>
          <w:rFonts w:ascii="Times New Roman" w:hAnsi="Times New Roman" w:cs="Times New Roman"/>
          <w:sz w:val="20"/>
          <w:szCs w:val="20"/>
          <w:vertAlign w:val="superscript"/>
        </w:rPr>
        <w:t>2</w:t>
      </w:r>
      <w:r>
        <w:rPr>
          <w:rFonts w:ascii="Times New Roman" w:hAnsi="Times New Roman" w:cs="Times New Roman"/>
          <w:sz w:val="20"/>
          <w:szCs w:val="20"/>
        </w:rPr>
        <w:t xml:space="preserve">) explained for each endogenous variable (that is, those with arrows pointing to them) is given on the top right of the variable. Corresponding probability values are included when </w:t>
      </w:r>
      <w:r>
        <w:rPr>
          <w:rFonts w:ascii="Times New Roman" w:hAnsi="Times New Roman" w:cs="Times New Roman"/>
          <w:i/>
          <w:sz w:val="20"/>
          <w:szCs w:val="20"/>
        </w:rPr>
        <w:t>P</w:t>
      </w:r>
      <w:r>
        <w:rPr>
          <w:rFonts w:ascii="Times New Roman" w:hAnsi="Times New Roman" w:cs="Times New Roman"/>
          <w:sz w:val="20"/>
          <w:szCs w:val="20"/>
        </w:rPr>
        <w:t xml:space="preserve">&lt;0.20 (++ </w:t>
      </w:r>
      <w:r>
        <w:rPr>
          <w:rFonts w:ascii="Times New Roman" w:hAnsi="Times New Roman" w:cs="Times New Roman"/>
          <w:i/>
          <w:sz w:val="20"/>
          <w:szCs w:val="20"/>
        </w:rPr>
        <w:t>P</w:t>
      </w:r>
      <w:r>
        <w:rPr>
          <w:rFonts w:ascii="Times New Roman" w:hAnsi="Times New Roman" w:cs="Times New Roman"/>
          <w:sz w:val="20"/>
          <w:szCs w:val="20"/>
        </w:rPr>
        <w:t xml:space="preserve">&lt; 0.20, + </w:t>
      </w:r>
      <w:r>
        <w:rPr>
          <w:rFonts w:ascii="Times New Roman" w:hAnsi="Times New Roman" w:cs="Times New Roman"/>
          <w:i/>
          <w:sz w:val="20"/>
          <w:szCs w:val="20"/>
        </w:rPr>
        <w:t>P</w:t>
      </w:r>
      <w:r>
        <w:rPr>
          <w:rFonts w:ascii="Times New Roman" w:hAnsi="Times New Roman" w:cs="Times New Roman"/>
          <w:sz w:val="20"/>
          <w:szCs w:val="20"/>
        </w:rPr>
        <w:t xml:space="preserve">&lt; 0.10, * </w:t>
      </w:r>
      <w:r>
        <w:rPr>
          <w:rFonts w:ascii="Times New Roman" w:hAnsi="Times New Roman" w:cs="Times New Roman"/>
          <w:i/>
          <w:sz w:val="20"/>
          <w:szCs w:val="20"/>
        </w:rPr>
        <w:t>P</w:t>
      </w:r>
      <w:r>
        <w:rPr>
          <w:rFonts w:ascii="Times New Roman" w:hAnsi="Times New Roman" w:cs="Times New Roman"/>
          <w:sz w:val="20"/>
          <w:szCs w:val="20"/>
        </w:rPr>
        <w:t xml:space="preserve">&lt; 0.05, ** </w:t>
      </w:r>
      <w:r>
        <w:rPr>
          <w:rFonts w:ascii="Times New Roman" w:hAnsi="Times New Roman" w:cs="Times New Roman"/>
          <w:i/>
          <w:sz w:val="20"/>
          <w:szCs w:val="20"/>
        </w:rPr>
        <w:t>P</w:t>
      </w:r>
      <w:r>
        <w:rPr>
          <w:rFonts w:ascii="Times New Roman" w:hAnsi="Times New Roman" w:cs="Times New Roman"/>
          <w:sz w:val="20"/>
          <w:szCs w:val="20"/>
        </w:rPr>
        <w:t xml:space="preserve">&lt; 0.01, *** </w:t>
      </w:r>
      <w:r>
        <w:rPr>
          <w:rFonts w:ascii="Times New Roman" w:hAnsi="Times New Roman" w:cs="Times New Roman"/>
          <w:i/>
          <w:sz w:val="20"/>
          <w:szCs w:val="20"/>
        </w:rPr>
        <w:t>P</w:t>
      </w:r>
      <w:r>
        <w:rPr>
          <w:rFonts w:ascii="Times New Roman" w:hAnsi="Times New Roman" w:cs="Times New Roman"/>
          <w:sz w:val="20"/>
          <w:szCs w:val="20"/>
        </w:rPr>
        <w:t xml:space="preserve">&lt; 0.001). The fit of the model was satisfactory (GFI=0.998, AGFI=0.983, RMSEA=0.000, Chi-square=0.196, </w:t>
      </w:r>
      <w:r>
        <w:rPr>
          <w:rFonts w:ascii="Times New Roman" w:hAnsi="Times New Roman" w:cs="Times New Roman"/>
          <w:i/>
          <w:sz w:val="20"/>
          <w:szCs w:val="20"/>
        </w:rPr>
        <w:t>P</w:t>
      </w:r>
      <w:r>
        <w:rPr>
          <w:rFonts w:ascii="Times New Roman" w:hAnsi="Times New Roman" w:cs="Times New Roman"/>
          <w:sz w:val="20"/>
          <w:szCs w:val="20"/>
        </w:rPr>
        <w:t>=0.907).</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drawing>
          <wp:inline distT="0" distB="0" distL="0" distR="0">
            <wp:extent cx="4571365" cy="293941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585346" cy="2948450"/>
                    </a:xfrm>
                    <a:prstGeom prst="rect">
                      <a:avLst/>
                    </a:prstGeom>
                    <a:noFill/>
                  </pic:spPr>
                </pic:pic>
              </a:graphicData>
            </a:graphic>
          </wp:inline>
        </w:drawing>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Fig. </w:t>
      </w:r>
      <w:r>
        <w:rPr>
          <w:rFonts w:hint="eastAsia" w:ascii="Times New Roman" w:hAnsi="Times New Roman" w:cs="Times New Roman"/>
          <w:sz w:val="20"/>
          <w:szCs w:val="20"/>
          <w:lang w:val="en-US" w:eastAsia="zh-CN"/>
        </w:rPr>
        <w:t>S6</w:t>
      </w:r>
      <w:r>
        <w:rPr>
          <w:rFonts w:ascii="Times New Roman" w:hAnsi="Times New Roman" w:cs="Times New Roman"/>
          <w:sz w:val="20"/>
          <w:szCs w:val="20"/>
        </w:rPr>
        <w:t xml:space="preserve"> Final fitted structural equation models depicting relative effects of soil P and moss P content in above-ground and below-ground parts. </w:t>
      </w:r>
      <w:r>
        <w:rPr>
          <w:rFonts w:ascii="Times New Roman" w:hAnsi="Times New Roman" w:cs="Times New Roman"/>
          <w:i/>
          <w:sz w:val="20"/>
          <w:szCs w:val="20"/>
        </w:rPr>
        <w:t>Boxes</w:t>
      </w:r>
      <w:r>
        <w:rPr>
          <w:rFonts w:ascii="Times New Roman" w:hAnsi="Times New Roman" w:cs="Times New Roman"/>
          <w:sz w:val="20"/>
          <w:szCs w:val="20"/>
        </w:rPr>
        <w:t xml:space="preserve"> represent measured variables. P</w:t>
      </w:r>
      <w:r>
        <w:rPr>
          <w:rFonts w:ascii="Times New Roman" w:hAnsi="Times New Roman" w:cs="Times New Roman"/>
          <w:sz w:val="20"/>
          <w:szCs w:val="20"/>
          <w:vertAlign w:val="subscript"/>
        </w:rPr>
        <w:t>above-ground</w:t>
      </w:r>
      <w:r>
        <w:rPr>
          <w:rFonts w:ascii="Times New Roman" w:hAnsi="Times New Roman" w:cs="Times New Roman"/>
          <w:sz w:val="20"/>
          <w:szCs w:val="20"/>
        </w:rPr>
        <w:t>: phosphorus content in above-ground parts of moss; P</w:t>
      </w:r>
      <w:r>
        <w:rPr>
          <w:rFonts w:ascii="Times New Roman" w:hAnsi="Times New Roman" w:cs="Times New Roman"/>
          <w:sz w:val="20"/>
          <w:szCs w:val="20"/>
          <w:vertAlign w:val="subscript"/>
        </w:rPr>
        <w:t>below-ground</w:t>
      </w:r>
      <w:r>
        <w:rPr>
          <w:rFonts w:ascii="Times New Roman" w:hAnsi="Times New Roman" w:cs="Times New Roman"/>
          <w:sz w:val="20"/>
          <w:szCs w:val="20"/>
        </w:rPr>
        <w:t xml:space="preserve">: phosphorus content in below-ground parts of moss; Siol TP: soil total phosphorus content; Soil AP: soil available phosphorus content. Standardized path coefficients are displayed, with the width of each arrow equivalent to the strength of the path. </w:t>
      </w:r>
      <w:r>
        <w:rPr>
          <w:rFonts w:ascii="Times New Roman" w:hAnsi="Times New Roman" w:cs="Times New Roman"/>
          <w:i/>
          <w:sz w:val="20"/>
          <w:szCs w:val="20"/>
        </w:rPr>
        <w:t>Solid lines</w:t>
      </w:r>
      <w:r>
        <w:rPr>
          <w:rFonts w:ascii="Times New Roman" w:hAnsi="Times New Roman" w:cs="Times New Roman"/>
          <w:sz w:val="20"/>
          <w:szCs w:val="20"/>
        </w:rPr>
        <w:t xml:space="preserve"> represent the positive paths. </w:t>
      </w:r>
      <w:r>
        <w:rPr>
          <w:rFonts w:ascii="Times New Roman" w:hAnsi="Times New Roman" w:cs="Times New Roman"/>
          <w:i/>
          <w:sz w:val="20"/>
          <w:szCs w:val="20"/>
        </w:rPr>
        <w:t>Dashed lines</w:t>
      </w:r>
      <w:r>
        <w:rPr>
          <w:rFonts w:ascii="Times New Roman" w:hAnsi="Times New Roman" w:cs="Times New Roman"/>
          <w:sz w:val="20"/>
          <w:szCs w:val="20"/>
        </w:rPr>
        <w:t xml:space="preserve"> indicate negative paths. The total amount of variance (R</w:t>
      </w:r>
      <w:r>
        <w:rPr>
          <w:rFonts w:ascii="Times New Roman" w:hAnsi="Times New Roman" w:cs="Times New Roman"/>
          <w:sz w:val="20"/>
          <w:szCs w:val="20"/>
          <w:vertAlign w:val="superscript"/>
        </w:rPr>
        <w:t>2</w:t>
      </w:r>
      <w:r>
        <w:rPr>
          <w:rFonts w:ascii="Times New Roman" w:hAnsi="Times New Roman" w:cs="Times New Roman"/>
          <w:sz w:val="20"/>
          <w:szCs w:val="20"/>
        </w:rPr>
        <w:t xml:space="preserve">) explained for each endogenous variable (that is, those with arrows pointing to them) is given on the top right of the variable. Corresponding probability values are included when </w:t>
      </w:r>
      <w:r>
        <w:rPr>
          <w:rFonts w:ascii="Times New Roman" w:hAnsi="Times New Roman" w:cs="Times New Roman"/>
          <w:i/>
          <w:sz w:val="20"/>
          <w:szCs w:val="20"/>
        </w:rPr>
        <w:t>P</w:t>
      </w:r>
      <w:r>
        <w:rPr>
          <w:rFonts w:ascii="Times New Roman" w:hAnsi="Times New Roman" w:cs="Times New Roman"/>
          <w:sz w:val="20"/>
          <w:szCs w:val="20"/>
        </w:rPr>
        <w:t xml:space="preserve">&lt;0.20 (++ </w:t>
      </w:r>
      <w:r>
        <w:rPr>
          <w:rFonts w:ascii="Times New Roman" w:hAnsi="Times New Roman" w:cs="Times New Roman"/>
          <w:i/>
          <w:sz w:val="20"/>
          <w:szCs w:val="20"/>
        </w:rPr>
        <w:t>P</w:t>
      </w:r>
      <w:r>
        <w:rPr>
          <w:rFonts w:ascii="Times New Roman" w:hAnsi="Times New Roman" w:cs="Times New Roman"/>
          <w:sz w:val="20"/>
          <w:szCs w:val="20"/>
        </w:rPr>
        <w:t xml:space="preserve">&lt; 0.20, + </w:t>
      </w:r>
      <w:r>
        <w:rPr>
          <w:rFonts w:ascii="Times New Roman" w:hAnsi="Times New Roman" w:cs="Times New Roman"/>
          <w:i/>
          <w:sz w:val="20"/>
          <w:szCs w:val="20"/>
        </w:rPr>
        <w:t>P</w:t>
      </w:r>
      <w:r>
        <w:rPr>
          <w:rFonts w:ascii="Times New Roman" w:hAnsi="Times New Roman" w:cs="Times New Roman"/>
          <w:sz w:val="20"/>
          <w:szCs w:val="20"/>
        </w:rPr>
        <w:t xml:space="preserve">&lt; 0.10, * </w:t>
      </w:r>
      <w:r>
        <w:rPr>
          <w:rFonts w:ascii="Times New Roman" w:hAnsi="Times New Roman" w:cs="Times New Roman"/>
          <w:i/>
          <w:sz w:val="20"/>
          <w:szCs w:val="20"/>
        </w:rPr>
        <w:t>P</w:t>
      </w:r>
      <w:r>
        <w:rPr>
          <w:rFonts w:ascii="Times New Roman" w:hAnsi="Times New Roman" w:cs="Times New Roman"/>
          <w:sz w:val="20"/>
          <w:szCs w:val="20"/>
        </w:rPr>
        <w:t xml:space="preserve">&lt; 0.05, ** </w:t>
      </w:r>
      <w:r>
        <w:rPr>
          <w:rFonts w:ascii="Times New Roman" w:hAnsi="Times New Roman" w:cs="Times New Roman"/>
          <w:i/>
          <w:sz w:val="20"/>
          <w:szCs w:val="20"/>
        </w:rPr>
        <w:t>P</w:t>
      </w:r>
      <w:r>
        <w:rPr>
          <w:rFonts w:ascii="Times New Roman" w:hAnsi="Times New Roman" w:cs="Times New Roman"/>
          <w:sz w:val="20"/>
          <w:szCs w:val="20"/>
        </w:rPr>
        <w:t xml:space="preserve">&lt; 0.01, *** </w:t>
      </w:r>
      <w:r>
        <w:rPr>
          <w:rFonts w:ascii="Times New Roman" w:hAnsi="Times New Roman" w:cs="Times New Roman"/>
          <w:i/>
          <w:sz w:val="20"/>
          <w:szCs w:val="20"/>
        </w:rPr>
        <w:t>P</w:t>
      </w:r>
      <w:r>
        <w:rPr>
          <w:rFonts w:ascii="Times New Roman" w:hAnsi="Times New Roman" w:cs="Times New Roman"/>
          <w:sz w:val="20"/>
          <w:szCs w:val="20"/>
        </w:rPr>
        <w:t xml:space="preserve">&lt; 0.001). The fit of the model was satisfactory (GFI=0.993, AGFI=0.963, RMSEA=0.000, Chi-square=0.527, </w:t>
      </w:r>
      <w:r>
        <w:rPr>
          <w:rFonts w:ascii="Times New Roman" w:hAnsi="Times New Roman" w:cs="Times New Roman"/>
          <w:i/>
          <w:sz w:val="20"/>
          <w:szCs w:val="20"/>
        </w:rPr>
        <w:t>P</w:t>
      </w:r>
      <w:r>
        <w:rPr>
          <w:rFonts w:ascii="Times New Roman" w:hAnsi="Times New Roman" w:cs="Times New Roman"/>
          <w:sz w:val="20"/>
          <w:szCs w:val="20"/>
        </w:rPr>
        <w:t>=0.768).</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drawing>
          <wp:inline distT="0" distB="0" distL="0" distR="0">
            <wp:extent cx="4043680" cy="259969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061802" cy="2611802"/>
                    </a:xfrm>
                    <a:prstGeom prst="rect">
                      <a:avLst/>
                    </a:prstGeom>
                    <a:noFill/>
                  </pic:spPr>
                </pic:pic>
              </a:graphicData>
            </a:graphic>
          </wp:inline>
        </w:drawing>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Fig. </w:t>
      </w:r>
      <w:r>
        <w:rPr>
          <w:rFonts w:hint="eastAsia" w:ascii="Times New Roman" w:hAnsi="Times New Roman" w:cs="Times New Roman"/>
          <w:sz w:val="20"/>
          <w:szCs w:val="20"/>
          <w:lang w:val="en-US" w:eastAsia="zh-CN"/>
        </w:rPr>
        <w:t>S7</w:t>
      </w:r>
      <w:r>
        <w:rPr>
          <w:rFonts w:ascii="Times New Roman" w:hAnsi="Times New Roman" w:cs="Times New Roman"/>
          <w:sz w:val="20"/>
          <w:szCs w:val="20"/>
        </w:rPr>
        <w:t xml:space="preserve"> Final fitted structural equation models depicting relative effects of soil K and moss K content in above-ground and below-ground parts. </w:t>
      </w:r>
      <w:r>
        <w:rPr>
          <w:rFonts w:ascii="Times New Roman" w:hAnsi="Times New Roman" w:cs="Times New Roman"/>
          <w:i/>
          <w:sz w:val="20"/>
          <w:szCs w:val="20"/>
        </w:rPr>
        <w:t>Boxes</w:t>
      </w:r>
      <w:r>
        <w:rPr>
          <w:rFonts w:ascii="Times New Roman" w:hAnsi="Times New Roman" w:cs="Times New Roman"/>
          <w:sz w:val="20"/>
          <w:szCs w:val="20"/>
        </w:rPr>
        <w:t xml:space="preserve"> represent measured variables. K</w:t>
      </w:r>
      <w:r>
        <w:rPr>
          <w:rFonts w:ascii="Times New Roman" w:hAnsi="Times New Roman" w:cs="Times New Roman"/>
          <w:sz w:val="20"/>
          <w:szCs w:val="20"/>
          <w:vertAlign w:val="subscript"/>
        </w:rPr>
        <w:t>above-ground</w:t>
      </w:r>
      <w:r>
        <w:rPr>
          <w:rFonts w:ascii="Times New Roman" w:hAnsi="Times New Roman" w:cs="Times New Roman"/>
          <w:sz w:val="20"/>
          <w:szCs w:val="20"/>
        </w:rPr>
        <w:t>: potassium content in above-ground parts of moss; K</w:t>
      </w:r>
      <w:r>
        <w:rPr>
          <w:rFonts w:ascii="Times New Roman" w:hAnsi="Times New Roman" w:cs="Times New Roman"/>
          <w:sz w:val="20"/>
          <w:szCs w:val="20"/>
          <w:vertAlign w:val="subscript"/>
        </w:rPr>
        <w:t>below-ground</w:t>
      </w:r>
      <w:r>
        <w:rPr>
          <w:rFonts w:ascii="Times New Roman" w:hAnsi="Times New Roman" w:cs="Times New Roman"/>
          <w:sz w:val="20"/>
          <w:szCs w:val="20"/>
        </w:rPr>
        <w:t xml:space="preserve">: potassium content in below-ground parts of moss; Siol TK: soil total potassium content; Soil AK: soil available potassium content. Standardized path coefficients are displayed, with the width of each arrow equivalent to the strength of the path. </w:t>
      </w:r>
      <w:r>
        <w:rPr>
          <w:rFonts w:ascii="Times New Roman" w:hAnsi="Times New Roman" w:cs="Times New Roman"/>
          <w:i/>
          <w:sz w:val="20"/>
          <w:szCs w:val="20"/>
        </w:rPr>
        <w:t>Solid lines</w:t>
      </w:r>
      <w:r>
        <w:rPr>
          <w:rFonts w:ascii="Times New Roman" w:hAnsi="Times New Roman" w:cs="Times New Roman"/>
          <w:sz w:val="20"/>
          <w:szCs w:val="20"/>
        </w:rPr>
        <w:t xml:space="preserve"> represent the positive paths. </w:t>
      </w:r>
      <w:r>
        <w:rPr>
          <w:rFonts w:ascii="Times New Roman" w:hAnsi="Times New Roman" w:cs="Times New Roman"/>
          <w:i/>
          <w:sz w:val="20"/>
          <w:szCs w:val="20"/>
        </w:rPr>
        <w:t>Dashed lines</w:t>
      </w:r>
      <w:r>
        <w:rPr>
          <w:rFonts w:ascii="Times New Roman" w:hAnsi="Times New Roman" w:cs="Times New Roman"/>
          <w:sz w:val="20"/>
          <w:szCs w:val="20"/>
        </w:rPr>
        <w:t xml:space="preserve"> indicate negative paths. The total amount of variance (R</w:t>
      </w:r>
      <w:r>
        <w:rPr>
          <w:rFonts w:ascii="Times New Roman" w:hAnsi="Times New Roman" w:cs="Times New Roman"/>
          <w:sz w:val="20"/>
          <w:szCs w:val="20"/>
          <w:vertAlign w:val="superscript"/>
        </w:rPr>
        <w:t>2</w:t>
      </w:r>
      <w:r>
        <w:rPr>
          <w:rFonts w:ascii="Times New Roman" w:hAnsi="Times New Roman" w:cs="Times New Roman"/>
          <w:sz w:val="20"/>
          <w:szCs w:val="20"/>
        </w:rPr>
        <w:t xml:space="preserve">) explained for each endogenous variable (that is, those with arrows pointing to them) is given on the top right of the variable. Corresponding probability values are included when </w:t>
      </w:r>
      <w:r>
        <w:rPr>
          <w:rFonts w:ascii="Times New Roman" w:hAnsi="Times New Roman" w:cs="Times New Roman"/>
          <w:i/>
          <w:sz w:val="20"/>
          <w:szCs w:val="20"/>
        </w:rPr>
        <w:t>P</w:t>
      </w:r>
      <w:r>
        <w:rPr>
          <w:rFonts w:ascii="Times New Roman" w:hAnsi="Times New Roman" w:cs="Times New Roman"/>
          <w:sz w:val="20"/>
          <w:szCs w:val="20"/>
        </w:rPr>
        <w:t xml:space="preserve">&lt;0.20 (++ </w:t>
      </w:r>
      <w:r>
        <w:rPr>
          <w:rFonts w:ascii="Times New Roman" w:hAnsi="Times New Roman" w:cs="Times New Roman"/>
          <w:i/>
          <w:sz w:val="20"/>
          <w:szCs w:val="20"/>
        </w:rPr>
        <w:t>P</w:t>
      </w:r>
      <w:r>
        <w:rPr>
          <w:rFonts w:ascii="Times New Roman" w:hAnsi="Times New Roman" w:cs="Times New Roman"/>
          <w:sz w:val="20"/>
          <w:szCs w:val="20"/>
        </w:rPr>
        <w:t xml:space="preserve">&lt; 0.20, + </w:t>
      </w:r>
      <w:r>
        <w:rPr>
          <w:rFonts w:ascii="Times New Roman" w:hAnsi="Times New Roman" w:cs="Times New Roman"/>
          <w:i/>
          <w:sz w:val="20"/>
          <w:szCs w:val="20"/>
        </w:rPr>
        <w:t>P</w:t>
      </w:r>
      <w:r>
        <w:rPr>
          <w:rFonts w:ascii="Times New Roman" w:hAnsi="Times New Roman" w:cs="Times New Roman"/>
          <w:sz w:val="20"/>
          <w:szCs w:val="20"/>
        </w:rPr>
        <w:t xml:space="preserve">&lt; 0.10, * </w:t>
      </w:r>
      <w:r>
        <w:rPr>
          <w:rFonts w:ascii="Times New Roman" w:hAnsi="Times New Roman" w:cs="Times New Roman"/>
          <w:i/>
          <w:sz w:val="20"/>
          <w:szCs w:val="20"/>
        </w:rPr>
        <w:t>P</w:t>
      </w:r>
      <w:r>
        <w:rPr>
          <w:rFonts w:ascii="Times New Roman" w:hAnsi="Times New Roman" w:cs="Times New Roman"/>
          <w:sz w:val="20"/>
          <w:szCs w:val="20"/>
        </w:rPr>
        <w:t xml:space="preserve">&lt; 0.05, ** </w:t>
      </w:r>
      <w:r>
        <w:rPr>
          <w:rFonts w:ascii="Times New Roman" w:hAnsi="Times New Roman" w:cs="Times New Roman"/>
          <w:i/>
          <w:sz w:val="20"/>
          <w:szCs w:val="20"/>
        </w:rPr>
        <w:t>P</w:t>
      </w:r>
      <w:r>
        <w:rPr>
          <w:rFonts w:ascii="Times New Roman" w:hAnsi="Times New Roman" w:cs="Times New Roman"/>
          <w:sz w:val="20"/>
          <w:szCs w:val="20"/>
        </w:rPr>
        <w:t xml:space="preserve">&lt; 0.01, *** </w:t>
      </w:r>
      <w:r>
        <w:rPr>
          <w:rFonts w:ascii="Times New Roman" w:hAnsi="Times New Roman" w:cs="Times New Roman"/>
          <w:i/>
          <w:sz w:val="20"/>
          <w:szCs w:val="20"/>
        </w:rPr>
        <w:t>P</w:t>
      </w:r>
      <w:r>
        <w:rPr>
          <w:rFonts w:ascii="Times New Roman" w:hAnsi="Times New Roman" w:cs="Times New Roman"/>
          <w:sz w:val="20"/>
          <w:szCs w:val="20"/>
        </w:rPr>
        <w:t xml:space="preserve">&lt; 0.001). The fit of the model was satisfactory (GFI=0.984, AGFI=0.979, RMSEA=0.000, Chi-square=1.165, </w:t>
      </w:r>
      <w:r>
        <w:rPr>
          <w:rFonts w:ascii="Times New Roman" w:hAnsi="Times New Roman" w:cs="Times New Roman"/>
          <w:i/>
          <w:sz w:val="20"/>
          <w:szCs w:val="20"/>
        </w:rPr>
        <w:t>P</w:t>
      </w:r>
      <w:r>
        <w:rPr>
          <w:rFonts w:ascii="Times New Roman" w:hAnsi="Times New Roman" w:cs="Times New Roman"/>
          <w:sz w:val="20"/>
          <w:szCs w:val="20"/>
        </w:rPr>
        <w:t>=0.559).</w:t>
      </w: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1NjYxA5IGBsbmlko6SsGpxcWZ+XkgBUa1APhegQYsAAAA"/>
  </w:docVars>
  <w:rsids>
    <w:rsidRoot w:val="00306DDF"/>
    <w:rsid w:val="000361CF"/>
    <w:rsid w:val="000802DB"/>
    <w:rsid w:val="00081BA3"/>
    <w:rsid w:val="000D006A"/>
    <w:rsid w:val="00141401"/>
    <w:rsid w:val="00152630"/>
    <w:rsid w:val="00181BEA"/>
    <w:rsid w:val="00220466"/>
    <w:rsid w:val="00245681"/>
    <w:rsid w:val="002A71C3"/>
    <w:rsid w:val="002B35B6"/>
    <w:rsid w:val="002E5090"/>
    <w:rsid w:val="002F2FFE"/>
    <w:rsid w:val="00304598"/>
    <w:rsid w:val="00306DDF"/>
    <w:rsid w:val="00317C4C"/>
    <w:rsid w:val="003876D2"/>
    <w:rsid w:val="003D43DF"/>
    <w:rsid w:val="003F758A"/>
    <w:rsid w:val="00460518"/>
    <w:rsid w:val="005E52D2"/>
    <w:rsid w:val="005E5CF9"/>
    <w:rsid w:val="00611CF0"/>
    <w:rsid w:val="00616062"/>
    <w:rsid w:val="006506D2"/>
    <w:rsid w:val="006757A5"/>
    <w:rsid w:val="006E039A"/>
    <w:rsid w:val="0074144C"/>
    <w:rsid w:val="00741C32"/>
    <w:rsid w:val="0079269C"/>
    <w:rsid w:val="00800A63"/>
    <w:rsid w:val="008A1501"/>
    <w:rsid w:val="008A6F0F"/>
    <w:rsid w:val="008B31C1"/>
    <w:rsid w:val="009512D6"/>
    <w:rsid w:val="009B583E"/>
    <w:rsid w:val="009E7814"/>
    <w:rsid w:val="00A26148"/>
    <w:rsid w:val="00A467E4"/>
    <w:rsid w:val="00A807B3"/>
    <w:rsid w:val="00A93D2E"/>
    <w:rsid w:val="00A9798E"/>
    <w:rsid w:val="00AA5E23"/>
    <w:rsid w:val="00AF2ADD"/>
    <w:rsid w:val="00B0095A"/>
    <w:rsid w:val="00B14A1F"/>
    <w:rsid w:val="00B4084C"/>
    <w:rsid w:val="00B40D27"/>
    <w:rsid w:val="00B90277"/>
    <w:rsid w:val="00BD1E41"/>
    <w:rsid w:val="00C56B6D"/>
    <w:rsid w:val="00C7644E"/>
    <w:rsid w:val="00CA412F"/>
    <w:rsid w:val="00CE4559"/>
    <w:rsid w:val="00CF2CFF"/>
    <w:rsid w:val="00D65336"/>
    <w:rsid w:val="00D71A0A"/>
    <w:rsid w:val="00DB5691"/>
    <w:rsid w:val="00DC735C"/>
    <w:rsid w:val="00DD1E0A"/>
    <w:rsid w:val="00E25398"/>
    <w:rsid w:val="00E43293"/>
    <w:rsid w:val="00E814B3"/>
    <w:rsid w:val="00EC3120"/>
    <w:rsid w:val="00EF1C97"/>
    <w:rsid w:val="00EF6F3B"/>
    <w:rsid w:val="00F002CA"/>
    <w:rsid w:val="00F03853"/>
    <w:rsid w:val="00F53BB2"/>
    <w:rsid w:val="00FD1707"/>
    <w:rsid w:val="233D23C2"/>
    <w:rsid w:val="30D65EF2"/>
    <w:rsid w:val="3DE57545"/>
    <w:rsid w:val="487073B8"/>
    <w:rsid w:val="4CB63DAF"/>
    <w:rsid w:val="4EAD72B1"/>
    <w:rsid w:val="518B0A22"/>
    <w:rsid w:val="5A072514"/>
    <w:rsid w:val="5FA60386"/>
    <w:rsid w:val="6D032E1E"/>
    <w:rsid w:val="78374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768</Words>
  <Characters>4378</Characters>
  <Lines>36</Lines>
  <Paragraphs>10</Paragraphs>
  <TotalTime>40</TotalTime>
  <ScaleCrop>false</ScaleCrop>
  <LinksUpToDate>false</LinksUpToDate>
  <CharactersWithSpaces>5136</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2020-09-03T13:51:00Z</dcterms:created>
  <dc:creator>Lyg</dc:creator>
  <cp:lastModifiedBy>lyg</cp:lastModifiedBy>
  <dcterms:modified xsi:type="dcterms:W3CDTF">2021-03-12T05:51:58Z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