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0266F8" w14:textId="6228114D" w:rsidR="0062305D" w:rsidRDefault="00A70AEF">
      <w:pPr>
        <w:rPr>
          <w:rFonts w:ascii="Arial" w:hAnsi="Arial" w:cs="Arial"/>
          <w:b/>
          <w:bCs/>
          <w:sz w:val="24"/>
          <w:szCs w:val="24"/>
        </w:rPr>
      </w:pPr>
      <w:r w:rsidRPr="00A70AEF">
        <w:rPr>
          <w:rFonts w:ascii="Arial" w:hAnsi="Arial" w:cs="Arial"/>
          <w:b/>
          <w:bCs/>
          <w:sz w:val="24"/>
          <w:szCs w:val="24"/>
        </w:rPr>
        <w:t>(Additional File 8)</w:t>
      </w:r>
    </w:p>
    <w:p w14:paraId="09122CB8" w14:textId="77777777" w:rsidR="00A70AEF" w:rsidRDefault="00A70AEF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794"/>
        <w:gridCol w:w="1715"/>
        <w:gridCol w:w="1441"/>
        <w:gridCol w:w="1123"/>
        <w:gridCol w:w="1125"/>
        <w:gridCol w:w="631"/>
        <w:gridCol w:w="631"/>
        <w:gridCol w:w="1439"/>
        <w:gridCol w:w="901"/>
      </w:tblGrid>
      <w:tr w:rsidR="00A70AEF" w:rsidRPr="00140CFB" w14:paraId="563A63A5" w14:textId="77777777" w:rsidTr="000E4DAC">
        <w:trPr>
          <w:trHeight w:val="314"/>
        </w:trPr>
        <w:tc>
          <w:tcPr>
            <w:tcW w:w="5000" w:type="pct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93D88" w14:textId="77777777" w:rsidR="00A70AEF" w:rsidRPr="00140CFB" w:rsidRDefault="00A70AEF" w:rsidP="000E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bookmarkStart w:id="0" w:name="_Hlk164413854"/>
            <w:r w:rsidRPr="00140CF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Supplementary Table 5. Diagnostic performance of previously published cutoffs for DMT eligibility screening.</w:t>
            </w:r>
            <w:bookmarkEnd w:id="0"/>
          </w:p>
        </w:tc>
      </w:tr>
      <w:tr w:rsidR="00A70AEF" w:rsidRPr="00140CFB" w14:paraId="4D2765EF" w14:textId="77777777" w:rsidTr="000E4DAC">
        <w:trPr>
          <w:trHeight w:val="556"/>
        </w:trPr>
        <w:tc>
          <w:tcPr>
            <w:tcW w:w="8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D9799" w14:textId="77777777" w:rsidR="00A70AEF" w:rsidRPr="00140CFB" w:rsidRDefault="00A70AEF" w:rsidP="000E4DA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Model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D7637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Cutoffs</w:t>
            </w: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  <w:vertAlign w:val="superscript"/>
              </w:rPr>
              <w:t>1</w:t>
            </w: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1D2CE736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([P-tau217], </w:t>
            </w:r>
            <w:proofErr w:type="spellStart"/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pg</w:t>
            </w:r>
            <w:proofErr w:type="spellEnd"/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/mL)</w:t>
            </w:r>
          </w:p>
        </w:tc>
        <w:tc>
          <w:tcPr>
            <w:tcW w:w="6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EC42E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Total N</w:t>
            </w:r>
          </w:p>
          <w:p w14:paraId="71A8F013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(Intermediate N)</w:t>
            </w:r>
          </w:p>
        </w:tc>
        <w:tc>
          <w:tcPr>
            <w:tcW w:w="5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F0129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Specificity</w:t>
            </w:r>
          </w:p>
        </w:tc>
        <w:tc>
          <w:tcPr>
            <w:tcW w:w="5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C7043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Sensitivity</w:t>
            </w:r>
          </w:p>
        </w:tc>
        <w:tc>
          <w:tcPr>
            <w:tcW w:w="2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BA99C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NPV</w:t>
            </w:r>
          </w:p>
        </w:tc>
        <w:tc>
          <w:tcPr>
            <w:tcW w:w="2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69565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PPV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E27B8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Accuracy</w:t>
            </w: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E6AA7E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p-value</w:t>
            </w:r>
            <w:r w:rsidRPr="00140CFB">
              <w:rPr>
                <w:rFonts w:ascii="Arial" w:eastAsia="Times New Roman" w:hAnsi="Arial" w:cs="Arial"/>
                <w:b/>
                <w:bCs/>
                <w:sz w:val="16"/>
                <w:szCs w:val="16"/>
                <w:vertAlign w:val="superscript"/>
              </w:rPr>
              <w:t>3</w:t>
            </w:r>
          </w:p>
        </w:tc>
      </w:tr>
      <w:tr w:rsidR="00A70AEF" w:rsidRPr="00140CFB" w14:paraId="35F7A637" w14:textId="77777777" w:rsidTr="000E4DAC">
        <w:trPr>
          <w:trHeight w:val="287"/>
        </w:trPr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E6A92" w14:textId="77777777" w:rsidR="00A70AEF" w:rsidRPr="00140CFB" w:rsidRDefault="00A70AE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One-cutoff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60B2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0.22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57AC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50E25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0.33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5ECF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1.00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DFBF9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1.00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51F4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CD6F5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0.84 (0.71, 0.93)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3C43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0.121</w:t>
            </w:r>
          </w:p>
        </w:tc>
      </w:tr>
      <w:tr w:rsidR="00A70AEF" w:rsidRPr="00140CFB" w14:paraId="295F63C7" w14:textId="77777777" w:rsidTr="000E4DAC">
        <w:trPr>
          <w:trHeight w:val="287"/>
        </w:trPr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05794" w14:textId="77777777" w:rsidR="00A70AEF" w:rsidRPr="00140CFB" w:rsidRDefault="00A70AE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Two-cutoff (Inclusive)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D389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0.159, 0.219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F189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50 (1)</w:t>
            </w:r>
            <w:r w:rsidRPr="00140CFB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C22D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0.33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150A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1.00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6C831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1.00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FC68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FE52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0.84 (0.71, 0.93)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4FC7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0.121</w:t>
            </w:r>
          </w:p>
        </w:tc>
      </w:tr>
      <w:tr w:rsidR="00A70AEF" w:rsidRPr="00140CFB" w14:paraId="6D146711" w14:textId="77777777" w:rsidTr="000E4DAC">
        <w:trPr>
          <w:trHeight w:val="252"/>
        </w:trPr>
        <w:tc>
          <w:tcPr>
            <w:tcW w:w="83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3A501" w14:textId="77777777" w:rsidR="00A70AEF" w:rsidRPr="00140CFB" w:rsidRDefault="00A70AE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Two-cutoff (Exclusive)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5DFDCB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0.159, 0.219</w:t>
            </w:r>
          </w:p>
        </w:tc>
        <w:tc>
          <w:tcPr>
            <w:tcW w:w="6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E13D5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5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ABD056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0.27</w:t>
            </w:r>
          </w:p>
        </w:tc>
        <w:tc>
          <w:tcPr>
            <w:tcW w:w="5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433C2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1.00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25C04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1.00</w:t>
            </w:r>
          </w:p>
        </w:tc>
        <w:tc>
          <w:tcPr>
            <w:tcW w:w="2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0C451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0.83</w:t>
            </w:r>
          </w:p>
        </w:tc>
        <w:tc>
          <w:tcPr>
            <w:tcW w:w="6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8407B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0.84 (0.71, 0.93)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E551F" w14:textId="77777777" w:rsidR="00A70AEF" w:rsidRPr="00140CFB" w:rsidRDefault="00A70AEF" w:rsidP="000E4DA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0.198</w:t>
            </w:r>
          </w:p>
        </w:tc>
      </w:tr>
      <w:tr w:rsidR="00A70AEF" w:rsidRPr="00140CFB" w14:paraId="5DCEA297" w14:textId="77777777" w:rsidTr="000E4DAC">
        <w:trPr>
          <w:trHeight w:val="610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2EB17" w14:textId="77777777" w:rsidR="00A70AEF" w:rsidRPr="00140CFB" w:rsidRDefault="00A70AE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1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Cutoffs were derived from Swedish BioFINDER-2 then applied to the Test Cohort (N = 50), see Mattsson-Carlgren et al ***.</w:t>
            </w:r>
          </w:p>
          <w:p w14:paraId="4AC1AB32" w14:textId="77777777" w:rsidR="00A70AEF" w:rsidRPr="00140CFB" w:rsidRDefault="00A70AE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2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Accuracy is reported with 95% CI. </w:t>
            </w:r>
          </w:p>
          <w:p w14:paraId="02D16ED7" w14:textId="77777777" w:rsidR="00A70AEF" w:rsidRPr="00140CFB" w:rsidRDefault="00A70AE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3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P-value: accuracy of model prediction of cerebral Aβ status compared to the no information rate. </w:t>
            </w:r>
          </w:p>
          <w:p w14:paraId="3795E122" w14:textId="77777777" w:rsidR="00A70AEF" w:rsidRPr="00140CFB" w:rsidRDefault="00A70AEF" w:rsidP="000E4DAC">
            <w:pPr>
              <w:spacing w:after="0" w:line="240" w:lineRule="auto"/>
              <w:rPr>
                <w:rFonts w:ascii="Arial" w:hAnsi="Arial" w:cs="Arial"/>
                <w:sz w:val="16"/>
                <w:szCs w:val="16"/>
                <w:shd w:val="clear" w:color="auto" w:fill="FFFFFF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4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 xml:space="preserve">Analysis </w:t>
            </w:r>
            <w:r w:rsidRPr="00140CFB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identified 2 Aβ negative participants in the intermediate “gray zone” (1/50 = 2.5%).</w:t>
            </w:r>
          </w:p>
          <w:p w14:paraId="0BEAA395" w14:textId="77777777" w:rsidR="00A70AEF" w:rsidRPr="00140CFB" w:rsidRDefault="00A70AE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140CFB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5</w:t>
            </w:r>
            <w:r w:rsidRPr="00140CFB">
              <w:rPr>
                <w:rFonts w:ascii="Arial" w:eastAsia="Times New Roman" w:hAnsi="Arial" w:cs="Arial"/>
                <w:sz w:val="16"/>
                <w:szCs w:val="16"/>
              </w:rPr>
              <w:t>Remaining sample size after removal of 1 intermediate case.</w:t>
            </w:r>
          </w:p>
          <w:p w14:paraId="43924785" w14:textId="77777777" w:rsidR="00A70AEF" w:rsidRPr="00140CFB" w:rsidRDefault="00A70AEF" w:rsidP="000E4DA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14:paraId="5B405C90" w14:textId="77777777" w:rsidR="00A70AEF" w:rsidRPr="00140CFB" w:rsidRDefault="00A70AEF" w:rsidP="00A70AEF">
      <w:pPr>
        <w:jc w:val="both"/>
        <w:rPr>
          <w:rFonts w:ascii="Arial" w:eastAsia="Arial" w:hAnsi="Arial" w:cs="Arial"/>
          <w:b/>
          <w:bCs/>
          <w:u w:val="single"/>
        </w:rPr>
      </w:pPr>
    </w:p>
    <w:p w14:paraId="4F2BD4C2" w14:textId="77777777" w:rsidR="00A70AEF" w:rsidRPr="00140CFB" w:rsidRDefault="00A70AEF" w:rsidP="00A70AEF">
      <w:pPr>
        <w:jc w:val="both"/>
        <w:rPr>
          <w:rFonts w:ascii="Arial" w:eastAsia="Arial" w:hAnsi="Arial" w:cs="Arial"/>
        </w:rPr>
      </w:pPr>
      <w:r w:rsidRPr="00140CFB">
        <w:rPr>
          <w:rFonts w:ascii="Arial" w:eastAsia="Arial" w:hAnsi="Arial" w:cs="Arial"/>
          <w:b/>
          <w:bCs/>
          <w:u w:val="single"/>
        </w:rPr>
        <w:t>Reference</w:t>
      </w:r>
      <w:r w:rsidRPr="00140CFB">
        <w:rPr>
          <w:rFonts w:ascii="Arial" w:eastAsia="Arial" w:hAnsi="Arial" w:cs="Arial"/>
          <w:b/>
          <w:bCs/>
        </w:rPr>
        <w:t>:</w:t>
      </w:r>
      <w:r w:rsidRPr="00140CFB">
        <w:rPr>
          <w:rFonts w:ascii="Arial" w:eastAsia="Arial" w:hAnsi="Arial" w:cs="Arial"/>
        </w:rPr>
        <w:t xml:space="preserve"> </w:t>
      </w:r>
    </w:p>
    <w:p w14:paraId="5F8DE526" w14:textId="77777777" w:rsidR="00A70AEF" w:rsidRPr="00140CFB" w:rsidRDefault="00A70AEF" w:rsidP="00A70AEF">
      <w:pPr>
        <w:spacing w:line="480" w:lineRule="auto"/>
        <w:rPr>
          <w:rFonts w:ascii="Arial" w:eastAsia="Arial" w:hAnsi="Arial" w:cs="Arial"/>
        </w:rPr>
      </w:pPr>
      <w:r w:rsidRPr="00140CFB">
        <w:rPr>
          <w:rFonts w:ascii="Arial" w:eastAsia="Arial" w:hAnsi="Arial" w:cs="Arial"/>
        </w:rPr>
        <w:t xml:space="preserve">Mattsson-Carlgren N, </w:t>
      </w:r>
      <w:proofErr w:type="spellStart"/>
      <w:r w:rsidRPr="00140CFB">
        <w:rPr>
          <w:rFonts w:ascii="Arial" w:eastAsia="Arial" w:hAnsi="Arial" w:cs="Arial"/>
        </w:rPr>
        <w:t>Collij</w:t>
      </w:r>
      <w:proofErr w:type="spellEnd"/>
      <w:r w:rsidRPr="00140CFB">
        <w:rPr>
          <w:rFonts w:ascii="Arial" w:eastAsia="Arial" w:hAnsi="Arial" w:cs="Arial"/>
        </w:rPr>
        <w:t xml:space="preserve"> LE, </w:t>
      </w:r>
      <w:proofErr w:type="spellStart"/>
      <w:r w:rsidRPr="00140CFB">
        <w:rPr>
          <w:rFonts w:ascii="Arial" w:eastAsia="Arial" w:hAnsi="Arial" w:cs="Arial"/>
        </w:rPr>
        <w:t>Stomrud</w:t>
      </w:r>
      <w:proofErr w:type="spellEnd"/>
      <w:r w:rsidRPr="00140CFB">
        <w:rPr>
          <w:rFonts w:ascii="Arial" w:eastAsia="Arial" w:hAnsi="Arial" w:cs="Arial"/>
        </w:rPr>
        <w:t xml:space="preserve"> E, </w:t>
      </w:r>
      <w:proofErr w:type="spellStart"/>
      <w:r w:rsidRPr="00140CFB">
        <w:rPr>
          <w:rFonts w:ascii="Arial" w:eastAsia="Arial" w:hAnsi="Arial" w:cs="Arial"/>
        </w:rPr>
        <w:t>Pichet</w:t>
      </w:r>
      <w:proofErr w:type="spellEnd"/>
      <w:r w:rsidRPr="00140CFB">
        <w:rPr>
          <w:rFonts w:ascii="Arial" w:eastAsia="Arial" w:hAnsi="Arial" w:cs="Arial"/>
        </w:rPr>
        <w:t xml:space="preserve"> Binette A, </w:t>
      </w:r>
      <w:proofErr w:type="spellStart"/>
      <w:r w:rsidRPr="00140CFB">
        <w:rPr>
          <w:rFonts w:ascii="Arial" w:eastAsia="Arial" w:hAnsi="Arial" w:cs="Arial"/>
        </w:rPr>
        <w:t>Ossenkoppele</w:t>
      </w:r>
      <w:proofErr w:type="spellEnd"/>
      <w:r w:rsidRPr="00140CFB">
        <w:rPr>
          <w:rFonts w:ascii="Arial" w:eastAsia="Arial" w:hAnsi="Arial" w:cs="Arial"/>
        </w:rPr>
        <w:t xml:space="preserve"> R, Smith R, et al. Plasma Biomarker Strategy for Selecting Patients </w:t>
      </w:r>
      <w:proofErr w:type="gramStart"/>
      <w:r w:rsidRPr="00140CFB">
        <w:rPr>
          <w:rFonts w:ascii="Arial" w:eastAsia="Arial" w:hAnsi="Arial" w:cs="Arial"/>
        </w:rPr>
        <w:t>With</w:t>
      </w:r>
      <w:proofErr w:type="gramEnd"/>
      <w:r w:rsidRPr="00140CFB">
        <w:rPr>
          <w:rFonts w:ascii="Arial" w:eastAsia="Arial" w:hAnsi="Arial" w:cs="Arial"/>
        </w:rPr>
        <w:t xml:space="preserve"> Alzheimer Disease for </w:t>
      </w:r>
      <w:proofErr w:type="spellStart"/>
      <w:r w:rsidRPr="00140CFB">
        <w:rPr>
          <w:rFonts w:ascii="Arial" w:eastAsia="Arial" w:hAnsi="Arial" w:cs="Arial"/>
        </w:rPr>
        <w:t>Antiamyloid</w:t>
      </w:r>
      <w:proofErr w:type="spellEnd"/>
      <w:r w:rsidRPr="00140CFB">
        <w:rPr>
          <w:rFonts w:ascii="Arial" w:eastAsia="Arial" w:hAnsi="Arial" w:cs="Arial"/>
        </w:rPr>
        <w:t xml:space="preserve"> Immunotherapies. JAMA Neurol. 2024 Jan 1;81(1):69–78.</w:t>
      </w:r>
    </w:p>
    <w:p w14:paraId="51B98BA2" w14:textId="77777777" w:rsidR="00A70AEF" w:rsidRPr="00A70AEF" w:rsidRDefault="00A70AEF">
      <w:pPr>
        <w:rPr>
          <w:rFonts w:ascii="Arial" w:hAnsi="Arial" w:cs="Arial"/>
          <w:b/>
          <w:bCs/>
          <w:sz w:val="24"/>
          <w:szCs w:val="24"/>
        </w:rPr>
      </w:pPr>
    </w:p>
    <w:sectPr w:rsidR="00A70AEF" w:rsidRPr="00A70AEF" w:rsidSect="00E854C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AEF"/>
    <w:rsid w:val="003129D3"/>
    <w:rsid w:val="00394BD6"/>
    <w:rsid w:val="0062305D"/>
    <w:rsid w:val="007F2006"/>
    <w:rsid w:val="00A11D8E"/>
    <w:rsid w:val="00A70AEF"/>
    <w:rsid w:val="00A83D40"/>
    <w:rsid w:val="00E85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ABD51"/>
  <w15:chartTrackingRefBased/>
  <w15:docId w15:val="{C1C4D40E-CA99-4953-A512-C60F2A058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Howe</dc:creator>
  <cp:keywords/>
  <dc:description/>
  <cp:lastModifiedBy>Matt Howe</cp:lastModifiedBy>
  <cp:revision>1</cp:revision>
  <dcterms:created xsi:type="dcterms:W3CDTF">2024-04-25T17:50:00Z</dcterms:created>
  <dcterms:modified xsi:type="dcterms:W3CDTF">2024-04-25T17:50:00Z</dcterms:modified>
</cp:coreProperties>
</file>