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BF454" w14:textId="41822D6C" w:rsidR="0062305D" w:rsidRPr="00535D18" w:rsidRDefault="00535D18">
      <w:pPr>
        <w:rPr>
          <w:rFonts w:ascii="Arial" w:hAnsi="Arial" w:cs="Arial"/>
          <w:b/>
          <w:bCs/>
          <w:sz w:val="24"/>
          <w:szCs w:val="24"/>
        </w:rPr>
      </w:pPr>
      <w:r w:rsidRPr="00535D18">
        <w:rPr>
          <w:rFonts w:ascii="Arial" w:hAnsi="Arial" w:cs="Arial"/>
          <w:b/>
          <w:bCs/>
          <w:sz w:val="24"/>
          <w:szCs w:val="24"/>
        </w:rPr>
        <w:t>(Additional File 3)</w:t>
      </w:r>
    </w:p>
    <w:p w14:paraId="67854CDF" w14:textId="77777777" w:rsidR="00535D18" w:rsidRPr="00535D18" w:rsidRDefault="00535D18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067"/>
        <w:gridCol w:w="2577"/>
        <w:gridCol w:w="2579"/>
        <w:gridCol w:w="2577"/>
      </w:tblGrid>
      <w:tr w:rsidR="00535D18" w:rsidRPr="00140CFB" w14:paraId="393ED8DE" w14:textId="77777777" w:rsidTr="000E4DAC">
        <w:trPr>
          <w:trHeight w:val="314"/>
        </w:trPr>
        <w:tc>
          <w:tcPr>
            <w:tcW w:w="5000" w:type="pct"/>
            <w:gridSpan w:val="4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49EE12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bookmarkStart w:id="0" w:name="_Hlk164413823"/>
            <w:r w:rsidRPr="00140CF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Supplementary Table 2. Logistic regression model for prediction of Aβ positivity</w:t>
            </w:r>
            <w:r w:rsidRPr="00140CFB">
              <w:rPr>
                <w:rFonts w:ascii="Arial" w:eastAsia="Arial" w:hAnsi="Arial" w:cs="Arial"/>
                <w:b/>
                <w:bCs/>
                <w:sz w:val="24"/>
                <w:szCs w:val="24"/>
              </w:rPr>
              <w:t>.</w:t>
            </w:r>
            <w:bookmarkEnd w:id="0"/>
          </w:p>
        </w:tc>
      </w:tr>
      <w:tr w:rsidR="00535D18" w:rsidRPr="00140CFB" w14:paraId="34119AA3" w14:textId="77777777" w:rsidTr="000E4DAC">
        <w:trPr>
          <w:trHeight w:val="294"/>
        </w:trPr>
        <w:tc>
          <w:tcPr>
            <w:tcW w:w="1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129C8F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Characteristic</w:t>
            </w:r>
          </w:p>
        </w:tc>
        <w:tc>
          <w:tcPr>
            <w:tcW w:w="11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0CE09B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</w:t>
            </w:r>
          </w:p>
        </w:tc>
        <w:tc>
          <w:tcPr>
            <w:tcW w:w="1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117F2A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95% CI</w:t>
            </w:r>
          </w:p>
        </w:tc>
        <w:tc>
          <w:tcPr>
            <w:tcW w:w="1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483476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P-value</w:t>
            </w:r>
          </w:p>
        </w:tc>
      </w:tr>
      <w:tr w:rsidR="00535D18" w:rsidRPr="00140CFB" w14:paraId="1236BA39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63E27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P-tau217 (z)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B16F7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18.6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CCF6E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3.25, 107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96A9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0.001</w:t>
            </w:r>
          </w:p>
        </w:tc>
      </w:tr>
      <w:tr w:rsidR="00535D18" w:rsidRPr="00140CFB" w14:paraId="1505A836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2D4AD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APOE-ε4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5E4FD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10.9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E8637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1.49, 79.3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FD0AF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0.019</w:t>
            </w:r>
          </w:p>
        </w:tc>
      </w:tr>
      <w:tr w:rsidR="00535D18" w:rsidRPr="00140CFB" w14:paraId="0D32D027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2E2E8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Age (z)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7961B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6.3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649A6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2.03, 19.6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435DA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0.002</w:t>
            </w:r>
          </w:p>
        </w:tc>
      </w:tr>
      <w:tr w:rsidR="00535D18" w:rsidRPr="00140CFB" w14:paraId="6FD72FB4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8277B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Clinical diagnosis (MCI or dementia)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F862E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6.13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B6D27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0.59, 64.1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72DDB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0.13</w:t>
            </w:r>
          </w:p>
        </w:tc>
      </w:tr>
      <w:tr w:rsidR="00535D18" w:rsidRPr="00140CFB" w14:paraId="32CA26EE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E040D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MoCA (z)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E43B6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3.06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8608D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0.90, 10.4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CED59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0.073</w:t>
            </w:r>
          </w:p>
        </w:tc>
      </w:tr>
      <w:tr w:rsidR="00535D18" w:rsidRPr="00140CFB" w14:paraId="19B89280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49C3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Type of amyloid testing (CSF)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7464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1.31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3DCCB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0.14, 12.3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47FE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</w:t>
            </w:r>
          </w:p>
        </w:tc>
      </w:tr>
      <w:tr w:rsidR="00535D18" w:rsidRPr="00140CFB" w14:paraId="11EB7A26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8E6F5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Timing of amyloid testing (z)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11BA9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0.87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EEBAC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0.25, 2.96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4180E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</w:t>
            </w:r>
          </w:p>
        </w:tc>
      </w:tr>
      <w:tr w:rsidR="00535D18" w:rsidRPr="00140CFB" w14:paraId="44191A52" w14:textId="77777777" w:rsidTr="000E4DAC">
        <w:trPr>
          <w:trHeight w:val="287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9CBF7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Sex, male</w:t>
            </w:r>
          </w:p>
        </w:tc>
        <w:tc>
          <w:tcPr>
            <w:tcW w:w="1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27323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0.28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7C63A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0.06, 1.32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C87F8" w14:textId="77777777" w:rsidR="00535D18" w:rsidRPr="00140CFB" w:rsidRDefault="00535D18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0.11</w:t>
            </w:r>
          </w:p>
        </w:tc>
      </w:tr>
      <w:tr w:rsidR="00535D18" w:rsidRPr="00140CFB" w14:paraId="16A798E9" w14:textId="77777777" w:rsidTr="000E4DAC">
        <w:trPr>
          <w:trHeight w:val="1487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3A4D7" w14:textId="77777777" w:rsidR="00535D18" w:rsidRPr="00140CFB" w:rsidRDefault="00535D18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Data are reported for the combined training and test cohorts to maximize statistical power (n = 99).  Missing data were handled by imputation, and continuous variables were converted to z-scores.  Logistic regression was performed on variables of interest to predict cerebral Aβ status.  Race/ethnicity was omitted due to insufficient sample size.  To ensure model stability, we removed one statistical outlier of an Aβ-positive participant with markedly elevated P-tau217 level of 29.9 </w:t>
            </w:r>
            <w:proofErr w:type="spellStart"/>
            <w:r w:rsidRPr="00140CFB">
              <w:rPr>
                <w:rFonts w:ascii="Arial" w:eastAsia="Times New Roman" w:hAnsi="Arial" w:cs="Arial"/>
                <w:sz w:val="16"/>
                <w:szCs w:val="16"/>
              </w:rPr>
              <w:t>pg</w:t>
            </w:r>
            <w:proofErr w:type="spellEnd"/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/mL (25 </w:t>
            </w:r>
            <w:proofErr w:type="spellStart"/>
            <w:r w:rsidRPr="00140CFB">
              <w:rPr>
                <w:rFonts w:ascii="Arial" w:eastAsia="Times New Roman" w:hAnsi="Arial" w:cs="Arial"/>
                <w:sz w:val="16"/>
                <w:szCs w:val="16"/>
              </w:rPr>
              <w:t>pg</w:t>
            </w:r>
            <w:proofErr w:type="spellEnd"/>
            <w:r w:rsidRPr="00140CFB">
              <w:rPr>
                <w:rFonts w:ascii="Arial" w:eastAsia="Times New Roman" w:hAnsi="Arial" w:cs="Arial"/>
                <w:sz w:val="16"/>
                <w:szCs w:val="16"/>
              </w:rPr>
              <w:t>/mL on repeat testing).  OR = Odds Ratio, CI = Confidence Interval.</w:t>
            </w:r>
          </w:p>
        </w:tc>
      </w:tr>
    </w:tbl>
    <w:p w14:paraId="7DB48B1E" w14:textId="77777777" w:rsidR="00535D18" w:rsidRDefault="00535D18"/>
    <w:sectPr w:rsidR="00535D18" w:rsidSect="005C35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18"/>
    <w:rsid w:val="003129D3"/>
    <w:rsid w:val="00394BD6"/>
    <w:rsid w:val="00535D18"/>
    <w:rsid w:val="005C35D7"/>
    <w:rsid w:val="0062305D"/>
    <w:rsid w:val="007F2006"/>
    <w:rsid w:val="00A11D8E"/>
    <w:rsid w:val="00A8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64A3F"/>
  <w15:chartTrackingRefBased/>
  <w15:docId w15:val="{6410F758-90D2-453A-91F6-C7D87B451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18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2024-04-25T17:40:00Z</dcterms:created>
  <dcterms:modified xsi:type="dcterms:W3CDTF">2024-04-25T17:40:00Z</dcterms:modified>
</cp:coreProperties>
</file>