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C70493" w14:textId="1605A03A" w:rsidR="003F3D70" w:rsidRPr="003F3D70" w:rsidRDefault="003F3D70" w:rsidP="003F3D70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F3D70">
        <w:rPr>
          <w:rFonts w:ascii="Arial" w:hAnsi="Arial" w:cs="Arial"/>
          <w:b/>
          <w:bCs/>
          <w:sz w:val="24"/>
          <w:szCs w:val="24"/>
        </w:rPr>
        <w:t>(Additional File 10)</w:t>
      </w:r>
    </w:p>
    <w:p w14:paraId="09075CD0" w14:textId="77777777" w:rsidR="003F3D70" w:rsidRPr="00140CFB" w:rsidRDefault="003F3D70" w:rsidP="003F3D70">
      <w:pPr>
        <w:jc w:val="both"/>
        <w:rPr>
          <w:rFonts w:ascii="Arial" w:eastAsia="Times New Roman" w:hAnsi="Arial" w:cs="Arial"/>
        </w:rPr>
      </w:pPr>
      <w:r w:rsidRPr="00140CFB">
        <w:rPr>
          <w:rFonts w:ascii="Arial" w:hAnsi="Arial" w:cs="Arial"/>
          <w:noProof/>
        </w:rPr>
        <w:drawing>
          <wp:inline distT="0" distB="0" distL="0" distR="0" wp14:anchorId="351FFA71" wp14:editId="26D79054">
            <wp:extent cx="6719303" cy="4475328"/>
            <wp:effectExtent l="0" t="0" r="0" b="1905"/>
            <wp:docPr id="946481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2" t="3295" b="12160"/>
                    <a:stretch/>
                  </pic:blipFill>
                  <pic:spPr bwMode="auto">
                    <a:xfrm>
                      <a:off x="0" y="0"/>
                      <a:ext cx="6719926" cy="447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805021" w14:textId="77777777" w:rsidR="003F3D70" w:rsidRPr="00140CFB" w:rsidRDefault="003F3D70" w:rsidP="003F3D70">
      <w:pPr>
        <w:spacing w:line="240" w:lineRule="auto"/>
        <w:rPr>
          <w:rFonts w:ascii="Arial" w:eastAsia="Arial" w:hAnsi="Arial" w:cs="Arial"/>
          <w:i/>
          <w:iCs/>
        </w:rPr>
      </w:pPr>
      <w:r w:rsidRPr="00140CFB">
        <w:rPr>
          <w:rFonts w:ascii="Arial" w:eastAsia="Arial" w:hAnsi="Arial" w:cs="Arial"/>
          <w:b/>
          <w:u w:val="single"/>
        </w:rPr>
        <w:t>Supplementary Figure 4</w:t>
      </w:r>
      <w:r w:rsidRPr="00140CFB">
        <w:rPr>
          <w:rFonts w:ascii="Arial" w:eastAsia="Arial" w:hAnsi="Arial" w:cs="Arial"/>
          <w:b/>
        </w:rPr>
        <w:t>. DMT eligibility flow charts using BioFINDER-2 cutoffs.</w:t>
      </w:r>
      <w:r w:rsidRPr="00140CFB">
        <w:rPr>
          <w:rFonts w:ascii="Arial" w:eastAsia="Arial" w:hAnsi="Arial" w:cs="Arial"/>
          <w:b/>
          <w:bCs/>
        </w:rPr>
        <w:t xml:space="preserve"> </w:t>
      </w:r>
      <w:r w:rsidRPr="00140CFB">
        <w:rPr>
          <w:rFonts w:ascii="Arial" w:eastAsia="Arial" w:hAnsi="Arial" w:cs="Arial"/>
        </w:rPr>
        <w:t xml:space="preserve">Analysis of predicted versus actual treatment decisions had P-tau217 been used to determine Aβ positivity in Butler MAP participants treated with aducanumab (n = 25), alongside Aβ negative controls (n = 12). </w:t>
      </w:r>
      <w:r w:rsidRPr="00140CFB">
        <w:rPr>
          <w:rFonts w:ascii="Arial" w:eastAsia="Arial" w:hAnsi="Arial" w:cs="Arial"/>
          <w:b/>
          <w:bCs/>
        </w:rPr>
        <w:t xml:space="preserve">(A) </w:t>
      </w:r>
      <w:r w:rsidRPr="00140CFB">
        <w:rPr>
          <w:rFonts w:ascii="Arial" w:eastAsia="Arial" w:hAnsi="Arial" w:cs="Arial"/>
        </w:rPr>
        <w:t xml:space="preserve">One- and two-cutoff predictions using cutoffs from the matched BioFINDER-2 cohort. </w:t>
      </w:r>
      <w:r w:rsidRPr="00140CFB">
        <w:rPr>
          <w:rFonts w:ascii="Arial" w:eastAsia="Arial" w:hAnsi="Arial" w:cs="Arial"/>
          <w:b/>
          <w:bCs/>
        </w:rPr>
        <w:t xml:space="preserve">(B) </w:t>
      </w:r>
      <w:r w:rsidRPr="00140CFB">
        <w:rPr>
          <w:rFonts w:ascii="Arial" w:eastAsia="Arial" w:hAnsi="Arial" w:cs="Arial"/>
        </w:rPr>
        <w:t xml:space="preserve">One- and two-cutoff predictions using previously published cutoffs from Mattsson-Carlgren </w:t>
      </w:r>
      <w:r w:rsidRPr="00140CFB">
        <w:rPr>
          <w:rFonts w:ascii="Arial" w:eastAsia="Arial" w:hAnsi="Arial" w:cs="Arial"/>
          <w:i/>
          <w:iCs/>
        </w:rPr>
        <w:t>et al.</w:t>
      </w:r>
      <w:r w:rsidRPr="00140CFB">
        <w:rPr>
          <w:rFonts w:ascii="Arial" w:eastAsia="Arial" w:hAnsi="Arial" w:cs="Arial"/>
        </w:rPr>
        <w:t xml:space="preserve"> (2024). %Correct is calculated by comparing model predictions to the clinical decision to treat with aducanumab based on Aβ-PET/CSF testing.</w:t>
      </w:r>
      <w:r w:rsidRPr="00140CFB">
        <w:rPr>
          <w:rFonts w:ascii="Arial" w:eastAsia="Arial" w:hAnsi="Arial" w:cs="Arial"/>
          <w:i/>
          <w:iCs/>
        </w:rPr>
        <w:t xml:space="preserve">  N = 37.</w:t>
      </w:r>
    </w:p>
    <w:p w14:paraId="278F0783" w14:textId="77777777" w:rsidR="003F3D70" w:rsidRPr="00140CFB" w:rsidRDefault="003F3D70" w:rsidP="003F3D70">
      <w:pPr>
        <w:spacing w:line="240" w:lineRule="auto"/>
        <w:jc w:val="both"/>
        <w:rPr>
          <w:rFonts w:ascii="Arial" w:hAnsi="Arial" w:cs="Arial"/>
        </w:rPr>
      </w:pPr>
      <w:r w:rsidRPr="00140CFB">
        <w:rPr>
          <w:rFonts w:ascii="Arial" w:hAnsi="Arial" w:cs="Arial"/>
        </w:rPr>
        <w:t xml:space="preserve">Mattsson-Carlgren N, </w:t>
      </w:r>
      <w:proofErr w:type="spellStart"/>
      <w:r w:rsidRPr="00140CFB">
        <w:rPr>
          <w:rFonts w:ascii="Arial" w:hAnsi="Arial" w:cs="Arial"/>
        </w:rPr>
        <w:t>Collij</w:t>
      </w:r>
      <w:proofErr w:type="spellEnd"/>
      <w:r w:rsidRPr="00140CFB">
        <w:rPr>
          <w:rFonts w:ascii="Arial" w:hAnsi="Arial" w:cs="Arial"/>
        </w:rPr>
        <w:t xml:space="preserve"> LE, </w:t>
      </w:r>
      <w:proofErr w:type="spellStart"/>
      <w:r w:rsidRPr="00140CFB">
        <w:rPr>
          <w:rFonts w:ascii="Arial" w:hAnsi="Arial" w:cs="Arial"/>
        </w:rPr>
        <w:t>Stomrud</w:t>
      </w:r>
      <w:proofErr w:type="spellEnd"/>
      <w:r w:rsidRPr="00140CFB">
        <w:rPr>
          <w:rFonts w:ascii="Arial" w:hAnsi="Arial" w:cs="Arial"/>
        </w:rPr>
        <w:t xml:space="preserve"> E, </w:t>
      </w:r>
      <w:proofErr w:type="spellStart"/>
      <w:r w:rsidRPr="00140CFB">
        <w:rPr>
          <w:rFonts w:ascii="Arial" w:hAnsi="Arial" w:cs="Arial"/>
        </w:rPr>
        <w:t>Pichet</w:t>
      </w:r>
      <w:proofErr w:type="spellEnd"/>
      <w:r w:rsidRPr="00140CFB">
        <w:rPr>
          <w:rFonts w:ascii="Arial" w:hAnsi="Arial" w:cs="Arial"/>
        </w:rPr>
        <w:t xml:space="preserve"> Binette A, </w:t>
      </w:r>
      <w:proofErr w:type="spellStart"/>
      <w:r w:rsidRPr="00140CFB">
        <w:rPr>
          <w:rFonts w:ascii="Arial" w:hAnsi="Arial" w:cs="Arial"/>
        </w:rPr>
        <w:t>Ossenkoppele</w:t>
      </w:r>
      <w:proofErr w:type="spellEnd"/>
      <w:r w:rsidRPr="00140CFB">
        <w:rPr>
          <w:rFonts w:ascii="Arial" w:hAnsi="Arial" w:cs="Arial"/>
        </w:rPr>
        <w:t xml:space="preserve"> R, Smith R, et al. Plasma Biomarker Strategy for Selecting Patients </w:t>
      </w:r>
      <w:proofErr w:type="gramStart"/>
      <w:r w:rsidRPr="00140CFB">
        <w:rPr>
          <w:rFonts w:ascii="Arial" w:hAnsi="Arial" w:cs="Arial"/>
        </w:rPr>
        <w:t>With</w:t>
      </w:r>
      <w:proofErr w:type="gramEnd"/>
      <w:r w:rsidRPr="00140CFB">
        <w:rPr>
          <w:rFonts w:ascii="Arial" w:hAnsi="Arial" w:cs="Arial"/>
        </w:rPr>
        <w:t xml:space="preserve"> Alzheimer Disease for </w:t>
      </w:r>
      <w:proofErr w:type="spellStart"/>
      <w:r w:rsidRPr="00140CFB">
        <w:rPr>
          <w:rFonts w:ascii="Arial" w:hAnsi="Arial" w:cs="Arial"/>
        </w:rPr>
        <w:t>Antiamyloid</w:t>
      </w:r>
      <w:proofErr w:type="spellEnd"/>
      <w:r w:rsidRPr="00140CFB">
        <w:rPr>
          <w:rFonts w:ascii="Arial" w:hAnsi="Arial" w:cs="Arial"/>
        </w:rPr>
        <w:t xml:space="preserve"> Immunotherapies. JAMA Neurol. 2024 Jan 1;81(1):69–78.</w:t>
      </w:r>
    </w:p>
    <w:p w14:paraId="44BBC3BD" w14:textId="77777777" w:rsidR="0062305D" w:rsidRDefault="0062305D"/>
    <w:sectPr w:rsidR="0062305D" w:rsidSect="00FC24D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70"/>
    <w:rsid w:val="003129D3"/>
    <w:rsid w:val="00394BD6"/>
    <w:rsid w:val="003F3D70"/>
    <w:rsid w:val="0062305D"/>
    <w:rsid w:val="007F2006"/>
    <w:rsid w:val="00A11D8E"/>
    <w:rsid w:val="00A83D40"/>
    <w:rsid w:val="00FC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86CF7"/>
  <w15:chartTrackingRefBased/>
  <w15:docId w15:val="{CC62402D-99B0-469D-9475-88C51D808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D70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2024-04-25T17:51:00Z</dcterms:created>
  <dcterms:modified xsi:type="dcterms:W3CDTF">2024-04-25T17:52:00Z</dcterms:modified>
</cp:coreProperties>
</file>