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32B0F7" w14:textId="7D9EB276" w:rsidR="0062305D" w:rsidRPr="00F26F1D" w:rsidRDefault="00F26F1D">
      <w:pPr>
        <w:rPr>
          <w:rFonts w:ascii="Arial" w:hAnsi="Arial" w:cs="Arial"/>
          <w:b/>
          <w:bCs/>
          <w:sz w:val="24"/>
          <w:szCs w:val="24"/>
        </w:rPr>
      </w:pPr>
      <w:r w:rsidRPr="00F26F1D">
        <w:rPr>
          <w:rFonts w:ascii="Arial" w:hAnsi="Arial" w:cs="Arial"/>
          <w:b/>
          <w:bCs/>
          <w:sz w:val="24"/>
          <w:szCs w:val="24"/>
        </w:rPr>
        <w:t>(Additional File 9)</w:t>
      </w:r>
    </w:p>
    <w:p w14:paraId="578FE1F5" w14:textId="77777777" w:rsidR="00F26F1D" w:rsidRPr="00140CFB" w:rsidRDefault="00F26F1D" w:rsidP="00F26F1D">
      <w:pPr>
        <w:pStyle w:val="NormalWeb"/>
        <w:jc w:val="center"/>
      </w:pPr>
      <w:r w:rsidRPr="00140CFB">
        <w:rPr>
          <w:noProof/>
        </w:rPr>
        <w:drawing>
          <wp:inline distT="0" distB="0" distL="0" distR="0" wp14:anchorId="66E4248A" wp14:editId="595AC149">
            <wp:extent cx="3804249" cy="5237979"/>
            <wp:effectExtent l="0" t="0" r="6350" b="1270"/>
            <wp:docPr id="86053856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52" r="30867" b="25492"/>
                    <a:stretch/>
                  </pic:blipFill>
                  <pic:spPr bwMode="auto">
                    <a:xfrm>
                      <a:off x="0" y="0"/>
                      <a:ext cx="3815511" cy="525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DC66DE" w14:textId="77777777" w:rsidR="00F26F1D" w:rsidRPr="00140CFB" w:rsidRDefault="00F26F1D" w:rsidP="00F26F1D">
      <w:pPr>
        <w:jc w:val="both"/>
        <w:rPr>
          <w:rFonts w:ascii="Arial" w:eastAsia="Arial" w:hAnsi="Arial" w:cs="Arial"/>
          <w:i/>
          <w:iCs/>
        </w:rPr>
      </w:pPr>
      <w:bookmarkStart w:id="0" w:name="_Hlk164413873"/>
      <w:r w:rsidRPr="00140CFB">
        <w:rPr>
          <w:rFonts w:ascii="Arial" w:eastAsia="Arial" w:hAnsi="Arial" w:cs="Arial"/>
          <w:b/>
          <w:bCs/>
          <w:u w:val="single"/>
        </w:rPr>
        <w:t>Supplementary Figure 3</w:t>
      </w:r>
      <w:r w:rsidRPr="00140CFB">
        <w:rPr>
          <w:rFonts w:ascii="Arial" w:eastAsia="Arial" w:hAnsi="Arial" w:cs="Arial"/>
          <w:b/>
          <w:bCs/>
        </w:rPr>
        <w:t>.</w:t>
      </w:r>
      <w:r w:rsidRPr="00140CFB">
        <w:rPr>
          <w:rFonts w:ascii="Arial" w:eastAsia="Arial" w:hAnsi="Arial" w:cs="Arial"/>
        </w:rPr>
        <w:t xml:space="preserve"> </w:t>
      </w:r>
      <w:r w:rsidRPr="00140CFB">
        <w:rPr>
          <w:rFonts w:ascii="Arial" w:eastAsia="Times New Roman" w:hAnsi="Arial" w:cs="Arial"/>
          <w:b/>
          <w:bCs/>
        </w:rPr>
        <w:t>Diagnostic performance of previously published cutoffs for DMT eligibility screening.</w:t>
      </w:r>
      <w:r w:rsidRPr="00140CFB">
        <w:rPr>
          <w:rFonts w:ascii="Arial" w:eastAsia="Arial" w:hAnsi="Arial" w:cs="Arial"/>
          <w:b/>
          <w:bCs/>
        </w:rPr>
        <w:t xml:space="preserve"> </w:t>
      </w:r>
      <w:bookmarkEnd w:id="0"/>
      <w:r w:rsidRPr="00140CFB">
        <w:rPr>
          <w:rFonts w:ascii="Arial" w:eastAsia="Arial" w:hAnsi="Arial" w:cs="Arial"/>
          <w:b/>
          <w:bCs/>
        </w:rPr>
        <w:t>(A)</w:t>
      </w:r>
      <w:r w:rsidRPr="00140CFB">
        <w:rPr>
          <w:rFonts w:ascii="Arial" w:eastAsia="Arial" w:hAnsi="Arial" w:cs="Arial"/>
        </w:rPr>
        <w:t xml:space="preserve"> Histogram depicting the distribution of P-tau217 values in the Test Cohort, with Aβ positive (red) and amyloid negative (blue) participants, as well as Youden’s optimal cutoff (black dashed line) and the intermediate region (shaded gray).  </w:t>
      </w:r>
      <w:r w:rsidRPr="00140CFB">
        <w:rPr>
          <w:rFonts w:ascii="Arial" w:eastAsia="Arial" w:hAnsi="Arial" w:cs="Arial"/>
          <w:b/>
          <w:bCs/>
        </w:rPr>
        <w:t>(B)</w:t>
      </w:r>
      <w:r w:rsidRPr="00140CFB">
        <w:rPr>
          <w:rFonts w:ascii="Arial" w:eastAsia="Arial" w:hAnsi="Arial" w:cs="Arial"/>
        </w:rPr>
        <w:t xml:space="preserve"> Confusion matrices for the one- and two- cutoff strategies in the Test Cohort using previously published cutoffs (one-cutoff: 0.22 </w:t>
      </w:r>
      <w:proofErr w:type="spellStart"/>
      <w:r w:rsidRPr="00140CFB">
        <w:rPr>
          <w:rFonts w:ascii="Arial" w:eastAsia="Arial" w:hAnsi="Arial" w:cs="Arial"/>
        </w:rPr>
        <w:t>pg</w:t>
      </w:r>
      <w:proofErr w:type="spellEnd"/>
      <w:r w:rsidRPr="00140CFB">
        <w:rPr>
          <w:rFonts w:ascii="Arial" w:eastAsia="Arial" w:hAnsi="Arial" w:cs="Arial"/>
        </w:rPr>
        <w:t xml:space="preserve">/mL, two-cutoff: 0.159 </w:t>
      </w:r>
      <w:proofErr w:type="spellStart"/>
      <w:r w:rsidRPr="00140CFB">
        <w:rPr>
          <w:rFonts w:ascii="Arial" w:eastAsia="Arial" w:hAnsi="Arial" w:cs="Arial"/>
        </w:rPr>
        <w:t>pg</w:t>
      </w:r>
      <w:proofErr w:type="spellEnd"/>
      <w:r w:rsidRPr="00140CFB">
        <w:rPr>
          <w:rFonts w:ascii="Arial" w:eastAsia="Arial" w:hAnsi="Arial" w:cs="Arial"/>
        </w:rPr>
        <w:t xml:space="preserve">/mL, 0.219 </w:t>
      </w:r>
      <w:proofErr w:type="spellStart"/>
      <w:r w:rsidRPr="00140CFB">
        <w:rPr>
          <w:rFonts w:ascii="Arial" w:eastAsia="Arial" w:hAnsi="Arial" w:cs="Arial"/>
        </w:rPr>
        <w:t>pg</w:t>
      </w:r>
      <w:proofErr w:type="spellEnd"/>
      <w:r w:rsidRPr="00140CFB">
        <w:rPr>
          <w:rFonts w:ascii="Arial" w:eastAsia="Arial" w:hAnsi="Arial" w:cs="Arial"/>
        </w:rPr>
        <w:t xml:space="preserve">/mL) as described from Mattsson-Carlgren </w:t>
      </w:r>
      <w:r w:rsidRPr="00140CFB">
        <w:rPr>
          <w:rFonts w:ascii="Arial" w:eastAsia="Arial" w:hAnsi="Arial" w:cs="Arial"/>
          <w:i/>
          <w:iCs/>
        </w:rPr>
        <w:t>et al.</w:t>
      </w:r>
      <w:r w:rsidRPr="00140CFB">
        <w:rPr>
          <w:rFonts w:ascii="Arial" w:eastAsia="Arial" w:hAnsi="Arial" w:cs="Arial"/>
        </w:rPr>
        <w:t xml:space="preserve"> (2024) compared the reference standard (Aβ-PET/CSF).  </w:t>
      </w:r>
      <w:r w:rsidRPr="00140CFB">
        <w:rPr>
          <w:rFonts w:ascii="Arial" w:eastAsia="Arial" w:hAnsi="Arial" w:cs="Arial"/>
          <w:i/>
          <w:iCs/>
        </w:rPr>
        <w:t>N = 50.</w:t>
      </w:r>
    </w:p>
    <w:p w14:paraId="33633DF2" w14:textId="77777777" w:rsidR="00F26F1D" w:rsidRPr="00140CFB" w:rsidRDefault="00F26F1D" w:rsidP="00F26F1D">
      <w:pPr>
        <w:jc w:val="both"/>
      </w:pPr>
      <w:r w:rsidRPr="00140CFB">
        <w:rPr>
          <w:rFonts w:ascii="Arial" w:eastAsia="Arial" w:hAnsi="Arial" w:cs="Arial"/>
          <w:b/>
          <w:bCs/>
          <w:u w:val="single"/>
        </w:rPr>
        <w:t>Reference</w:t>
      </w:r>
      <w:r w:rsidRPr="00140CFB">
        <w:rPr>
          <w:rFonts w:ascii="Arial" w:eastAsia="Arial" w:hAnsi="Arial" w:cs="Arial"/>
          <w:b/>
          <w:bCs/>
        </w:rPr>
        <w:t>:</w:t>
      </w:r>
      <w:r w:rsidRPr="00140CFB">
        <w:rPr>
          <w:rFonts w:ascii="Arial" w:eastAsia="Arial" w:hAnsi="Arial" w:cs="Arial"/>
        </w:rPr>
        <w:t xml:space="preserve"> </w:t>
      </w:r>
      <w:r w:rsidRPr="00140CFB">
        <w:t xml:space="preserve"> </w:t>
      </w:r>
    </w:p>
    <w:p w14:paraId="014C4AF4" w14:textId="77777777" w:rsidR="00F26F1D" w:rsidRPr="00140CFB" w:rsidRDefault="00F26F1D" w:rsidP="00F26F1D">
      <w:pPr>
        <w:jc w:val="both"/>
        <w:rPr>
          <w:rFonts w:ascii="Arial" w:hAnsi="Arial" w:cs="Arial"/>
        </w:rPr>
      </w:pPr>
      <w:r w:rsidRPr="00140CFB">
        <w:rPr>
          <w:rFonts w:ascii="Arial" w:hAnsi="Arial" w:cs="Arial"/>
        </w:rPr>
        <w:t xml:space="preserve">Mattsson-Carlgren N, </w:t>
      </w:r>
      <w:proofErr w:type="spellStart"/>
      <w:r w:rsidRPr="00140CFB">
        <w:rPr>
          <w:rFonts w:ascii="Arial" w:hAnsi="Arial" w:cs="Arial"/>
        </w:rPr>
        <w:t>Collij</w:t>
      </w:r>
      <w:proofErr w:type="spellEnd"/>
      <w:r w:rsidRPr="00140CFB">
        <w:rPr>
          <w:rFonts w:ascii="Arial" w:hAnsi="Arial" w:cs="Arial"/>
        </w:rPr>
        <w:t xml:space="preserve"> LE, </w:t>
      </w:r>
      <w:proofErr w:type="spellStart"/>
      <w:r w:rsidRPr="00140CFB">
        <w:rPr>
          <w:rFonts w:ascii="Arial" w:hAnsi="Arial" w:cs="Arial"/>
        </w:rPr>
        <w:t>Stomrud</w:t>
      </w:r>
      <w:proofErr w:type="spellEnd"/>
      <w:r w:rsidRPr="00140CFB">
        <w:rPr>
          <w:rFonts w:ascii="Arial" w:hAnsi="Arial" w:cs="Arial"/>
        </w:rPr>
        <w:t xml:space="preserve"> E, </w:t>
      </w:r>
      <w:proofErr w:type="spellStart"/>
      <w:r w:rsidRPr="00140CFB">
        <w:rPr>
          <w:rFonts w:ascii="Arial" w:hAnsi="Arial" w:cs="Arial"/>
        </w:rPr>
        <w:t>Pichet</w:t>
      </w:r>
      <w:proofErr w:type="spellEnd"/>
      <w:r w:rsidRPr="00140CFB">
        <w:rPr>
          <w:rFonts w:ascii="Arial" w:hAnsi="Arial" w:cs="Arial"/>
        </w:rPr>
        <w:t xml:space="preserve"> Binette A, </w:t>
      </w:r>
      <w:proofErr w:type="spellStart"/>
      <w:r w:rsidRPr="00140CFB">
        <w:rPr>
          <w:rFonts w:ascii="Arial" w:hAnsi="Arial" w:cs="Arial"/>
        </w:rPr>
        <w:t>Ossenkoppele</w:t>
      </w:r>
      <w:proofErr w:type="spellEnd"/>
      <w:r w:rsidRPr="00140CFB">
        <w:rPr>
          <w:rFonts w:ascii="Arial" w:hAnsi="Arial" w:cs="Arial"/>
        </w:rPr>
        <w:t xml:space="preserve"> R, Smith R, et al. Plasma Biomarker Strategy for Selecting Patients </w:t>
      </w:r>
      <w:proofErr w:type="gramStart"/>
      <w:r w:rsidRPr="00140CFB">
        <w:rPr>
          <w:rFonts w:ascii="Arial" w:hAnsi="Arial" w:cs="Arial"/>
        </w:rPr>
        <w:t>With</w:t>
      </w:r>
      <w:proofErr w:type="gramEnd"/>
      <w:r w:rsidRPr="00140CFB">
        <w:rPr>
          <w:rFonts w:ascii="Arial" w:hAnsi="Arial" w:cs="Arial"/>
        </w:rPr>
        <w:t xml:space="preserve"> Alzheimer Disease for </w:t>
      </w:r>
      <w:proofErr w:type="spellStart"/>
      <w:r w:rsidRPr="00140CFB">
        <w:rPr>
          <w:rFonts w:ascii="Arial" w:hAnsi="Arial" w:cs="Arial"/>
        </w:rPr>
        <w:t>Antiamyloid</w:t>
      </w:r>
      <w:proofErr w:type="spellEnd"/>
      <w:r w:rsidRPr="00140CFB">
        <w:rPr>
          <w:rFonts w:ascii="Arial" w:hAnsi="Arial" w:cs="Arial"/>
        </w:rPr>
        <w:t xml:space="preserve"> Immunotherapies. JAMA Neurol. 2024 Jan 1;81(1):69–78.</w:t>
      </w:r>
    </w:p>
    <w:p w14:paraId="1B66C265" w14:textId="77777777" w:rsidR="00F26F1D" w:rsidRPr="00F26F1D" w:rsidRDefault="00F26F1D">
      <w:pPr>
        <w:rPr>
          <w:rFonts w:ascii="Arial" w:hAnsi="Arial" w:cs="Arial"/>
          <w:sz w:val="24"/>
          <w:szCs w:val="24"/>
        </w:rPr>
      </w:pPr>
    </w:p>
    <w:sectPr w:rsidR="00F26F1D" w:rsidRPr="00F26F1D" w:rsidSect="0044727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F1D"/>
    <w:rsid w:val="003129D3"/>
    <w:rsid w:val="00394BD6"/>
    <w:rsid w:val="00447271"/>
    <w:rsid w:val="0062305D"/>
    <w:rsid w:val="007F2006"/>
    <w:rsid w:val="00A11D8E"/>
    <w:rsid w:val="00A83D40"/>
    <w:rsid w:val="00F2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A1CE7"/>
  <w15:chartTrackingRefBased/>
  <w15:docId w15:val="{3C32B59A-0A64-4D07-B4FE-74759B155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26F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Howe</dc:creator>
  <cp:keywords/>
  <dc:description/>
  <cp:lastModifiedBy>Matt Howe</cp:lastModifiedBy>
  <cp:revision>1</cp:revision>
  <dcterms:created xsi:type="dcterms:W3CDTF">2024-04-25T17:51:00Z</dcterms:created>
  <dcterms:modified xsi:type="dcterms:W3CDTF">2024-04-25T17:51:00Z</dcterms:modified>
</cp:coreProperties>
</file>