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E6D7" w14:textId="77777777" w:rsidR="00312BEF" w:rsidRDefault="00312BEF" w:rsidP="00312BEF">
      <w:pPr>
        <w:rPr>
          <w:rFonts w:ascii="Arial" w:hAnsi="Arial" w:cs="Arial"/>
          <w:b/>
          <w:bCs/>
          <w:sz w:val="22"/>
          <w:szCs w:val="22"/>
        </w:rPr>
      </w:pPr>
    </w:p>
    <w:p w14:paraId="1144826D" w14:textId="6D83FCD3" w:rsidR="00312BEF" w:rsidRDefault="00312BEF" w:rsidP="00312BEF">
      <w:pPr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0195DAA" wp14:editId="559FC637">
            <wp:extent cx="4116705" cy="6752590"/>
            <wp:effectExtent l="0" t="0" r="0" b="0"/>
            <wp:docPr id="18404094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705" cy="675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C4B8B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Supplemental Figure 1: Liver Isolated Mitochondria Seahorse Extracellular Acidification Rate (ECAR), Complex 1/Complex 2</w:t>
      </w:r>
    </w:p>
    <w:p w14:paraId="65FAD2F5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Liver isolated mitochondria from frozen tissue were measured for Extracellular Acidification Rate (ECAR) via 96-well Seahorse. 10μg of isolated mitochondria were used in MAS buffer in the presence of 10μg/ml Cytochrome C. Injections were as follows: Complex 1/Complex 2 ECAR using NADH as substrate (C1/C2), Complex 3 inhibition with Antimycin A (AA), Complex 4 OCR with </w:t>
      </w:r>
      <w:proofErr w:type="gramStart"/>
      <w:r>
        <w:rPr>
          <w:rFonts w:ascii="Arial" w:hAnsi="Arial" w:cs="Arial"/>
          <w:sz w:val="22"/>
          <w:szCs w:val="22"/>
        </w:rPr>
        <w:t>N,N</w:t>
      </w:r>
      <w:proofErr w:type="gramEnd"/>
      <w:r>
        <w:rPr>
          <w:rFonts w:ascii="Arial" w:hAnsi="Arial" w:cs="Arial"/>
          <w:sz w:val="22"/>
          <w:szCs w:val="22"/>
        </w:rPr>
        <w:t>,N’,N’-tetramethyl-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-phenylenediamine and Ascorbic Acid (TMPD/</w:t>
      </w:r>
      <w:proofErr w:type="spellStart"/>
      <w:r>
        <w:rPr>
          <w:rFonts w:ascii="Arial" w:hAnsi="Arial" w:cs="Arial"/>
          <w:sz w:val="22"/>
          <w:szCs w:val="22"/>
        </w:rPr>
        <w:t>AscA</w:t>
      </w:r>
      <w:proofErr w:type="spellEnd"/>
      <w:r>
        <w:rPr>
          <w:rFonts w:ascii="Arial" w:hAnsi="Arial" w:cs="Arial"/>
          <w:sz w:val="22"/>
          <w:szCs w:val="22"/>
        </w:rPr>
        <w:t xml:space="preserve">), Complex 4 Inhibition with Sodium </w:t>
      </w:r>
      <w:proofErr w:type="spellStart"/>
      <w:r>
        <w:rPr>
          <w:rFonts w:ascii="Arial" w:hAnsi="Arial" w:cs="Arial"/>
          <w:sz w:val="22"/>
          <w:szCs w:val="22"/>
        </w:rPr>
        <w:t>Azide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Azide</w:t>
      </w:r>
      <w:proofErr w:type="spellEnd"/>
      <w:r>
        <w:rPr>
          <w:rFonts w:ascii="Arial" w:hAnsi="Arial" w:cs="Arial"/>
          <w:sz w:val="22"/>
          <w:szCs w:val="22"/>
        </w:rPr>
        <w:t xml:space="preserve">). Area Under the Curve (AUC) was calculated via the </w:t>
      </w:r>
      <w:r>
        <w:rPr>
          <w:rFonts w:ascii="Arial" w:hAnsi="Arial" w:cs="Arial"/>
          <w:sz w:val="22"/>
          <w:szCs w:val="22"/>
        </w:rPr>
        <w:lastRenderedPageBreak/>
        <w:t xml:space="preserve">trapezoid method for each segment. Analysis was completed within each sex via 2-Way ANOVA for main effects with post-hoc analysis performed with </w:t>
      </w:r>
      <w:proofErr w:type="spellStart"/>
      <w:r>
        <w:rPr>
          <w:rFonts w:ascii="Arial" w:hAnsi="Arial" w:cs="Arial"/>
          <w:sz w:val="22"/>
          <w:szCs w:val="22"/>
        </w:rPr>
        <w:t>Sidac</w:t>
      </w:r>
      <w:proofErr w:type="spellEnd"/>
      <w:r>
        <w:rPr>
          <w:rFonts w:ascii="Arial" w:hAnsi="Arial" w:cs="Arial"/>
          <w:sz w:val="22"/>
          <w:szCs w:val="22"/>
        </w:rPr>
        <w:t xml:space="preserve"> multiple comparisons correction to assess the diet effect within each genotype. Graphs represent mean ± SD. Group sizes were 5. (* p &lt; 0.05; ** p &lt; 0.01)</w:t>
      </w:r>
    </w:p>
    <w:p w14:paraId="627BFB6F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</w:p>
    <w:p w14:paraId="4969C9E2" w14:textId="77777777" w:rsidR="00312BEF" w:rsidRDefault="00312BEF" w:rsidP="00312BE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7A72C6E7" w14:textId="0B6F9013" w:rsidR="00312BEF" w:rsidRDefault="00312BEF" w:rsidP="00312BEF">
      <w:pPr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82B285D" wp14:editId="79C4BC0F">
            <wp:extent cx="4116705" cy="6847840"/>
            <wp:effectExtent l="0" t="0" r="0" b="0"/>
            <wp:docPr id="5418107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705" cy="684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58A06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Supplemental Figure 2: Liver Isolated Mitochondria Seahorse Extracellular Acidification Rate (ECAR), Complex 2</w:t>
      </w:r>
    </w:p>
    <w:p w14:paraId="26CCD6A2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Liver isolated mitochondria from frozen tissue were measured for Extracellular Acidification Rate (ECAR) via 96-well Seahorse. 10μg of isolated mitochondria were used in MAS buffer in the presence of 10μg/ml Cytochrome C. Injections were as follows: Complex 2 ECAR using Succinate and Rotenone as substrate and Complex 1 inhibitor (C2), Complex 3 inhibition with Antimycin A (AA), Complex 4 OCR with </w:t>
      </w:r>
      <w:proofErr w:type="gramStart"/>
      <w:r>
        <w:rPr>
          <w:rFonts w:ascii="Arial" w:hAnsi="Arial" w:cs="Arial"/>
          <w:sz w:val="22"/>
          <w:szCs w:val="22"/>
        </w:rPr>
        <w:t>N,N</w:t>
      </w:r>
      <w:proofErr w:type="gramEnd"/>
      <w:r>
        <w:rPr>
          <w:rFonts w:ascii="Arial" w:hAnsi="Arial" w:cs="Arial"/>
          <w:sz w:val="22"/>
          <w:szCs w:val="22"/>
        </w:rPr>
        <w:t>,N’,N’-tetramethyl-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-phenylenediamine and Ascorbic Acid (TMPD/</w:t>
      </w:r>
      <w:proofErr w:type="spellStart"/>
      <w:r>
        <w:rPr>
          <w:rFonts w:ascii="Arial" w:hAnsi="Arial" w:cs="Arial"/>
          <w:sz w:val="22"/>
          <w:szCs w:val="22"/>
        </w:rPr>
        <w:t>AscA</w:t>
      </w:r>
      <w:proofErr w:type="spellEnd"/>
      <w:r>
        <w:rPr>
          <w:rFonts w:ascii="Arial" w:hAnsi="Arial" w:cs="Arial"/>
          <w:sz w:val="22"/>
          <w:szCs w:val="22"/>
        </w:rPr>
        <w:t xml:space="preserve">), Complex 4 Inhibition with Sodium </w:t>
      </w:r>
      <w:proofErr w:type="spellStart"/>
      <w:r>
        <w:rPr>
          <w:rFonts w:ascii="Arial" w:hAnsi="Arial" w:cs="Arial"/>
          <w:sz w:val="22"/>
          <w:szCs w:val="22"/>
        </w:rPr>
        <w:t>Azide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Azide</w:t>
      </w:r>
      <w:proofErr w:type="spellEnd"/>
      <w:r>
        <w:rPr>
          <w:rFonts w:ascii="Arial" w:hAnsi="Arial" w:cs="Arial"/>
          <w:sz w:val="22"/>
          <w:szCs w:val="22"/>
        </w:rPr>
        <w:t xml:space="preserve">). Area Under the </w:t>
      </w:r>
      <w:r>
        <w:rPr>
          <w:rFonts w:ascii="Arial" w:hAnsi="Arial" w:cs="Arial"/>
          <w:sz w:val="22"/>
          <w:szCs w:val="22"/>
        </w:rPr>
        <w:lastRenderedPageBreak/>
        <w:t xml:space="preserve">Curve (AUC) was calculated via the trapezoid method for each segment. Analysis was completed within each sex via 2-Way ANOVA for main effects with post-hoc analysis performed with </w:t>
      </w:r>
      <w:proofErr w:type="spellStart"/>
      <w:r>
        <w:rPr>
          <w:rFonts w:ascii="Arial" w:hAnsi="Arial" w:cs="Arial"/>
          <w:sz w:val="22"/>
          <w:szCs w:val="22"/>
        </w:rPr>
        <w:t>Sidac</w:t>
      </w:r>
      <w:proofErr w:type="spellEnd"/>
      <w:r>
        <w:rPr>
          <w:rFonts w:ascii="Arial" w:hAnsi="Arial" w:cs="Arial"/>
          <w:sz w:val="22"/>
          <w:szCs w:val="22"/>
        </w:rPr>
        <w:t xml:space="preserve"> multiple comparisons correction to assess the diet effect within each genotype. Graphs represent mean ± SD. Group sizes were 5. (* p &lt; 0.05; ** p &lt; 0.01)</w:t>
      </w:r>
    </w:p>
    <w:p w14:paraId="1B52BF26" w14:textId="77777777" w:rsidR="00312BEF" w:rsidRDefault="00312BEF" w:rsidP="00312BE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507BD46B" w14:textId="40B1F07E" w:rsidR="00312BEF" w:rsidRDefault="00312BEF" w:rsidP="00312BEF">
      <w:pPr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1AB836F4" wp14:editId="52D140DB">
            <wp:extent cx="4572000" cy="3707130"/>
            <wp:effectExtent l="0" t="0" r="0" b="7620"/>
            <wp:docPr id="375480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70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0EEE1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Supplemental Figure 3: Mitochondrial Cohort Body Weight and Normalized Food Consumption</w:t>
      </w:r>
    </w:p>
    <w:p w14:paraId="0828F7B2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Body weight (</w:t>
      </w:r>
      <w:r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) and normalized food consumption (</w:t>
      </w:r>
      <w:r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) were measured weekly. Sexes analyzed separately with Repeated Measures, 3-Way ANOVA. Main effects for diet and </w:t>
      </w:r>
      <w:proofErr w:type="spellStart"/>
      <w:r>
        <w:rPr>
          <w:rFonts w:ascii="Arial" w:hAnsi="Arial" w:cs="Arial"/>
          <w:sz w:val="22"/>
          <w:szCs w:val="22"/>
        </w:rPr>
        <w:t>MsrA</w:t>
      </w:r>
      <w:proofErr w:type="spellEnd"/>
      <w:r>
        <w:rPr>
          <w:rFonts w:ascii="Arial" w:hAnsi="Arial" w:cs="Arial"/>
          <w:sz w:val="22"/>
          <w:szCs w:val="22"/>
        </w:rPr>
        <w:t xml:space="preserve"> KO genotype indicated by significance bars by legends (right side and above, respectively). Post-hoc diet specific effect within a genotype was analyzed with Repeated Measures, 2-Way ANOVA Multiple Comparisons with False Discovery Rate correction, Q = 0.05. Graphs represent mean ± SEM, group sizes were 7-10 mice. (*p &lt; 0.05; **p &lt; 0.01; ***p &lt; 0.001)</w:t>
      </w:r>
    </w:p>
    <w:p w14:paraId="26B325DB" w14:textId="77777777" w:rsidR="00312BEF" w:rsidRDefault="00312BEF" w:rsidP="00312BEF">
      <w:pPr>
        <w:adjustRightInd w:val="0"/>
        <w:rPr>
          <w:rFonts w:ascii="Arial" w:hAnsi="Arial" w:cs="Arial"/>
          <w:sz w:val="22"/>
          <w:szCs w:val="22"/>
        </w:rPr>
      </w:pPr>
    </w:p>
    <w:p w14:paraId="0DEE157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EF"/>
    <w:rsid w:val="00312BEF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FFA1E"/>
  <w15:chartTrackingRefBased/>
  <w15:docId w15:val="{50731636-E168-44BF-8E45-5910CA7F8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BEF"/>
    <w:pPr>
      <w:spacing w:after="0" w:line="240" w:lineRule="auto"/>
    </w:pPr>
    <w:rPr>
      <w:rFonts w:eastAsiaTheme="minorEastAsia"/>
      <w:kern w:val="0"/>
      <w:sz w:val="24"/>
      <w:szCs w:val="24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96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384</Words>
  <Characters>2192</Characters>
  <Application>Microsoft Office Word</Application>
  <DocSecurity>0</DocSecurity>
  <Lines>18</Lines>
  <Paragraphs>5</Paragraphs>
  <ScaleCrop>false</ScaleCrop>
  <Company>Springer Nature</Company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2023-12-21T12:06:00Z</dcterms:created>
  <dcterms:modified xsi:type="dcterms:W3CDTF">2023-12-21T12:06:00Z</dcterms:modified>
</cp:coreProperties>
</file>