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Supplementary Methods</w:t>
      </w:r>
    </w:p>
    <w:p>
      <w:pPr>
        <w:rPr>
          <w:rFonts w:hint="eastAsia"/>
          <w:sz w:val="24"/>
          <w:szCs w:val="24"/>
        </w:rPr>
      </w:pPr>
      <w:bookmarkStart w:id="0" w:name="_GoBack"/>
      <w:bookmarkEnd w:id="0"/>
    </w:p>
    <w:p>
      <w:r>
        <w:rPr>
          <w:rFonts w:hint="eastAsia"/>
        </w:rPr>
        <w:t>Sample exclusions and imputation were performed using the following steps:For the genetic analyses of immune cells, a genetic map based on 6,602 samples was used, genotyped using four Illumina arrays (OmniExpress, ImmunoChip, Cardio-MetaboChip, and ExomeChip).  Pre-phased genotypes were imputed genome-wide using a reference panel of 3,514 individuals and the Minimac58 software. After imputation, only SNPs with an RSQR &gt; 0.3 (estimated minor allele frequency (MAF) approximately 22 million variants.   For the investigation on endometrial cancer, we employed GWAS summary data from a European sample comprising 12,906 individuals with endometrial cancer and 108,979 unaffected controls. After implementing quality control procedures, our analysis focused on approximately 9,470,555 SNPs.  Among these, we discovered a minimum of 81 genomic regions that exhibited noteworthy associations at the genome-wide significance threshold (P&lt; 5×10−8).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BEB1F5"/>
    <w:rsid w:val="FBBEB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2023-11-10T15:04:00Z</dcterms:created>
  <dc:creator>Y.B.YouCan.tl.KCX.j.ZXL.90</dc:creator>
  <cp:lastModifiedBy>Y.B.YouCan.tl.KCX.j.ZXL.90</cp:lastModifiedBy>
  <dcterms:modified xsi:type="dcterms:W3CDTF">2023-11-10T15:06:38Z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868546B387A3E700FBD54D65431C2D3E_41</vt:lpwstr>
  </property>
</Properties>
</file>