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155AD" w14:textId="5CA64B90" w:rsidR="00F42892" w:rsidRDefault="00130AD2" w:rsidP="00F42892">
      <w:pPr>
        <w:spacing w:afterLines="50" w:after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0AD2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p w14:paraId="0FEC0AE7" w14:textId="77777777" w:rsidR="00130AD2" w:rsidRPr="00F67F4E" w:rsidRDefault="00130AD2" w:rsidP="00F42892">
      <w:pPr>
        <w:spacing w:afterLines="50" w:after="156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0FD3D01" w14:textId="77777777" w:rsidR="00877D46" w:rsidRDefault="00877D46" w:rsidP="00877D46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77D46">
        <w:rPr>
          <w:rFonts w:ascii="Times New Roman" w:hAnsi="Times New Roman" w:cs="Times New Roman"/>
          <w:b/>
          <w:bCs/>
          <w:sz w:val="24"/>
          <w:szCs w:val="24"/>
        </w:rPr>
        <w:t>The nature of tyrosine-aminated amyloid-β</w:t>
      </w:r>
    </w:p>
    <w:p w14:paraId="11F9EF1F" w14:textId="41DA5DFD" w:rsidR="00F42892" w:rsidRPr="00CB4C80" w:rsidRDefault="00F42892" w:rsidP="00CB4C80">
      <w:pPr>
        <w:spacing w:afterLines="50" w:after="156" w:line="360" w:lineRule="auto"/>
        <w:rPr>
          <w:rFonts w:ascii="Times New Roman" w:eastAsia="微软雅黑" w:hAnsi="Times New Roman" w:cs="Times New Roman" w:hint="eastAsia"/>
          <w:color w:val="000000" w:themeColor="text1"/>
          <w:sz w:val="24"/>
          <w:szCs w:val="28"/>
          <w:lang w:eastAsia="zh-CN"/>
        </w:rPr>
      </w:pP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Ting Hu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vertAlign w:val="superscript"/>
          <w:lang w:eastAsia="zh-CN"/>
        </w:rPr>
        <w:t>1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, </w:t>
      </w:r>
      <w:proofErr w:type="spellStart"/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Jinming</w:t>
      </w:r>
      <w:proofErr w:type="spellEnd"/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 Wu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vertAlign w:val="superscript"/>
          <w:lang w:eastAsia="zh-CN"/>
        </w:rPr>
        <w:t>1,2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, </w:t>
      </w:r>
      <w:proofErr w:type="spellStart"/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Shitao</w:t>
      </w:r>
      <w:proofErr w:type="spellEnd"/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 Fu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vertAlign w:val="superscript"/>
          <w:lang w:eastAsia="zh-CN"/>
        </w:rPr>
        <w:t>1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, </w:t>
      </w:r>
      <w:proofErr w:type="spellStart"/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Zhonghong</w:t>
      </w:r>
      <w:proofErr w:type="spellEnd"/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 Gao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vertAlign w:val="superscript"/>
          <w:lang w:eastAsia="zh-CN"/>
        </w:rPr>
        <w:t>1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*, Hailing Li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vertAlign w:val="superscript"/>
          <w:lang w:eastAsia="zh-CN"/>
        </w:rPr>
        <w:t>1</w:t>
      </w:r>
      <w:r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*</w:t>
      </w:r>
    </w:p>
    <w:p w14:paraId="3F5ED38F" w14:textId="1232A763" w:rsidR="00F42892" w:rsidRDefault="00F42892" w:rsidP="00F42892">
      <w:pPr>
        <w:adjustRightInd w:val="0"/>
        <w:snapToGrid w:val="0"/>
        <w:spacing w:afterLines="50" w:after="156" w:line="276" w:lineRule="auto"/>
        <w:jc w:val="both"/>
        <w:rPr>
          <w:rFonts w:ascii="Times New Roman" w:eastAsia="微软雅黑" w:hAnsi="Times New Roman" w:cs="Times New Roman"/>
          <w:color w:val="000000" w:themeColor="text1"/>
          <w:sz w:val="24"/>
          <w:lang w:eastAsia="zh-CN"/>
        </w:rPr>
      </w:pPr>
      <w:r w:rsidRPr="00157542">
        <w:rPr>
          <w:rFonts w:ascii="Times New Roman" w:eastAsia="微软雅黑" w:hAnsi="Times New Roman" w:cs="Times New Roman"/>
          <w:color w:val="000000" w:themeColor="text1"/>
          <w:sz w:val="24"/>
          <w:vertAlign w:val="superscript"/>
          <w:lang w:eastAsia="zh-CN"/>
        </w:rPr>
        <w:t>1</w:t>
      </w:r>
      <w:r w:rsidR="008419D5">
        <w:rPr>
          <w:rFonts w:ascii="Times New Roman" w:eastAsia="微软雅黑" w:hAnsi="Times New Roman" w:cs="Times New Roman"/>
          <w:color w:val="000000" w:themeColor="text1"/>
          <w:sz w:val="24"/>
          <w:vertAlign w:val="superscript"/>
          <w:lang w:eastAsia="zh-CN"/>
        </w:rPr>
        <w:t xml:space="preserve"> </w:t>
      </w:r>
      <w:r w:rsidRPr="00157542">
        <w:rPr>
          <w:rFonts w:ascii="Times New Roman" w:eastAsia="微软雅黑" w:hAnsi="Times New Roman" w:cs="Times New Roman"/>
          <w:color w:val="000000" w:themeColor="text1"/>
          <w:sz w:val="24"/>
          <w:lang w:eastAsia="zh-CN"/>
        </w:rPr>
        <w:t>Hubei Key Laboratory of Bioinorganic Chemistry &amp; Materia Medica, Wuhan, 430074, P. R. China, School of Chemistry and Chemical Engineering, Huazhong University of Science &amp; Technology, Wuhan, 430074, P. R. China</w:t>
      </w:r>
      <w:r>
        <w:rPr>
          <w:rFonts w:ascii="Times New Roman" w:eastAsia="微软雅黑" w:hAnsi="Times New Roman" w:cs="Times New Roman"/>
          <w:color w:val="000000" w:themeColor="text1"/>
          <w:sz w:val="24"/>
          <w:lang w:eastAsia="zh-CN"/>
        </w:rPr>
        <w:t xml:space="preserve">. </w:t>
      </w:r>
    </w:p>
    <w:p w14:paraId="255812DC" w14:textId="382B4FF3" w:rsidR="00F42892" w:rsidRPr="00157542" w:rsidRDefault="00F42892" w:rsidP="00F42892">
      <w:pPr>
        <w:adjustRightInd w:val="0"/>
        <w:snapToGrid w:val="0"/>
        <w:spacing w:afterLines="50" w:after="156" w:line="276" w:lineRule="auto"/>
        <w:jc w:val="both"/>
        <w:rPr>
          <w:rFonts w:ascii="Times New Roman" w:eastAsia="微软雅黑" w:hAnsi="Times New Roman" w:cs="Times New Roman"/>
          <w:color w:val="000000" w:themeColor="text1"/>
          <w:sz w:val="24"/>
          <w:lang w:eastAsia="zh-CN"/>
        </w:rPr>
      </w:pPr>
      <w:r w:rsidRPr="00157542">
        <w:rPr>
          <w:rFonts w:ascii="Times New Roman" w:eastAsia="微软雅黑" w:hAnsi="Times New Roman" w:cs="Times New Roman" w:hint="eastAsia"/>
          <w:color w:val="000000" w:themeColor="text1"/>
          <w:sz w:val="24"/>
          <w:vertAlign w:val="superscript"/>
          <w:lang w:eastAsia="zh-CN"/>
        </w:rPr>
        <w:t>2</w:t>
      </w:r>
      <w:r w:rsidR="008419D5">
        <w:rPr>
          <w:rFonts w:ascii="Times New Roman" w:eastAsia="微软雅黑" w:hAnsi="Times New Roman" w:cs="Times New Roman"/>
          <w:color w:val="000000" w:themeColor="text1"/>
          <w:sz w:val="24"/>
          <w:vertAlign w:val="superscript"/>
          <w:lang w:eastAsia="zh-CN"/>
        </w:rPr>
        <w:t xml:space="preserve"> </w:t>
      </w:r>
      <w:r w:rsidRPr="00157542">
        <w:rPr>
          <w:rFonts w:ascii="Times New Roman" w:eastAsia="微软雅黑" w:hAnsi="Times New Roman" w:cs="Times New Roman"/>
          <w:color w:val="000000" w:themeColor="text1"/>
          <w:sz w:val="24"/>
          <w:lang w:eastAsia="zh-CN"/>
        </w:rPr>
        <w:t>Faculty of Medicine, Lund University, Sween</w:t>
      </w:r>
      <w:r>
        <w:rPr>
          <w:rFonts w:ascii="Times New Roman" w:eastAsia="微软雅黑" w:hAnsi="Times New Roman" w:cs="Times New Roman"/>
          <w:color w:val="000000" w:themeColor="text1"/>
          <w:sz w:val="24"/>
          <w:lang w:eastAsia="zh-CN"/>
        </w:rPr>
        <w:t xml:space="preserve">. </w:t>
      </w:r>
    </w:p>
    <w:p w14:paraId="0DD4B7BD" w14:textId="7383799F" w:rsidR="00F67F4E" w:rsidRPr="00B9183B" w:rsidRDefault="00F42892" w:rsidP="00B9183B">
      <w:pPr>
        <w:adjustRightInd w:val="0"/>
        <w:snapToGrid w:val="0"/>
        <w:spacing w:afterLines="50" w:after="156" w:line="276" w:lineRule="auto"/>
        <w:jc w:val="both"/>
        <w:rPr>
          <w:rFonts w:ascii="Times New Roman" w:eastAsia="微软雅黑" w:hAnsi="Times New Roman" w:cs="Times New Roman"/>
          <w:color w:val="000000" w:themeColor="text1"/>
          <w:sz w:val="24"/>
          <w:lang w:eastAsia="zh-CN"/>
        </w:rPr>
      </w:pPr>
      <w:bookmarkStart w:id="0" w:name="_Hlk153219853"/>
      <w:r w:rsidRPr="00F42892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*</w:t>
      </w:r>
      <w:r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 </w:t>
      </w:r>
      <w:r w:rsidRPr="00F42892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Corresponding authors: </w:t>
      </w:r>
      <w:proofErr w:type="spellStart"/>
      <w:r w:rsidR="00324CA7"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Zhonghong</w:t>
      </w:r>
      <w:proofErr w:type="spellEnd"/>
      <w:r w:rsidR="00324CA7"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 Gao</w:t>
      </w:r>
      <w:r w:rsidRPr="00F42892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 (</w:t>
      </w:r>
      <w:hyperlink r:id="rId7" w:history="1">
        <w:r w:rsidR="00324CA7" w:rsidRPr="00157542">
          <w:rPr>
            <w:rFonts w:ascii="Times New Roman" w:eastAsia="微软雅黑" w:hAnsi="Times New Roman" w:cs="Times New Roman"/>
            <w:color w:val="000000" w:themeColor="text1"/>
            <w:sz w:val="24"/>
            <w:lang w:eastAsia="zh-CN"/>
          </w:rPr>
          <w:t>zhgao144@hust.edu.cn</w:t>
        </w:r>
      </w:hyperlink>
      <w:r w:rsidRPr="00F42892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) &amp; </w:t>
      </w:r>
      <w:r w:rsidR="00324CA7" w:rsidRPr="0053163E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Hailing Li</w:t>
      </w:r>
      <w:r w:rsidR="00E62D4A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 xml:space="preserve"> </w:t>
      </w:r>
      <w:r w:rsidRPr="00F42892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(</w:t>
      </w:r>
      <w:hyperlink r:id="rId8" w:history="1">
        <w:r w:rsidR="00324CA7" w:rsidRPr="00157542">
          <w:rPr>
            <w:rFonts w:ascii="Times New Roman" w:eastAsia="微软雅黑" w:hAnsi="Times New Roman" w:cs="Times New Roman"/>
            <w:color w:val="000000" w:themeColor="text1"/>
            <w:sz w:val="24"/>
            <w:lang w:eastAsia="zh-CN"/>
          </w:rPr>
          <w:t>lihailing86@hust.edu.cn</w:t>
        </w:r>
      </w:hyperlink>
      <w:r w:rsidRPr="00F42892">
        <w:rPr>
          <w:rFonts w:ascii="Times New Roman" w:eastAsia="微软雅黑" w:hAnsi="Times New Roman" w:cs="Times New Roman"/>
          <w:color w:val="000000" w:themeColor="text1"/>
          <w:sz w:val="24"/>
          <w:szCs w:val="28"/>
          <w:lang w:eastAsia="zh-CN"/>
        </w:rPr>
        <w:t>)</w:t>
      </w:r>
      <w:bookmarkEnd w:id="0"/>
    </w:p>
    <w:p w14:paraId="7085A30D" w14:textId="77777777" w:rsidR="00F67F4E" w:rsidRPr="00F67F4E" w:rsidRDefault="00F67F4E" w:rsidP="00F67F4E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sz w:val="24"/>
          <w:szCs w:val="24"/>
        </w:rPr>
        <w:br/>
      </w:r>
      <w:r w:rsidRPr="00F67F4E">
        <w:rPr>
          <w:rFonts w:ascii="Times New Roman" w:hAnsi="Times New Roman" w:cs="Times New Roman"/>
          <w:sz w:val="24"/>
          <w:szCs w:val="24"/>
        </w:rPr>
        <w:br w:type="page"/>
      </w:r>
    </w:p>
    <w:p w14:paraId="51CD0FA0" w14:textId="77777777" w:rsidR="00F67F4E" w:rsidRPr="00F67F4E" w:rsidRDefault="00F67F4E" w:rsidP="00F67F4E">
      <w:pPr>
        <w:pStyle w:val="SMText"/>
        <w:spacing w:afterLines="50" w:after="156" w:line="360" w:lineRule="auto"/>
        <w:ind w:firstLine="0"/>
        <w:jc w:val="center"/>
        <w:rPr>
          <w:szCs w:val="24"/>
        </w:rPr>
      </w:pPr>
      <w:r w:rsidRPr="00F67F4E">
        <w:rPr>
          <w:noProof/>
          <w:szCs w:val="24"/>
          <w:lang w:eastAsia="zh-CN"/>
        </w:rPr>
        <w:lastRenderedPageBreak/>
        <w:drawing>
          <wp:inline distT="0" distB="0" distL="0" distR="0" wp14:anchorId="336928C7" wp14:editId="56CA5471">
            <wp:extent cx="5274310" cy="1544320"/>
            <wp:effectExtent l="0" t="0" r="2540" b="0"/>
            <wp:docPr id="174198258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4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9B9980" w14:textId="3ED35FE8" w:rsidR="00F67F4E" w:rsidRPr="00B9183B" w:rsidRDefault="00F67F4E" w:rsidP="00B9183B">
      <w:pPr>
        <w:spacing w:afterLines="50" w:after="156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183B">
        <w:rPr>
          <w:rFonts w:ascii="Times New Roman" w:hAnsi="Times New Roman" w:cs="Times New Roman"/>
          <w:b/>
          <w:bCs/>
          <w:sz w:val="24"/>
          <w:szCs w:val="24"/>
        </w:rPr>
        <w:t xml:space="preserve">Fig. S1. LC-MS/MS detection of the reduction of 3-NT in cell systems. </w:t>
      </w:r>
      <w:r w:rsidRPr="00B9183B">
        <w:rPr>
          <w:rFonts w:ascii="Times New Roman" w:hAnsi="Times New Roman" w:cs="Times New Roman"/>
          <w:sz w:val="24"/>
          <w:szCs w:val="24"/>
        </w:rPr>
        <w:t>(</w:t>
      </w:r>
      <w:r w:rsidRPr="00B9183B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B9183B">
        <w:rPr>
          <w:rFonts w:ascii="Times New Roman" w:hAnsi="Times New Roman" w:cs="Times New Roman"/>
          <w:sz w:val="24"/>
          <w:szCs w:val="24"/>
        </w:rPr>
        <w:t>) EIC plot of [M+</w:t>
      </w:r>
      <w:proofErr w:type="gramStart"/>
      <w:r w:rsidRPr="00B9183B">
        <w:rPr>
          <w:rFonts w:ascii="Times New Roman" w:hAnsi="Times New Roman" w:cs="Times New Roman"/>
          <w:sz w:val="24"/>
          <w:szCs w:val="24"/>
        </w:rPr>
        <w:t>H]</w:t>
      </w:r>
      <w:r w:rsidRPr="00B918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proofErr w:type="gramEnd"/>
      <w:r w:rsidRPr="00B9183B">
        <w:rPr>
          <w:rFonts w:ascii="Times New Roman" w:hAnsi="Times New Roman" w:cs="Times New Roman"/>
          <w:sz w:val="24"/>
          <w:szCs w:val="24"/>
        </w:rPr>
        <w:t xml:space="preserve"> = 227.1 fraction without cell culture (green peak)/with cell culture (blue peak). Chromatographic peaks are reprojected onto the XY plane</w:t>
      </w:r>
      <w:r w:rsidRPr="00B9183B">
        <w:rPr>
          <w:rFonts w:ascii="Times New Roman" w:hAnsi="Times New Roman" w:cs="Times New Roman"/>
          <w:sz w:val="24"/>
          <w:szCs w:val="24"/>
          <w:lang w:eastAsia="zh-CN"/>
        </w:rPr>
        <w:t xml:space="preserve"> </w:t>
      </w:r>
      <w:r w:rsidRPr="00B9183B">
        <w:rPr>
          <w:rFonts w:ascii="Times New Roman" w:hAnsi="Times New Roman" w:cs="Times New Roman"/>
          <w:sz w:val="24"/>
          <w:szCs w:val="24"/>
        </w:rPr>
        <w:t>for comparison. (</w:t>
      </w:r>
      <w:r w:rsidRPr="00B9183B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B9183B">
        <w:rPr>
          <w:rFonts w:ascii="Times New Roman" w:hAnsi="Times New Roman" w:cs="Times New Roman"/>
          <w:sz w:val="24"/>
          <w:szCs w:val="24"/>
        </w:rPr>
        <w:t>) Mass spectra of the 3-NT ([M+</w:t>
      </w:r>
      <w:proofErr w:type="gramStart"/>
      <w:r w:rsidRPr="00B9183B">
        <w:rPr>
          <w:rFonts w:ascii="Times New Roman" w:hAnsi="Times New Roman" w:cs="Times New Roman"/>
          <w:sz w:val="24"/>
          <w:szCs w:val="24"/>
        </w:rPr>
        <w:t>H]</w:t>
      </w:r>
      <w:r w:rsidRPr="00B918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proofErr w:type="gramEnd"/>
      <w:r w:rsidRPr="00B9183B">
        <w:rPr>
          <w:rFonts w:ascii="Times New Roman" w:hAnsi="Times New Roman" w:cs="Times New Roman"/>
          <w:sz w:val="24"/>
          <w:szCs w:val="24"/>
        </w:rPr>
        <w:t xml:space="preserve"> = 227.1) fraction. The cell-treated group was co-cultured with SH-SY5Y cells in cell culture medium containing GSH (1 mM) and NADPH (1 mM) for 24 hours.</w:t>
      </w:r>
    </w:p>
    <w:p w14:paraId="69C29EC3" w14:textId="4390E14B" w:rsidR="00F67F4E" w:rsidRPr="00F67F4E" w:rsidRDefault="00B9183B" w:rsidP="00B9183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21B181F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23199D3B" wp14:editId="650F5D96">
            <wp:extent cx="4241260" cy="2348879"/>
            <wp:effectExtent l="0" t="0" r="6985" b="0"/>
            <wp:docPr id="107895454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208" cy="2354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ADD868" w14:textId="198D9FBE" w:rsidR="00F67F4E" w:rsidRDefault="00F67F4E" w:rsidP="00B9183B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83B">
        <w:rPr>
          <w:rFonts w:ascii="Times New Roman" w:hAnsi="Times New Roman" w:cs="Times New Roman"/>
          <w:b/>
          <w:bCs/>
          <w:sz w:val="24"/>
          <w:szCs w:val="24"/>
        </w:rPr>
        <w:t>Fig. S2. ESI-MS spectrum of 3-NTAβ42.</w:t>
      </w:r>
    </w:p>
    <w:p w14:paraId="68EC794A" w14:textId="52F607AA" w:rsidR="00B9183B" w:rsidRPr="00B9183B" w:rsidRDefault="00B9183B" w:rsidP="00B9183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95413C1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40A67641" wp14:editId="56D5D9BF">
            <wp:extent cx="3488987" cy="2725742"/>
            <wp:effectExtent l="0" t="0" r="0" b="0"/>
            <wp:docPr id="13615563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026" cy="273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86D50" w14:textId="59535921" w:rsidR="00F67F4E" w:rsidRPr="00B9183B" w:rsidRDefault="00F67F4E" w:rsidP="00B9183B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83B">
        <w:rPr>
          <w:rFonts w:ascii="Times New Roman" w:hAnsi="Times New Roman" w:cs="Times New Roman"/>
          <w:b/>
          <w:bCs/>
          <w:sz w:val="24"/>
          <w:szCs w:val="24"/>
        </w:rPr>
        <w:t>Fig. S3. UV-vis absorption spectra of Aβ42, 3-NTAβ42 and 3-NTAβ42</w:t>
      </w:r>
      <w:r w:rsidR="00130A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9183B">
        <w:rPr>
          <w:rFonts w:ascii="Times New Roman" w:hAnsi="Times New Roman" w:cs="Times New Roman"/>
          <w:b/>
          <w:bCs/>
          <w:sz w:val="24"/>
          <w:szCs w:val="24"/>
        </w:rPr>
        <w:t>+ Na</w:t>
      </w:r>
      <w:r w:rsidRPr="00B918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B9183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918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B9183B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B918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B9183B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4668123" w14:textId="77777777" w:rsidR="00F67F4E" w:rsidRPr="00F67F4E" w:rsidRDefault="00F67F4E" w:rsidP="00F67F4E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sz w:val="24"/>
          <w:szCs w:val="24"/>
        </w:rPr>
        <w:br w:type="page"/>
      </w:r>
    </w:p>
    <w:p w14:paraId="0B74E4D9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7F59CBA0" wp14:editId="107A7401">
            <wp:extent cx="5069941" cy="1770380"/>
            <wp:effectExtent l="0" t="0" r="0" b="1270"/>
            <wp:docPr id="72351393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874"/>
                    <a:stretch/>
                  </pic:blipFill>
                  <pic:spPr bwMode="auto">
                    <a:xfrm>
                      <a:off x="0" y="0"/>
                      <a:ext cx="5069941" cy="177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EF1C0" w14:textId="6BAE3DE8" w:rsidR="00F67F4E" w:rsidRPr="00B9183B" w:rsidRDefault="00F67F4E" w:rsidP="00B9183B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83B">
        <w:rPr>
          <w:rFonts w:ascii="Times New Roman" w:hAnsi="Times New Roman" w:cs="Times New Roman"/>
          <w:b/>
          <w:bCs/>
          <w:sz w:val="24"/>
          <w:szCs w:val="24"/>
        </w:rPr>
        <w:t>Fig. S4. The effect of Na</w:t>
      </w:r>
      <w:r w:rsidRPr="00B918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B9183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B918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B9183B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B9183B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4</w:t>
      </w:r>
      <w:r w:rsidRPr="00B9183B">
        <w:rPr>
          <w:rFonts w:ascii="Times New Roman" w:hAnsi="Times New Roman" w:cs="Times New Roman"/>
          <w:b/>
          <w:bCs/>
          <w:sz w:val="24"/>
          <w:szCs w:val="24"/>
        </w:rPr>
        <w:t xml:space="preserve"> on the aggregation of Aβ42. </w:t>
      </w:r>
      <w:r w:rsidRPr="00F67F4E">
        <w:rPr>
          <w:rFonts w:ascii="Times New Roman" w:hAnsi="Times New Roman" w:cs="Times New Roman"/>
          <w:sz w:val="24"/>
          <w:szCs w:val="24"/>
        </w:rPr>
        <w:t>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F67F4E">
        <w:rPr>
          <w:rFonts w:ascii="Times New Roman" w:hAnsi="Times New Roman" w:cs="Times New Roman"/>
          <w:sz w:val="24"/>
          <w:szCs w:val="24"/>
        </w:rPr>
        <w:t xml:space="preserve">) Aggregation kinetic curve of Aβ42 (30 </w:t>
      </w:r>
      <w:proofErr w:type="spellStart"/>
      <w:r w:rsidRPr="00F67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F67F4E">
        <w:rPr>
          <w:rFonts w:ascii="Times New Roman" w:hAnsi="Times New Roman" w:cs="Times New Roman"/>
          <w:sz w:val="24"/>
          <w:szCs w:val="24"/>
        </w:rPr>
        <w:t>) incubated in a buffer solution containing 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>/Na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>. Data are presented as means ± SD (n = 3).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F67F4E">
        <w:rPr>
          <w:rFonts w:ascii="Times New Roman" w:hAnsi="Times New Roman" w:cs="Times New Roman"/>
          <w:sz w:val="24"/>
          <w:szCs w:val="24"/>
        </w:rPr>
        <w:t xml:space="preserve">) TEM images of Aβ42 aggregates (30 </w:t>
      </w:r>
      <w:proofErr w:type="spellStart"/>
      <w:r w:rsidRPr="00F67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F67F4E">
        <w:rPr>
          <w:rFonts w:ascii="Times New Roman" w:hAnsi="Times New Roman" w:cs="Times New Roman"/>
          <w:sz w:val="24"/>
          <w:szCs w:val="24"/>
        </w:rPr>
        <w:t>) after 72 h incubation in a buffer solution containing 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>/Na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>. These results indicate that adding 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 xml:space="preserve"> does not change the aggregation capacity and aggregate morphology of Aβ42.</w:t>
      </w:r>
    </w:p>
    <w:p w14:paraId="1BDD1A29" w14:textId="77777777" w:rsidR="00F67F4E" w:rsidRPr="00F67F4E" w:rsidRDefault="00F67F4E" w:rsidP="00F67F4E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sz w:val="24"/>
          <w:szCs w:val="24"/>
        </w:rPr>
        <w:br w:type="page"/>
      </w:r>
    </w:p>
    <w:p w14:paraId="0C414E58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34176543" wp14:editId="03AC9FC8">
            <wp:extent cx="4535950" cy="3536032"/>
            <wp:effectExtent l="0" t="0" r="0" b="7620"/>
            <wp:docPr id="89750687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1893" cy="354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7500AB" w14:textId="7C34515A" w:rsidR="00F67F4E" w:rsidRPr="00F67F4E" w:rsidRDefault="00F67F4E" w:rsidP="00B9183B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83B">
        <w:rPr>
          <w:rFonts w:ascii="Times New Roman" w:hAnsi="Times New Roman" w:cs="Times New Roman"/>
          <w:b/>
          <w:bCs/>
          <w:sz w:val="24"/>
          <w:szCs w:val="24"/>
        </w:rPr>
        <w:t xml:space="preserve">Fig. S5. The effect of salts on physiological toxicity. </w:t>
      </w:r>
      <w:r w:rsidRPr="00F67F4E">
        <w:rPr>
          <w:rFonts w:ascii="Times New Roman" w:hAnsi="Times New Roman" w:cs="Times New Roman"/>
          <w:sz w:val="24"/>
          <w:szCs w:val="24"/>
        </w:rPr>
        <w:t>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F67F4E">
        <w:rPr>
          <w:rFonts w:ascii="Times New Roman" w:hAnsi="Times New Roman" w:cs="Times New Roman"/>
          <w:sz w:val="24"/>
          <w:szCs w:val="24"/>
        </w:rPr>
        <w:t xml:space="preserve">) Fluorescence photographs of intracellular ROS in SH-SY5Y cells co-cultured with Aβ42 (7.5 </w:t>
      </w:r>
      <w:proofErr w:type="spellStart"/>
      <w:r w:rsidRPr="00F67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F67F4E">
        <w:rPr>
          <w:rFonts w:ascii="Times New Roman" w:hAnsi="Times New Roman" w:cs="Times New Roman"/>
          <w:sz w:val="24"/>
          <w:szCs w:val="24"/>
        </w:rPr>
        <w:t>) in the presence/absence of 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 xml:space="preserve"> for 24 h.</w:t>
      </w:r>
      <w:r w:rsidRPr="00F67F4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67F4E">
        <w:rPr>
          <w:rFonts w:ascii="Times New Roman" w:hAnsi="Times New Roman" w:cs="Times New Roman"/>
          <w:sz w:val="24"/>
          <w:szCs w:val="24"/>
        </w:rPr>
        <w:t>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F67F4E">
        <w:rPr>
          <w:rFonts w:ascii="Times New Roman" w:hAnsi="Times New Roman" w:cs="Times New Roman"/>
          <w:sz w:val="24"/>
          <w:szCs w:val="24"/>
        </w:rPr>
        <w:t>) Quantitative analysis of fluorescence intensity in (A) using the Image J program. Four representative photographs were processed for each sample, and data are expressed as means ± SD (n=4). Significance analysis was performed using one-way ANOVA, P &lt; 0.05 (ns, not significant).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F67F4E">
        <w:rPr>
          <w:rFonts w:ascii="Times New Roman" w:hAnsi="Times New Roman" w:cs="Times New Roman"/>
          <w:sz w:val="24"/>
          <w:szCs w:val="24"/>
        </w:rPr>
        <w:t xml:space="preserve">) Cytotoxicity of Aβ42 (7.5 </w:t>
      </w:r>
      <w:proofErr w:type="spellStart"/>
      <w:r w:rsidRPr="00F67F4E">
        <w:rPr>
          <w:rFonts w:ascii="Times New Roman" w:hAnsi="Times New Roman" w:cs="Times New Roman"/>
          <w:sz w:val="24"/>
          <w:szCs w:val="24"/>
        </w:rPr>
        <w:t>μM</w:t>
      </w:r>
      <w:proofErr w:type="spellEnd"/>
      <w:r w:rsidRPr="00F67F4E">
        <w:rPr>
          <w:rFonts w:ascii="Times New Roman" w:hAnsi="Times New Roman" w:cs="Times New Roman"/>
          <w:sz w:val="24"/>
          <w:szCs w:val="24"/>
        </w:rPr>
        <w:t>) on SH-SY5Y cells assessed by MTT in the presence/absence of 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>. Data are presented as means ± SD (n = 4). Significance analysis was performed using one-way ANOVA,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 xml:space="preserve"> P</w:t>
      </w:r>
      <w:r w:rsidRPr="00F67F4E">
        <w:rPr>
          <w:rFonts w:ascii="Times New Roman" w:hAnsi="Times New Roman" w:cs="Times New Roman"/>
          <w:sz w:val="24"/>
          <w:szCs w:val="24"/>
        </w:rPr>
        <w:t xml:space="preserve"> &lt; 0.05 (ns, not significant). The above results (Fig. S4 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F67F4E">
        <w:rPr>
          <w:rFonts w:ascii="Times New Roman" w:hAnsi="Times New Roman" w:cs="Times New Roman"/>
          <w:sz w:val="24"/>
          <w:szCs w:val="24"/>
        </w:rPr>
        <w:t>-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F67F4E">
        <w:rPr>
          <w:rFonts w:ascii="Times New Roman" w:hAnsi="Times New Roman" w:cs="Times New Roman"/>
          <w:sz w:val="24"/>
          <w:szCs w:val="24"/>
        </w:rPr>
        <w:t>) indicate that adding 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 xml:space="preserve"> does not alter the neurotoxicity of Aβ42.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D</w:t>
      </w:r>
      <w:r w:rsidRPr="00F67F4E">
        <w:rPr>
          <w:rFonts w:ascii="Times New Roman" w:hAnsi="Times New Roman" w:cs="Times New Roman"/>
          <w:sz w:val="24"/>
          <w:szCs w:val="24"/>
        </w:rPr>
        <w:t>) Cell viability of SH-SY5Y cells after incubation with different concentrations of 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>/Na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S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F67F4E">
        <w:rPr>
          <w:rFonts w:ascii="Times New Roman" w:hAnsi="Times New Roman" w:cs="Times New Roman"/>
          <w:sz w:val="24"/>
          <w:szCs w:val="24"/>
        </w:rPr>
        <w:t>O</w:t>
      </w:r>
      <w:r w:rsidRPr="00F67F4E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F67F4E">
        <w:rPr>
          <w:rFonts w:ascii="Times New Roman" w:hAnsi="Times New Roman" w:cs="Times New Roman"/>
          <w:sz w:val="24"/>
          <w:szCs w:val="24"/>
        </w:rPr>
        <w:t xml:space="preserve"> for 24 h evaluated by MTT. Data are presented as means ± SD (n = 4). The salt added for peptide preparation does not affect cell viability.</w:t>
      </w:r>
    </w:p>
    <w:p w14:paraId="04A78235" w14:textId="77777777" w:rsidR="00F67F4E" w:rsidRPr="00F67F4E" w:rsidRDefault="00F67F4E" w:rsidP="00F67F4E">
      <w:pPr>
        <w:spacing w:afterLines="50" w:after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7F4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293AD5D1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5FD56FC0" wp14:editId="00A1B628">
            <wp:extent cx="4718549" cy="2576285"/>
            <wp:effectExtent l="0" t="0" r="0" b="0"/>
            <wp:docPr id="38671167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0930" cy="259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4743B6" w14:textId="736D31D7" w:rsidR="00F67F4E" w:rsidRPr="00F67F4E" w:rsidRDefault="00F67F4E" w:rsidP="00B9183B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83B">
        <w:rPr>
          <w:rFonts w:ascii="Times New Roman" w:hAnsi="Times New Roman" w:cs="Times New Roman"/>
          <w:b/>
          <w:bCs/>
          <w:sz w:val="24"/>
          <w:szCs w:val="24"/>
        </w:rPr>
        <w:t xml:space="preserve">Fig. S6. TEM photographs of Aβ42 and 3-ATAβ42 (initial monomer concentration of 30 </w:t>
      </w:r>
      <w:proofErr w:type="spellStart"/>
      <w:r w:rsidRPr="00B9183B">
        <w:rPr>
          <w:rFonts w:ascii="Times New Roman" w:hAnsi="Times New Roman" w:cs="Times New Roman"/>
          <w:b/>
          <w:bCs/>
          <w:sz w:val="24"/>
          <w:szCs w:val="24"/>
        </w:rPr>
        <w:t>μM</w:t>
      </w:r>
      <w:proofErr w:type="spellEnd"/>
      <w:r w:rsidRPr="00B9183B">
        <w:rPr>
          <w:rFonts w:ascii="Times New Roman" w:hAnsi="Times New Roman" w:cs="Times New Roman"/>
          <w:b/>
          <w:bCs/>
          <w:sz w:val="24"/>
          <w:szCs w:val="24"/>
        </w:rPr>
        <w:t>) aggregates at smaller magnifications after 7 days of incubation.</w:t>
      </w:r>
      <w:r w:rsidRPr="00F67F4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F67F4E">
        <w:rPr>
          <w:rFonts w:ascii="Times New Roman" w:hAnsi="Times New Roman" w:cs="Times New Roman"/>
          <w:color w:val="000000" w:themeColor="text1"/>
          <w:sz w:val="24"/>
          <w:szCs w:val="24"/>
        </w:rPr>
        <w:t>Images showed that 3-ATAβ42 aggregates are denser than Aβ42 aggregates.</w:t>
      </w:r>
      <w:r w:rsidRPr="00F67F4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1FD651F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4D209CED" wp14:editId="201FD7AC">
            <wp:extent cx="3275531" cy="2344058"/>
            <wp:effectExtent l="0" t="0" r="1270" b="0"/>
            <wp:docPr id="59351610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0392" cy="2354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FE6242" w14:textId="66107330" w:rsidR="00F67F4E" w:rsidRPr="00F67F4E" w:rsidRDefault="00F67F4E" w:rsidP="00B9183B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9183B">
        <w:rPr>
          <w:rFonts w:ascii="Times New Roman" w:hAnsi="Times New Roman" w:cs="Times New Roman"/>
          <w:b/>
          <w:bCs/>
          <w:sz w:val="24"/>
          <w:szCs w:val="24"/>
        </w:rPr>
        <w:t>Fig. S7. Relative mean residual error (MRE) of different models in the global fit.</w:t>
      </w:r>
      <w:r w:rsidRPr="00F67F4E">
        <w:rPr>
          <w:rFonts w:ascii="Times New Roman" w:hAnsi="Times New Roman" w:cs="Times New Roman"/>
          <w:sz w:val="24"/>
          <w:szCs w:val="24"/>
        </w:rPr>
        <w:t xml:space="preserve"> The smaller the MRE, the better the fit. 1 represents the nucleation elongation model; 2 represents the secondary nucleation-dominated model; 3 represents the fragmentation-dominated model; and 4 represents the multi-step secondary nucleation-dominated model. The multi-step secondary nucleation-dominated model is most consistent with the aggregation behavior of Aβ42, while the multi-step secondary nucleation-dominated model and fragmentation-dominated model both fit the aggregation dynamics of 3-ATAβ42 well.</w:t>
      </w:r>
      <w:r w:rsidRPr="00F67F4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C0C6621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2F628D58" wp14:editId="7C224C71">
            <wp:extent cx="4992914" cy="3301960"/>
            <wp:effectExtent l="0" t="0" r="0" b="0"/>
            <wp:docPr id="13281559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921" cy="33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88DD4" w14:textId="26A10DB5" w:rsidR="00F67F4E" w:rsidRPr="00F67F4E" w:rsidRDefault="00F67F4E" w:rsidP="00F47F69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0F64">
        <w:rPr>
          <w:rFonts w:ascii="Times New Roman" w:hAnsi="Times New Roman" w:cs="Times New Roman"/>
          <w:b/>
          <w:bCs/>
          <w:sz w:val="24"/>
          <w:szCs w:val="24"/>
        </w:rPr>
        <w:t>Fig. S8. Apoptosis caused by Aβ42 and its mutants.</w:t>
      </w:r>
      <w:r w:rsidRPr="00F67F4E">
        <w:rPr>
          <w:rFonts w:ascii="Times New Roman" w:hAnsi="Times New Roman" w:cs="Times New Roman"/>
          <w:sz w:val="24"/>
          <w:szCs w:val="24"/>
        </w:rPr>
        <w:t xml:space="preserve">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F67F4E">
        <w:rPr>
          <w:rFonts w:ascii="Times New Roman" w:hAnsi="Times New Roman" w:cs="Times New Roman"/>
          <w:sz w:val="24"/>
          <w:szCs w:val="24"/>
        </w:rPr>
        <w:t>) The degree of apoptosis/necrosis of SH-SY5Y cells after 24 h co-culture with peptides detected by flow cytometry. Cells were stained using Annexin V and PI staining solution.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F67F4E">
        <w:rPr>
          <w:rFonts w:ascii="Times New Roman" w:hAnsi="Times New Roman" w:cs="Times New Roman"/>
          <w:sz w:val="24"/>
          <w:szCs w:val="24"/>
        </w:rPr>
        <w:t>) Statistical plots of flow cytometric results.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C</w:t>
      </w:r>
      <w:r w:rsidRPr="00F67F4E">
        <w:rPr>
          <w:rFonts w:ascii="Times New Roman" w:hAnsi="Times New Roman" w:cs="Times New Roman"/>
          <w:sz w:val="24"/>
          <w:szCs w:val="24"/>
        </w:rPr>
        <w:t>) Fluorescent images of SH-SY5Y cells stained by DAPI after 24 h co-culture with peptides. DAPI dye cannot enter the complete cell membrane. When apoptosis/necrosis occurs, DAPI enters the cell and stains the nucleus. The stronger the fluorescence is, the higher the degree of apoptosis/necrosis is. The results reveal that tyrosine nitration and amination inhibit apoptosis induced by Aβ42.</w:t>
      </w:r>
      <w:r w:rsidRPr="00F67F4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36C5E531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77ECEDD6" wp14:editId="4854E6AD">
            <wp:extent cx="3570514" cy="2937743"/>
            <wp:effectExtent l="0" t="0" r="0" b="0"/>
            <wp:docPr id="584147062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148" cy="2958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E2575C" w14:textId="50B25080" w:rsidR="00F67F4E" w:rsidRPr="00850F64" w:rsidRDefault="00F67F4E" w:rsidP="00850F64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0F64">
        <w:rPr>
          <w:rFonts w:ascii="Times New Roman" w:hAnsi="Times New Roman" w:cs="Times New Roman"/>
          <w:b/>
          <w:bCs/>
          <w:sz w:val="24"/>
          <w:szCs w:val="24"/>
        </w:rPr>
        <w:t xml:space="preserve">Fig. S9. Hydrophobicity of Aβ42 and its mutant (30 </w:t>
      </w:r>
      <w:proofErr w:type="spellStart"/>
      <w:r w:rsidRPr="00850F64">
        <w:rPr>
          <w:rFonts w:ascii="Times New Roman" w:hAnsi="Times New Roman" w:cs="Times New Roman"/>
          <w:b/>
          <w:bCs/>
          <w:sz w:val="24"/>
          <w:szCs w:val="24"/>
        </w:rPr>
        <w:t>μM</w:t>
      </w:r>
      <w:proofErr w:type="spellEnd"/>
      <w:r w:rsidRPr="00850F64">
        <w:rPr>
          <w:rFonts w:ascii="Times New Roman" w:hAnsi="Times New Roman" w:cs="Times New Roman"/>
          <w:b/>
          <w:bCs/>
          <w:sz w:val="24"/>
          <w:szCs w:val="24"/>
        </w:rPr>
        <w:t>) after incubation for 48 h determined by ANS fluorescent dye.</w:t>
      </w:r>
      <w:r w:rsidRPr="00850F64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713E4EF8" w14:textId="77777777" w:rsidR="00F67F4E" w:rsidRPr="00F67F4E" w:rsidRDefault="00F67F4E" w:rsidP="00F67F4E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7F4E">
        <w:rPr>
          <w:rFonts w:ascii="Times New Roman" w:hAnsi="Times New Roman" w:cs="Times New Roman"/>
          <w:noProof/>
          <w:sz w:val="24"/>
          <w:szCs w:val="24"/>
          <w:lang w:eastAsia="zh-CN"/>
        </w:rPr>
        <w:lastRenderedPageBreak/>
        <w:drawing>
          <wp:inline distT="0" distB="0" distL="0" distR="0" wp14:anchorId="1265D40B" wp14:editId="358E4CB1">
            <wp:extent cx="4796971" cy="3619388"/>
            <wp:effectExtent l="0" t="0" r="3810" b="635"/>
            <wp:docPr id="12381872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616" cy="3656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FE242D" w14:textId="0FF515E0" w:rsidR="00F67F4E" w:rsidRPr="00F67F4E" w:rsidRDefault="00F67F4E" w:rsidP="00850F64">
      <w:pPr>
        <w:spacing w:afterLines="50" w:after="156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50F64">
        <w:rPr>
          <w:rFonts w:ascii="Times New Roman" w:hAnsi="Times New Roman" w:cs="Times New Roman"/>
          <w:b/>
          <w:bCs/>
          <w:sz w:val="24"/>
          <w:szCs w:val="24"/>
        </w:rPr>
        <w:t>Fig. S10. Effect of tyrosine modification on the binding of Aβ to 6E10 antibody.</w:t>
      </w:r>
      <w:r w:rsidRPr="00F67F4E">
        <w:rPr>
          <w:rFonts w:ascii="Times New Roman" w:hAnsi="Times New Roman" w:cs="Times New Roman"/>
          <w:sz w:val="24"/>
          <w:szCs w:val="24"/>
        </w:rPr>
        <w:t xml:space="preserve">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A</w:t>
      </w:r>
      <w:r w:rsidRPr="00F67F4E">
        <w:rPr>
          <w:rFonts w:ascii="Times New Roman" w:hAnsi="Times New Roman" w:cs="Times New Roman"/>
          <w:sz w:val="24"/>
          <w:szCs w:val="24"/>
        </w:rPr>
        <w:t>) Binding of 6E10 antibody to Aβ in different species and states detected by Dot blot. (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>B</w:t>
      </w:r>
      <w:r w:rsidRPr="00F67F4E">
        <w:rPr>
          <w:rFonts w:ascii="Times New Roman" w:hAnsi="Times New Roman" w:cs="Times New Roman"/>
          <w:sz w:val="24"/>
          <w:szCs w:val="24"/>
        </w:rPr>
        <w:t>) Quantization of the gray value of Dot-blot result. Data are presented as means ± SD (n</w:t>
      </w:r>
      <w:r w:rsidRPr="00F67F4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67F4E">
        <w:rPr>
          <w:rFonts w:ascii="Times New Roman" w:hAnsi="Times New Roman" w:cs="Times New Roman"/>
          <w:sz w:val="24"/>
          <w:szCs w:val="24"/>
        </w:rPr>
        <w:t>= 4). Y10 modification does not affect Aβ binding to the 6E10 antibody.</w:t>
      </w:r>
      <w:r w:rsidRPr="00F67F4E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1BE8813" w14:textId="77777777" w:rsidR="00F67F4E" w:rsidRPr="00502304" w:rsidRDefault="00F67F4E" w:rsidP="00C356A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230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S1. Individual rate constants (primary nucleation rate constant </w:t>
      </w:r>
      <w:proofErr w:type="spellStart"/>
      <w:r w:rsidRPr="0050230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50230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proofErr w:type="spellEnd"/>
      <w:r w:rsidRPr="00502304">
        <w:rPr>
          <w:rFonts w:ascii="Times New Roman" w:hAnsi="Times New Roman" w:cs="Times New Roman"/>
          <w:b/>
          <w:bCs/>
          <w:sz w:val="24"/>
          <w:szCs w:val="24"/>
        </w:rPr>
        <w:t xml:space="preserve">, elongation rate constant </w:t>
      </w:r>
      <w:r w:rsidRPr="0050230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50230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+</w:t>
      </w:r>
      <w:r w:rsidRPr="00502304">
        <w:rPr>
          <w:rFonts w:ascii="Times New Roman" w:hAnsi="Times New Roman" w:cs="Times New Roman"/>
          <w:b/>
          <w:bCs/>
          <w:sz w:val="24"/>
          <w:szCs w:val="24"/>
        </w:rPr>
        <w:t>, and secondary nucleation rate constant</w:t>
      </w:r>
      <w:r w:rsidRPr="0050230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k</w:t>
      </w:r>
      <w:r w:rsidRPr="0050230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502304">
        <w:rPr>
          <w:rFonts w:ascii="Times New Roman" w:hAnsi="Times New Roman" w:cs="Times New Roman"/>
          <w:b/>
          <w:bCs/>
          <w:sz w:val="24"/>
          <w:szCs w:val="24"/>
        </w:rPr>
        <w:t>) obtained from the global fit.</w:t>
      </w:r>
    </w:p>
    <w:tbl>
      <w:tblPr>
        <w:tblW w:w="7938" w:type="dxa"/>
        <w:jc w:val="center"/>
        <w:tblBorders>
          <w:top w:val="single" w:sz="12" w:space="0" w:color="auto"/>
          <w:bottom w:val="single" w:sz="12" w:space="0" w:color="auto"/>
          <w:insideH w:val="single" w:sz="8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59"/>
        <w:gridCol w:w="1738"/>
        <w:gridCol w:w="1738"/>
        <w:gridCol w:w="2503"/>
      </w:tblGrid>
      <w:tr w:rsidR="00F67F4E" w:rsidRPr="00F67F4E" w14:paraId="2B64711A" w14:textId="77777777" w:rsidTr="00502304">
        <w:trPr>
          <w:trHeight w:val="701"/>
          <w:jc w:val="center"/>
        </w:trPr>
        <w:tc>
          <w:tcPr>
            <w:tcW w:w="1959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76FD73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Process rate const</w:t>
            </w:r>
          </w:p>
        </w:tc>
        <w:tc>
          <w:tcPr>
            <w:tcW w:w="1738" w:type="dxa"/>
            <w:tcBorders>
              <w:bottom w:val="single" w:sz="8" w:space="0" w:color="auto"/>
            </w:tcBorders>
          </w:tcPr>
          <w:p w14:paraId="40E5CF44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n</w:t>
            </w:r>
            <w:proofErr w:type="spellEnd"/>
          </w:p>
          <w:p w14:paraId="4B4D2DCC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-2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1738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E2CE50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+</w:t>
            </w:r>
          </w:p>
          <w:p w14:paraId="1A11BFC9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2503" w:type="dxa"/>
            <w:tcBorders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F74B13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  <w:p w14:paraId="6B07F58F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-2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</w:t>
            </w:r>
          </w:p>
        </w:tc>
      </w:tr>
      <w:tr w:rsidR="00F67F4E" w:rsidRPr="00F67F4E" w14:paraId="1F8002EB" w14:textId="77777777" w:rsidTr="00502304">
        <w:trPr>
          <w:trHeight w:val="333"/>
          <w:jc w:val="center"/>
        </w:trPr>
        <w:tc>
          <w:tcPr>
            <w:tcW w:w="1959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53B98D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Aβ42</w:t>
            </w:r>
          </w:p>
        </w:tc>
        <w:tc>
          <w:tcPr>
            <w:tcW w:w="1738" w:type="dxa"/>
            <w:tcBorders>
              <w:top w:val="single" w:sz="8" w:space="0" w:color="auto"/>
              <w:bottom w:val="nil"/>
            </w:tcBorders>
          </w:tcPr>
          <w:p w14:paraId="72023E85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738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B256E86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5</w:t>
            </w:r>
          </w:p>
        </w:tc>
        <w:tc>
          <w:tcPr>
            <w:tcW w:w="2503" w:type="dxa"/>
            <w:tcBorders>
              <w:top w:val="single" w:sz="8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0DEE69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7.6×10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11</w:t>
            </w:r>
          </w:p>
        </w:tc>
      </w:tr>
      <w:tr w:rsidR="00F67F4E" w:rsidRPr="00F67F4E" w14:paraId="78A67D9E" w14:textId="77777777" w:rsidTr="00502304">
        <w:trPr>
          <w:trHeight w:val="76"/>
          <w:jc w:val="center"/>
        </w:trPr>
        <w:tc>
          <w:tcPr>
            <w:tcW w:w="1959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FCC3DF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3-ATAβ42</w:t>
            </w:r>
          </w:p>
        </w:tc>
        <w:tc>
          <w:tcPr>
            <w:tcW w:w="1738" w:type="dxa"/>
            <w:tcBorders>
              <w:top w:val="nil"/>
            </w:tcBorders>
          </w:tcPr>
          <w:p w14:paraId="57F2F4F6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3.5×10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-3</w:t>
            </w:r>
          </w:p>
        </w:tc>
        <w:tc>
          <w:tcPr>
            <w:tcW w:w="1738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AC6EFD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4.0×10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2503" w:type="dxa"/>
            <w:tcBorders>
              <w:top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2AAFC8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2.9×10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10</w:t>
            </w:r>
          </w:p>
        </w:tc>
      </w:tr>
    </w:tbl>
    <w:p w14:paraId="262E212B" w14:textId="77777777" w:rsidR="00F67F4E" w:rsidRPr="00F67F4E" w:rsidRDefault="00F67F4E" w:rsidP="00F67F4E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p w14:paraId="52BB3162" w14:textId="77777777" w:rsidR="00F67F4E" w:rsidRPr="00F67F4E" w:rsidRDefault="00F67F4E" w:rsidP="00F67F4E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 w:rsidRPr="00F67F4E">
        <w:rPr>
          <w:rFonts w:ascii="Times New Roman" w:hAnsi="Times New Roman" w:cs="Times New Roman"/>
          <w:sz w:val="24"/>
          <w:szCs w:val="24"/>
        </w:rPr>
        <w:br w:type="page"/>
      </w:r>
    </w:p>
    <w:p w14:paraId="7262505E" w14:textId="77777777" w:rsidR="00F67F4E" w:rsidRPr="00C356A4" w:rsidRDefault="00F67F4E" w:rsidP="00C356A4">
      <w:pPr>
        <w:jc w:val="both"/>
        <w:rPr>
          <w:b/>
          <w:bCs/>
        </w:rPr>
      </w:pPr>
      <w:r w:rsidRPr="00C356A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S2. </w:t>
      </w:r>
      <w:r w:rsidRPr="00C356A4">
        <w:rPr>
          <w:rFonts w:ascii="Times New Roman" w:hAnsi="Times New Roman" w:cs="Times New Roman"/>
          <w:b/>
          <w:bCs/>
          <w:color w:val="000000"/>
          <w:sz w:val="24"/>
          <w:szCs w:val="24"/>
        </w:rPr>
        <w:t>Combined</w:t>
      </w:r>
      <w:r w:rsidRPr="00C356A4">
        <w:rPr>
          <w:rFonts w:ascii="Times New Roman" w:hAnsi="Times New Roman" w:cs="Times New Roman"/>
          <w:b/>
          <w:bCs/>
          <w:sz w:val="24"/>
          <w:szCs w:val="24"/>
        </w:rPr>
        <w:t xml:space="preserve"> rate constants for primary nucleation (</w:t>
      </w:r>
      <w:proofErr w:type="spellStart"/>
      <w:r w:rsidRPr="00C35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C356A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+</w:t>
      </w:r>
      <w:r w:rsidRPr="00C35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C356A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proofErr w:type="spellEnd"/>
      <w:r w:rsidRPr="00C356A4">
        <w:rPr>
          <w:rFonts w:ascii="Times New Roman" w:hAnsi="Times New Roman" w:cs="Times New Roman"/>
          <w:b/>
          <w:bCs/>
          <w:sz w:val="24"/>
          <w:szCs w:val="24"/>
        </w:rPr>
        <w:t>) and secondary nucleation (</w:t>
      </w:r>
      <w:r w:rsidRPr="00C35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C356A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+</w:t>
      </w:r>
      <w:r w:rsidRPr="00C35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C356A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C356A4">
        <w:rPr>
          <w:rFonts w:ascii="Times New Roman" w:hAnsi="Times New Roman" w:cs="Times New Roman"/>
          <w:b/>
          <w:bCs/>
          <w:sz w:val="24"/>
          <w:szCs w:val="24"/>
        </w:rPr>
        <w:t>), the relative importance of primary and secondary nucleation (</w:t>
      </w:r>
      <w:proofErr w:type="spellStart"/>
      <w:r w:rsidRPr="00C35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C356A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n</w:t>
      </w:r>
      <w:proofErr w:type="spellEnd"/>
      <w:r w:rsidRPr="00C356A4">
        <w:rPr>
          <w:rFonts w:ascii="Times New Roman" w:hAnsi="Times New Roman" w:cs="Times New Roman"/>
          <w:b/>
          <w:bCs/>
          <w:sz w:val="24"/>
          <w:szCs w:val="24"/>
        </w:rPr>
        <w:t>/</w:t>
      </w:r>
      <w:r w:rsidRPr="00C356A4">
        <w:rPr>
          <w:rFonts w:ascii="Times New Roman" w:hAnsi="Times New Roman" w:cs="Times New Roman"/>
          <w:b/>
          <w:bCs/>
          <w:i/>
          <w:iCs/>
          <w:sz w:val="24"/>
          <w:szCs w:val="24"/>
        </w:rPr>
        <w:t>k</w:t>
      </w:r>
      <w:r w:rsidRPr="00C356A4">
        <w:rPr>
          <w:rFonts w:ascii="Times New Roman" w:hAnsi="Times New Roman" w:cs="Times New Roman"/>
          <w:b/>
          <w:bCs/>
          <w:sz w:val="24"/>
          <w:szCs w:val="24"/>
          <w:vertAlign w:val="subscript"/>
        </w:rPr>
        <w:t>2</w:t>
      </w:r>
      <w:r w:rsidRPr="00C356A4">
        <w:rPr>
          <w:rFonts w:ascii="Times New Roman" w:hAnsi="Times New Roman" w:cs="Times New Roman"/>
          <w:b/>
          <w:bCs/>
          <w:sz w:val="24"/>
          <w:szCs w:val="24"/>
        </w:rPr>
        <w:t xml:space="preserve">), and the </w:t>
      </w:r>
      <w:r w:rsidRPr="00C356A4">
        <w:rPr>
          <w:rFonts w:ascii="Times New Roman" w:hAnsi="Times New Roman" w:cs="Times New Roman"/>
          <w:b/>
          <w:bCs/>
          <w:color w:val="000000"/>
          <w:sz w:val="24"/>
          <w:szCs w:val="24"/>
        </w:rPr>
        <w:t>half-saturation concentration of secondary nucleation (√</w:t>
      </w:r>
      <w:proofErr w:type="spellStart"/>
      <w:r w:rsidRPr="00C356A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k</w:t>
      </w:r>
      <w:r w:rsidRPr="00C356A4">
        <w:rPr>
          <w:rFonts w:ascii="Times New Roman" w:hAnsi="Times New Roman" w:cs="Times New Roman"/>
          <w:b/>
          <w:bCs/>
          <w:color w:val="000000"/>
          <w:sz w:val="24"/>
          <w:szCs w:val="24"/>
          <w:vertAlign w:val="subscript"/>
        </w:rPr>
        <w:t>M</w:t>
      </w:r>
      <w:proofErr w:type="spellEnd"/>
      <w:r w:rsidRPr="00C356A4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) </w:t>
      </w:r>
      <w:r w:rsidRPr="00C356A4">
        <w:rPr>
          <w:rFonts w:ascii="Times New Roman" w:hAnsi="Times New Roman" w:cs="Times New Roman"/>
          <w:b/>
          <w:bCs/>
          <w:sz w:val="24"/>
          <w:szCs w:val="24"/>
        </w:rPr>
        <w:t>obtained from the global fit.</w:t>
      </w:r>
    </w:p>
    <w:tbl>
      <w:tblPr>
        <w:tblW w:w="8276" w:type="dxa"/>
        <w:jc w:val="center"/>
        <w:tblBorders>
          <w:top w:val="single" w:sz="12" w:space="0" w:color="auto"/>
          <w:bottom w:val="single" w:sz="12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434"/>
        <w:gridCol w:w="1645"/>
        <w:gridCol w:w="1645"/>
        <w:gridCol w:w="1857"/>
        <w:gridCol w:w="1695"/>
      </w:tblGrid>
      <w:tr w:rsidR="00F67F4E" w:rsidRPr="00F67F4E" w14:paraId="6A3E9E5A" w14:textId="77777777" w:rsidTr="00E165DD">
        <w:trPr>
          <w:trHeight w:val="722"/>
          <w:jc w:val="center"/>
        </w:trPr>
        <w:tc>
          <w:tcPr>
            <w:tcW w:w="143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B22933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Process rate const</w:t>
            </w:r>
          </w:p>
        </w:tc>
        <w:tc>
          <w:tcPr>
            <w:tcW w:w="164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E35788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+</w:t>
            </w:r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n</w:t>
            </w:r>
            <w:proofErr w:type="spellEnd"/>
          </w:p>
          <w:p w14:paraId="65A1B340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-2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64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669CF5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+</w:t>
            </w:r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  <w:p w14:paraId="06A01C67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-3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-2</w:t>
            </w:r>
          </w:p>
        </w:tc>
        <w:tc>
          <w:tcPr>
            <w:tcW w:w="185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6E5423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n</w:t>
            </w:r>
            <w:proofErr w:type="spellEnd"/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</w:t>
            </w:r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  <w:p w14:paraId="6E9EAFCF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</w:t>
            </w:r>
          </w:p>
        </w:tc>
        <w:tc>
          <w:tcPr>
            <w:tcW w:w="169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CB8405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√</w:t>
            </w:r>
            <w:proofErr w:type="spellStart"/>
            <w:r w:rsidRPr="00F67F4E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k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bscript"/>
              </w:rPr>
              <w:t>M</w:t>
            </w:r>
            <w:proofErr w:type="spellEnd"/>
          </w:p>
          <w:p w14:paraId="12949C58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 M</w:t>
            </w:r>
          </w:p>
        </w:tc>
      </w:tr>
      <w:tr w:rsidR="00F67F4E" w:rsidRPr="00F67F4E" w14:paraId="6BDCC8DB" w14:textId="77777777" w:rsidTr="00E165DD">
        <w:trPr>
          <w:trHeight w:val="379"/>
          <w:jc w:val="center"/>
        </w:trPr>
        <w:tc>
          <w:tcPr>
            <w:tcW w:w="1434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4DE059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Aβ42</w:t>
            </w:r>
          </w:p>
        </w:tc>
        <w:tc>
          <w:tcPr>
            <w:tcW w:w="1645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A4A79F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1.7×10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9</w:t>
            </w:r>
          </w:p>
        </w:tc>
        <w:tc>
          <w:tcPr>
            <w:tcW w:w="1645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CBF712D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17</w:t>
            </w:r>
          </w:p>
        </w:tc>
        <w:tc>
          <w:tcPr>
            <w:tcW w:w="1857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65B334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3.0×10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1695" w:type="dxa"/>
            <w:tcBorders>
              <w:top w:val="single" w:sz="8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987C13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-7</w:t>
            </w:r>
          </w:p>
        </w:tc>
      </w:tr>
      <w:tr w:rsidR="00F67F4E" w:rsidRPr="00F67F4E" w14:paraId="7EA4352B" w14:textId="77777777" w:rsidTr="00E165DD">
        <w:trPr>
          <w:trHeight w:val="29"/>
          <w:jc w:val="center"/>
        </w:trPr>
        <w:tc>
          <w:tcPr>
            <w:tcW w:w="1434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125F3D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3-ATAβ42</w:t>
            </w:r>
          </w:p>
        </w:tc>
        <w:tc>
          <w:tcPr>
            <w:tcW w:w="16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DC6D5F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8</w:t>
            </w:r>
          </w:p>
        </w:tc>
        <w:tc>
          <w:tcPr>
            <w:tcW w:w="164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5C908E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1..1×10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21</w:t>
            </w:r>
          </w:p>
        </w:tc>
        <w:tc>
          <w:tcPr>
            <w:tcW w:w="1857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227684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-13</w:t>
            </w:r>
          </w:p>
        </w:tc>
        <w:tc>
          <w:tcPr>
            <w:tcW w:w="1695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29AB79" w14:textId="77777777" w:rsidR="00F67F4E" w:rsidRPr="00F67F4E" w:rsidRDefault="00F67F4E" w:rsidP="00F67F4E">
            <w:pPr>
              <w:spacing w:afterLines="50" w:after="156"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8.0×10</w:t>
            </w:r>
            <w:r w:rsidRPr="00F67F4E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-9</w:t>
            </w:r>
          </w:p>
        </w:tc>
      </w:tr>
    </w:tbl>
    <w:p w14:paraId="77BDC50F" w14:textId="77777777" w:rsidR="0060636E" w:rsidRPr="00F67F4E" w:rsidRDefault="0060636E" w:rsidP="00F67F4E">
      <w:pPr>
        <w:spacing w:afterLines="50" w:after="156" w:line="360" w:lineRule="auto"/>
        <w:rPr>
          <w:rFonts w:ascii="Times New Roman" w:hAnsi="Times New Roman" w:cs="Times New Roman"/>
          <w:sz w:val="24"/>
          <w:szCs w:val="24"/>
        </w:rPr>
      </w:pPr>
    </w:p>
    <w:sectPr w:rsidR="0060636E" w:rsidRPr="00F67F4E">
      <w:foot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45CCF0" w14:textId="77777777" w:rsidR="00B16443" w:rsidRDefault="00B16443" w:rsidP="00503FC2">
      <w:pPr>
        <w:spacing w:after="0"/>
      </w:pPr>
      <w:r>
        <w:separator/>
      </w:r>
    </w:p>
  </w:endnote>
  <w:endnote w:type="continuationSeparator" w:id="0">
    <w:p w14:paraId="58633BCC" w14:textId="77777777" w:rsidR="00B16443" w:rsidRDefault="00B16443" w:rsidP="00503FC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8499273"/>
      <w:docPartObj>
        <w:docPartGallery w:val="Page Numbers (Bottom of Page)"/>
        <w:docPartUnique/>
      </w:docPartObj>
    </w:sdtPr>
    <w:sdtContent>
      <w:p w14:paraId="358C6C6B" w14:textId="0A48B11E" w:rsidR="00503FC2" w:rsidRDefault="00503FC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 w:eastAsia="zh-CN"/>
          </w:rPr>
          <w:t>2</w:t>
        </w:r>
        <w:r>
          <w:fldChar w:fldCharType="end"/>
        </w:r>
      </w:p>
    </w:sdtContent>
  </w:sdt>
  <w:p w14:paraId="33B57BD4" w14:textId="77777777" w:rsidR="00503FC2" w:rsidRDefault="00503FC2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567D26" w14:textId="77777777" w:rsidR="00B16443" w:rsidRDefault="00B16443" w:rsidP="00503FC2">
      <w:pPr>
        <w:spacing w:after="0"/>
      </w:pPr>
      <w:r>
        <w:separator/>
      </w:r>
    </w:p>
  </w:footnote>
  <w:footnote w:type="continuationSeparator" w:id="0">
    <w:p w14:paraId="414DDFC7" w14:textId="77777777" w:rsidR="00B16443" w:rsidRDefault="00B16443" w:rsidP="00503FC2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O0NDE0szQ0NzMxMDRU0lEKTi0uzszPAykwqgUAVDCJ8iwAAAA="/>
  </w:docVars>
  <w:rsids>
    <w:rsidRoot w:val="00F67F4E"/>
    <w:rsid w:val="00130AD2"/>
    <w:rsid w:val="00324CA7"/>
    <w:rsid w:val="00403B4A"/>
    <w:rsid w:val="00502304"/>
    <w:rsid w:val="00503FC2"/>
    <w:rsid w:val="0053163E"/>
    <w:rsid w:val="0060636E"/>
    <w:rsid w:val="008419D5"/>
    <w:rsid w:val="00850F64"/>
    <w:rsid w:val="00877D46"/>
    <w:rsid w:val="00AD7F27"/>
    <w:rsid w:val="00B16443"/>
    <w:rsid w:val="00B9183B"/>
    <w:rsid w:val="00C356A4"/>
    <w:rsid w:val="00CB4C80"/>
    <w:rsid w:val="00DC5DC0"/>
    <w:rsid w:val="00E62D4A"/>
    <w:rsid w:val="00F42892"/>
    <w:rsid w:val="00F47F69"/>
    <w:rsid w:val="00F67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90D306"/>
  <w15:chartTrackingRefBased/>
  <w15:docId w15:val="{CB390E26-532D-4FA9-AC6C-1696C10EE0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7F4E"/>
    <w:pPr>
      <w:spacing w:after="200"/>
    </w:pPr>
    <w:rPr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67F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7F4E"/>
    <w:rPr>
      <w:color w:val="0563C1" w:themeColor="hyperlink"/>
      <w:u w:val="single"/>
    </w:rPr>
  </w:style>
  <w:style w:type="paragraph" w:customStyle="1" w:styleId="SMHeading">
    <w:name w:val="SM Heading"/>
    <w:basedOn w:val="1"/>
    <w:rsid w:val="00F67F4E"/>
    <w:pPr>
      <w:keepLines w:val="0"/>
      <w:spacing w:before="240" w:after="60" w:line="240" w:lineRule="auto"/>
    </w:pPr>
    <w:rPr>
      <w:rFonts w:ascii="Times New Roman" w:hAnsi="Times New Roman" w:cs="Times New Roman"/>
      <w:kern w:val="32"/>
      <w:sz w:val="24"/>
      <w:szCs w:val="24"/>
    </w:rPr>
  </w:style>
  <w:style w:type="paragraph" w:customStyle="1" w:styleId="SMText">
    <w:name w:val="SM Text"/>
    <w:basedOn w:val="a"/>
    <w:rsid w:val="00F67F4E"/>
    <w:pPr>
      <w:spacing w:after="0"/>
      <w:ind w:firstLine="480"/>
    </w:pPr>
    <w:rPr>
      <w:rFonts w:ascii="Times New Roman" w:hAnsi="Times New Roman" w:cs="Times New Roman"/>
      <w:sz w:val="24"/>
      <w:szCs w:val="20"/>
    </w:rPr>
  </w:style>
  <w:style w:type="character" w:customStyle="1" w:styleId="10">
    <w:name w:val="标题 1 字符"/>
    <w:basedOn w:val="a0"/>
    <w:link w:val="1"/>
    <w:uiPriority w:val="9"/>
    <w:rsid w:val="00F67F4E"/>
    <w:rPr>
      <w:b/>
      <w:bCs/>
      <w:kern w:val="44"/>
      <w:sz w:val="44"/>
      <w:szCs w:val="44"/>
      <w:lang w:eastAsia="en-US"/>
    </w:rPr>
  </w:style>
  <w:style w:type="paragraph" w:styleId="a4">
    <w:name w:val="header"/>
    <w:basedOn w:val="a"/>
    <w:link w:val="a5"/>
    <w:uiPriority w:val="99"/>
    <w:unhideWhenUsed/>
    <w:rsid w:val="00503FC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03FC2"/>
    <w:rPr>
      <w:kern w:val="0"/>
      <w:sz w:val="18"/>
      <w:szCs w:val="18"/>
      <w:lang w:eastAsia="en-US"/>
    </w:rPr>
  </w:style>
  <w:style w:type="paragraph" w:styleId="a6">
    <w:name w:val="footer"/>
    <w:basedOn w:val="a"/>
    <w:link w:val="a7"/>
    <w:uiPriority w:val="99"/>
    <w:unhideWhenUsed/>
    <w:rsid w:val="00503FC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03FC2"/>
    <w:rPr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hailing86@hust.edu.cn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mailto:zhgao144@hust.edu.cn" TargetMode="External"/><Relationship Id="rId12" Type="http://schemas.openxmlformats.org/officeDocument/2006/relationships/image" Target="media/image4.tiff"/><Relationship Id="rId17" Type="http://schemas.openxmlformats.org/officeDocument/2006/relationships/image" Target="media/image9.tiff"/><Relationship Id="rId2" Type="http://schemas.openxmlformats.org/officeDocument/2006/relationships/styles" Target="styles.xml"/><Relationship Id="rId16" Type="http://schemas.openxmlformats.org/officeDocument/2006/relationships/image" Target="media/image8.tif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image" Target="media/image7.tiff"/><Relationship Id="rId10" Type="http://schemas.openxmlformats.org/officeDocument/2006/relationships/image" Target="media/image2.tiff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A52BF-DBAE-405B-B8B9-97FA99E1E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2073</TotalTime>
  <Pages>13</Pages>
  <Words>798</Words>
  <Characters>4549</Characters>
  <Application>Microsoft Office Word</Application>
  <DocSecurity>0</DocSecurity>
  <Lines>37</Lines>
  <Paragraphs>10</Paragraphs>
  <ScaleCrop>false</ScaleCrop>
  <Company/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婷 胡</dc:creator>
  <cp:keywords/>
  <dc:description/>
  <cp:lastModifiedBy>婷 胡</cp:lastModifiedBy>
  <cp:revision>18</cp:revision>
  <dcterms:created xsi:type="dcterms:W3CDTF">2023-12-11T08:42:00Z</dcterms:created>
  <dcterms:modified xsi:type="dcterms:W3CDTF">2023-12-14T02:27:00Z</dcterms:modified>
</cp:coreProperties>
</file>