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0" w:name="OLE_LINK53"/>
      <w:r>
        <w:rPr>
          <w:rFonts w:hint="default" w:ascii="Times New Roman" w:hAnsi="Times New Roman" w:cs="Times New Roman"/>
          <w:b/>
          <w:bCs/>
          <w:sz w:val="32"/>
          <w:szCs w:val="32"/>
        </w:rPr>
        <w:t>Supplemetal Information for:</w:t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hint="default" w:ascii="Times New Roman" w:hAnsi="Times New Roman" w:eastAsia="等线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Chromosome-level genome </w:t>
      </w:r>
      <w:bookmarkStart w:id="1" w:name="OLE_LINK14"/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assembly </w:t>
      </w:r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of a </w:t>
      </w:r>
      <w:bookmarkStart w:id="2" w:name="OLE_LINK13"/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cliff plant </w:t>
      </w:r>
      <w:bookmarkStart w:id="3" w:name="OLE_LINK40"/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 xml:space="preserve">Taihangia </w:t>
      </w:r>
      <w:bookmarkEnd w:id="3"/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rupestris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var. </w:t>
      </w: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</w:rPr>
        <w:t>ciliata</w:t>
      </w:r>
      <w:bookmarkEnd w:id="2"/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provides insights into its </w:t>
      </w:r>
      <w:bookmarkStart w:id="4" w:name="OLE_LINK57"/>
      <w:r>
        <w:rPr>
          <w:rFonts w:hint="default" w:ascii="Times New Roman" w:hAnsi="Times New Roman" w:cs="Times New Roman"/>
          <w:b/>
          <w:bCs/>
          <w:sz w:val="28"/>
          <w:szCs w:val="28"/>
        </w:rPr>
        <w:t>adaptation</w:t>
      </w:r>
      <w:bookmarkEnd w:id="4"/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and demographic history</w:t>
      </w:r>
    </w:p>
    <w:bookmarkEnd w:id="0"/>
    <w:p>
      <w:pPr>
        <w:spacing w:line="360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vertAlign w:val="superscript"/>
        </w:rPr>
      </w:pPr>
      <w:bookmarkStart w:id="5" w:name="OLE_LINK34"/>
      <w:r>
        <w:rPr>
          <w:rFonts w:ascii="Times New Roman" w:hAnsi="Times New Roman" w:cs="Times New Roman"/>
          <w:sz w:val="24"/>
        </w:rPr>
        <w:t>Wei-Guo Li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*, </w:t>
      </w:r>
      <w:bookmarkStart w:id="6" w:name="OLE_LINK17"/>
      <w:r>
        <w:rPr>
          <w:rFonts w:ascii="Times New Roman" w:hAnsi="Times New Roman" w:cs="Times New Roman"/>
          <w:sz w:val="24"/>
        </w:rPr>
        <w:t>Yuan-Yuan Li</w:t>
      </w:r>
      <w:bookmarkEnd w:id="6"/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, </w:t>
      </w:r>
      <w:bookmarkStart w:id="7" w:name="OLE_LINK19"/>
      <w:r>
        <w:rPr>
          <w:rFonts w:ascii="Times New Roman" w:hAnsi="Times New Roman" w:cs="Times New Roman"/>
          <w:sz w:val="24"/>
        </w:rPr>
        <w:t>Chuan-Kun Zheng</w:t>
      </w:r>
      <w:bookmarkEnd w:id="7"/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>, Zhi-Zhong Li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*</w:t>
      </w:r>
    </w:p>
    <w:bookmarkEnd w:id="5"/>
    <w:p>
      <w:pPr>
        <w:spacing w:line="360" w:lineRule="auto"/>
        <w:rPr>
          <w:rFonts w:hint="default" w:ascii="Times New Roman" w:hAnsi="Times New Roman" w:cs="Times New Roman"/>
          <w:i/>
          <w:iCs/>
          <w:sz w:val="22"/>
          <w:szCs w:val="22"/>
        </w:rPr>
      </w:pPr>
      <w:bookmarkStart w:id="10" w:name="_GoBack"/>
      <w:bookmarkEnd w:id="10"/>
      <w:r>
        <w:rPr>
          <w:rFonts w:hint="default" w:ascii="Times New Roman" w:hAnsi="Times New Roman" w:cs="Times New Roman"/>
          <w:i/>
          <w:iCs/>
          <w:sz w:val="22"/>
          <w:szCs w:val="22"/>
          <w:vertAlign w:val="superscript"/>
        </w:rPr>
        <w:t xml:space="preserve">1 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>School of Resource and Environment, Henan Polytechnic University, Jiaozuo, Henan 454000, China</w:t>
      </w:r>
    </w:p>
    <w:p>
      <w:pPr>
        <w:spacing w:line="360" w:lineRule="auto"/>
        <w:rPr>
          <w:rFonts w:hint="default" w:ascii="Times New Roman" w:hAnsi="Times New Roman" w:cs="Times New Roman"/>
          <w:i/>
          <w:iCs/>
          <w:sz w:val="22"/>
          <w:szCs w:val="22"/>
        </w:rPr>
      </w:pPr>
      <w:r>
        <w:rPr>
          <w:rFonts w:hint="default" w:ascii="Times New Roman" w:hAnsi="Times New Roman" w:cs="Times New Roman"/>
          <w:i/>
          <w:iCs/>
          <w:sz w:val="22"/>
          <w:szCs w:val="22"/>
          <w:vertAlign w:val="superscript"/>
        </w:rPr>
        <w:t>2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 xml:space="preserve"> Wuhan Botanical Garden, Chinese Academy of Sciences, Wuhan, China</w:t>
      </w: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</w:p>
    <w:p>
      <w:pPr>
        <w:spacing w:line="360" w:lineRule="auto"/>
        <w:rPr>
          <w:rFonts w:hint="default" w:ascii="Times New Roman" w:hAnsi="Times New Roman" w:cs="Times New Roman"/>
          <w:sz w:val="22"/>
          <w:szCs w:val="22"/>
        </w:rPr>
      </w:pP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2"/>
          <w:szCs w:val="28"/>
        </w:rPr>
      </w:pPr>
      <w:r>
        <w:rPr>
          <w:rFonts w:hint="default" w:ascii="Times New Roman" w:hAnsi="Times New Roman" w:cs="Times New Roman"/>
          <w:b/>
          <w:bCs/>
          <w:sz w:val="22"/>
          <w:szCs w:val="28"/>
        </w:rPr>
        <w:t xml:space="preserve">*Authors for correspondence: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cs="Times New Roman"/>
          <w:sz w:val="24"/>
          <w:szCs w:val="32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Wei-Guo Li, E-mail: wgli@hpu.edu.cn</w:t>
      </w:r>
    </w:p>
    <w:p>
      <w:pPr>
        <w:spacing w:line="360" w:lineRule="auto"/>
        <w:rPr>
          <w:rFonts w:hint="default" w:ascii="Times New Roman" w:hAnsi="Times New Roman" w:cs="Times New Roman"/>
          <w:sz w:val="22"/>
          <w:szCs w:val="28"/>
        </w:rPr>
      </w:pPr>
      <w:r>
        <w:rPr>
          <w:rFonts w:hint="default" w:ascii="Times New Roman" w:hAnsi="Times New Roman" w:cs="Times New Roman"/>
          <w:sz w:val="22"/>
          <w:szCs w:val="28"/>
        </w:rPr>
        <w:t>Zhi-Zhong Li, E-mail: lizhizhong@wbgcas.cn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8"/>
          <w:szCs w:val="36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</w:rPr>
        <w:t>Supplementary Figures</w:t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138430</wp:posOffset>
            </wp:positionV>
            <wp:extent cx="4572000" cy="4126865"/>
            <wp:effectExtent l="0" t="0" r="0" b="3175"/>
            <wp:wrapNone/>
            <wp:docPr id="1" name="图片 1" descr="kmer_dist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mer_distibution"/>
                    <pic:cNvPicPr>
                      <a:picLocks noChangeAspect="1"/>
                    </pic:cNvPicPr>
                  </pic:nvPicPr>
                  <pic:blipFill>
                    <a:blip r:embed="rId4"/>
                    <a:srcRect t="973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cs="Times New Roman"/>
          <w:b/>
          <w:bCs/>
        </w:rPr>
        <w:t>Fig S1.</w:t>
      </w:r>
      <w:r>
        <w:rPr>
          <w:rFonts w:hint="default" w:ascii="Times New Roman" w:hAnsi="Times New Roman" w:cs="Times New Roman"/>
        </w:rPr>
        <w:t xml:space="preserve"> Distribution of 17-mer frequency for </w:t>
      </w:r>
      <w:bookmarkStart w:id="8" w:name="_Hlk140328163"/>
      <w:r>
        <w:rPr>
          <w:rFonts w:hint="default" w:ascii="Times New Roman" w:hAnsi="Times New Roman" w:eastAsia="宋体" w:cs="Times New Roman"/>
          <w:i/>
          <w:iCs/>
          <w:szCs w:val="21"/>
          <w:lang w:bidi="ar"/>
        </w:rPr>
        <w:t xml:space="preserve">Taihangia </w:t>
      </w:r>
      <w:bookmarkEnd w:id="8"/>
      <w:r>
        <w:rPr>
          <w:rFonts w:hint="default" w:ascii="Times New Roman" w:hAnsi="Times New Roman" w:cs="Times New Roman"/>
          <w:i/>
          <w:iCs/>
        </w:rPr>
        <w:t xml:space="preserve">rupestris </w:t>
      </w:r>
      <w:r>
        <w:rPr>
          <w:rFonts w:hint="default" w:ascii="Times New Roman" w:hAnsi="Times New Roman" w:cs="Times New Roman"/>
        </w:rPr>
        <w:t xml:space="preserve">var. </w:t>
      </w:r>
      <w:r>
        <w:rPr>
          <w:rFonts w:hint="default" w:ascii="Times New Roman" w:hAnsi="Times New Roman" w:cs="Times New Roman"/>
          <w:i/>
          <w:iCs/>
        </w:rPr>
        <w:t>ciliata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6055" cy="4599305"/>
            <wp:effectExtent l="0" t="0" r="6985" b="3175"/>
            <wp:docPr id="6" name="图片 6" descr="hic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ic_heatma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</w:rPr>
        <w:t xml:space="preserve">Fig S2. 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Heat map of the intensity for the Hi-C chromosome</w:t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drawing>
          <wp:inline distT="0" distB="0" distL="114300" distR="114300">
            <wp:extent cx="5260975" cy="5260975"/>
            <wp:effectExtent l="0" t="0" r="0" b="0"/>
            <wp:docPr id="5" name="图片 5" descr="out.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out.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 S3.</w:t>
      </w:r>
      <w:r>
        <w:rPr>
          <w:rFonts w:hint="default" w:ascii="Times New Roman" w:hAnsi="Times New Roman" w:cs="Times New Roman"/>
        </w:rPr>
        <w:t xml:space="preserve"> GO enrichment of </w:t>
      </w:r>
      <w:r>
        <w:rPr>
          <w:rFonts w:hint="default" w:ascii="Times New Roman" w:hAnsi="Times New Roman" w:eastAsia="宋体" w:cs="Times New Roman"/>
          <w:i/>
          <w:iCs/>
          <w:szCs w:val="21"/>
          <w:lang w:bidi="ar"/>
        </w:rPr>
        <w:t xml:space="preserve">T. rupestris </w:t>
      </w:r>
      <w:r>
        <w:rPr>
          <w:rFonts w:hint="default" w:ascii="Times New Roman" w:hAnsi="Times New Roman" w:eastAsia="宋体" w:cs="Times New Roman"/>
          <w:szCs w:val="21"/>
          <w:lang w:bidi="ar"/>
        </w:rPr>
        <w:t>var.</w:t>
      </w:r>
      <w:r>
        <w:rPr>
          <w:rFonts w:hint="default" w:ascii="Times New Roman" w:hAnsi="Times New Roman" w:eastAsia="宋体" w:cs="Times New Roman"/>
          <w:i/>
          <w:iCs/>
          <w:szCs w:val="21"/>
          <w:lang w:bidi="ar"/>
        </w:rPr>
        <w:t xml:space="preserve"> ciliata</w:t>
      </w:r>
      <w:r>
        <w:rPr>
          <w:rFonts w:hint="default" w:ascii="Times New Roman" w:hAnsi="Times New Roman" w:eastAsia="宋体" w:cs="Times New Roman"/>
          <w:szCs w:val="21"/>
          <w:lang w:bidi="ar"/>
        </w:rPr>
        <w:t>-expanded genes</w:t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83820</wp:posOffset>
            </wp:positionV>
            <wp:extent cx="5255260" cy="4777740"/>
            <wp:effectExtent l="0" t="0" r="2540" b="7620"/>
            <wp:wrapNone/>
            <wp:docPr id="7" name="图片 7" descr="out.grad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out.gradien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Fig S4.</w:t>
      </w:r>
      <w:r>
        <w:rPr>
          <w:rFonts w:hint="default" w:ascii="Times New Roman" w:hAnsi="Times New Roman" w:cs="Times New Roman"/>
        </w:rPr>
        <w:t xml:space="preserve"> KEGG enrichment of </w:t>
      </w:r>
      <w:r>
        <w:rPr>
          <w:rFonts w:hint="default" w:ascii="Times New Roman" w:hAnsi="Times New Roman" w:eastAsia="宋体" w:cs="Times New Roman"/>
          <w:i/>
          <w:iCs/>
          <w:szCs w:val="21"/>
          <w:lang w:bidi="ar"/>
        </w:rPr>
        <w:t xml:space="preserve">T. rupestris </w:t>
      </w:r>
      <w:r>
        <w:rPr>
          <w:rFonts w:hint="default" w:ascii="Times New Roman" w:hAnsi="Times New Roman" w:eastAsia="宋体" w:cs="Times New Roman"/>
          <w:szCs w:val="21"/>
          <w:lang w:bidi="ar"/>
        </w:rPr>
        <w:t>var.</w:t>
      </w:r>
      <w:r>
        <w:rPr>
          <w:rFonts w:hint="default" w:ascii="Times New Roman" w:hAnsi="Times New Roman" w:eastAsia="宋体" w:cs="Times New Roman"/>
          <w:i/>
          <w:iCs/>
          <w:szCs w:val="21"/>
          <w:lang w:bidi="ar"/>
        </w:rPr>
        <w:t xml:space="preserve"> ciliata</w:t>
      </w:r>
      <w:r>
        <w:rPr>
          <w:rFonts w:hint="default" w:ascii="Times New Roman" w:hAnsi="Times New Roman" w:eastAsia="宋体" w:cs="Times New Roman"/>
          <w:szCs w:val="21"/>
          <w:lang w:bidi="ar"/>
        </w:rPr>
        <w:t>-expanded genes</w:t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6690" cy="5266690"/>
            <wp:effectExtent l="0" t="0" r="6350" b="6350"/>
            <wp:wrapNone/>
            <wp:docPr id="8" name="图片 8" descr="Tcili_vvi.ks.dot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cili_vvi.ks.dotplot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cs="Times New Roman"/>
          <w:b/>
          <w:bCs/>
        </w:rPr>
        <w:t>Fig S5.</w:t>
      </w:r>
      <w:r>
        <w:rPr>
          <w:rFonts w:hint="default" w:ascii="Times New Roman" w:hAnsi="Times New Roman" w:cs="Times New Roman"/>
        </w:rPr>
        <w:t xml:space="preserve"> Syntenic analysis between </w:t>
      </w:r>
      <w:r>
        <w:rPr>
          <w:rFonts w:hint="default" w:ascii="Times New Roman" w:hAnsi="Times New Roman" w:eastAsia="宋体" w:cs="Times New Roman"/>
          <w:i/>
          <w:iCs/>
          <w:szCs w:val="21"/>
          <w:lang w:bidi="ar"/>
        </w:rPr>
        <w:t xml:space="preserve">T. rupestris </w:t>
      </w:r>
      <w:r>
        <w:rPr>
          <w:rFonts w:hint="default" w:ascii="Times New Roman" w:hAnsi="Times New Roman" w:eastAsia="宋体" w:cs="Times New Roman"/>
          <w:szCs w:val="21"/>
          <w:lang w:bidi="ar"/>
        </w:rPr>
        <w:t>var.</w:t>
      </w:r>
      <w:r>
        <w:rPr>
          <w:rFonts w:hint="default" w:ascii="Times New Roman" w:hAnsi="Times New Roman" w:eastAsia="宋体" w:cs="Times New Roman"/>
          <w:i/>
          <w:iCs/>
          <w:szCs w:val="21"/>
          <w:lang w:bidi="ar"/>
        </w:rPr>
        <w:t xml:space="preserve"> ciliata and V. vinifera</w:t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43815</wp:posOffset>
            </wp:positionV>
            <wp:extent cx="5260975" cy="5260975"/>
            <wp:effectExtent l="0" t="0" r="0" b="0"/>
            <wp:wrapNone/>
            <wp:docPr id="10" name="图片 10" descr="out.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out.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cs="Times New Roman"/>
          <w:b/>
          <w:bCs/>
        </w:rPr>
        <w:t>Fig S6.</w:t>
      </w:r>
      <w:r>
        <w:rPr>
          <w:rFonts w:hint="default" w:ascii="Times New Roman" w:hAnsi="Times New Roman" w:cs="Times New Roman"/>
        </w:rPr>
        <w:t xml:space="preserve"> GO enrichment of </w:t>
      </w:r>
      <w:r>
        <w:rPr>
          <w:rFonts w:hint="default" w:ascii="Times New Roman" w:hAnsi="Times New Roman" w:cs="Times New Roman"/>
          <w:szCs w:val="21"/>
        </w:rPr>
        <w:t xml:space="preserve">WGT-related genes in </w:t>
      </w:r>
      <w:r>
        <w:rPr>
          <w:rFonts w:hint="default" w:ascii="Times New Roman" w:hAnsi="Times New Roman" w:cs="Times New Roman"/>
          <w:i/>
          <w:iCs/>
        </w:rPr>
        <w:t>T. rupestris</w:t>
      </w:r>
      <w:r>
        <w:rPr>
          <w:rFonts w:hint="default" w:ascii="Times New Roman" w:hAnsi="Times New Roman" w:cs="Times New Roman"/>
        </w:rPr>
        <w:t xml:space="preserve"> var. c</w:t>
      </w:r>
      <w:r>
        <w:rPr>
          <w:rFonts w:hint="default" w:ascii="Times New Roman" w:hAnsi="Times New Roman" w:cs="Times New Roman"/>
          <w:i/>
          <w:iCs/>
        </w:rPr>
        <w:t>iliata</w:t>
      </w:r>
    </w:p>
    <w:p>
      <w:pPr>
        <w:rPr>
          <w:rFonts w:hint="default" w:ascii="Times New Roman" w:hAnsi="Times New Roman" w:cs="Times New Roman"/>
          <w:i/>
          <w:iCs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000000"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5250815" cy="4000500"/>
            <wp:effectExtent l="0" t="0" r="6985" b="7620"/>
            <wp:wrapNone/>
            <wp:docPr id="11" name="图片 11" descr="out.gradi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out.gradient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081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cs="Times New Roman"/>
          <w:b/>
          <w:bCs/>
        </w:rPr>
        <w:t>Fig S7.</w:t>
      </w:r>
      <w:r>
        <w:rPr>
          <w:rFonts w:hint="default" w:ascii="Times New Roman" w:hAnsi="Times New Roman" w:cs="Times New Roman"/>
        </w:rPr>
        <w:t xml:space="preserve"> KEGG enrichment of </w:t>
      </w:r>
      <w:r>
        <w:rPr>
          <w:rFonts w:hint="default" w:ascii="Times New Roman" w:hAnsi="Times New Roman" w:cs="Times New Roman"/>
          <w:szCs w:val="21"/>
        </w:rPr>
        <w:t xml:space="preserve">WGT-related genes in </w:t>
      </w:r>
      <w:r>
        <w:rPr>
          <w:rFonts w:hint="default" w:ascii="Times New Roman" w:hAnsi="Times New Roman" w:cs="Times New Roman"/>
          <w:i/>
          <w:iCs/>
        </w:rPr>
        <w:t>T. rupestris</w:t>
      </w:r>
      <w:r>
        <w:rPr>
          <w:rFonts w:hint="default" w:ascii="Times New Roman" w:hAnsi="Times New Roman" w:cs="Times New Roman"/>
        </w:rPr>
        <w:t xml:space="preserve"> var. </w:t>
      </w:r>
      <w:r>
        <w:rPr>
          <w:rFonts w:hint="default" w:ascii="Times New Roman" w:hAnsi="Times New Roman" w:cs="Times New Roman"/>
          <w:i/>
          <w:iCs/>
        </w:rPr>
        <w:t>ciliata</w:t>
      </w: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>
      <w:pPr>
        <w:pStyle w:val="2"/>
        <w:widowControl/>
        <w:rPr>
          <w:rFonts w:hint="default" w:ascii="Times New Roman" w:hAnsi="Times New Roman" w:eastAsia="宋体" w:cs="Times New Roman"/>
          <w:color w:val="000000"/>
          <w:sz w:val="16"/>
          <w:szCs w:val="16"/>
        </w:rPr>
      </w:pPr>
    </w:p>
    <w:p/>
    <w:p/>
    <w:p/>
    <w:p/>
    <w:p/>
    <w:p/>
    <w:p/>
    <w:p/>
    <w:p/>
    <w:p/>
    <w:p/>
    <w:p/>
    <w:p/>
    <w:p/>
    <w:p/>
    <w:p/>
    <w:p/>
    <w:p/>
    <w:p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8"/>
          <w:szCs w:val="36"/>
        </w:rPr>
      </w:pPr>
      <w:r>
        <w:rPr>
          <w:rFonts w:hint="default" w:ascii="Times New Roman" w:hAnsi="Times New Roman" w:cs="Times New Roman"/>
          <w:b/>
          <w:bCs/>
          <w:sz w:val="28"/>
          <w:szCs w:val="36"/>
        </w:rPr>
        <w:t>Supplementary Tables</w:t>
      </w: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</w:rPr>
        <w:t xml:space="preserve">Statistics of the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 </w:t>
      </w:r>
      <w:r>
        <w:rPr>
          <w:rFonts w:hint="default" w:ascii="Times New Roman" w:hAnsi="Times New Roman" w:cs="Times New Roman"/>
        </w:rPr>
        <w:t>genome assembly</w:t>
      </w:r>
    </w:p>
    <w:tbl>
      <w:tblPr>
        <w:tblStyle w:val="3"/>
        <w:tblpPr w:leftFromText="180" w:rightFromText="180" w:vertAnchor="text" w:horzAnchor="page" w:tblpX="1991" w:tblpY="262"/>
        <w:tblOverlap w:val="never"/>
        <w:tblW w:w="742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323"/>
        <w:gridCol w:w="1386"/>
        <w:gridCol w:w="1592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4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2709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Contig</w:t>
            </w:r>
          </w:p>
        </w:tc>
        <w:tc>
          <w:tcPr>
            <w:tcW w:w="327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Scaffold*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Contig length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Contig number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Scaffold length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Scaffold number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769,501,930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309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769,508,730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Longest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49,193,729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165,965,130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Number&gt;=2000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309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N50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17,869,299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104,920,189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N60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15,829,046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104,920,189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N70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12,821,381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91,187,168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N80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10,112,734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90,489,742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N90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5,928,420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59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82,670,173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</w:tr>
    </w:tbl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* Only scaffolds with more than 100 bp length were used in genome assembly.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</w:rPr>
        <w:t>.</w:t>
      </w:r>
      <w:r>
        <w:rPr>
          <w:rFonts w:hint="default" w:ascii="Times New Roman" w:hAnsi="Times New Roman" w:cs="Times New Roman"/>
        </w:rPr>
        <w:t xml:space="preserve"> Evaluation of the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</w:t>
      </w:r>
      <w:r>
        <w:rPr>
          <w:rFonts w:hint="default" w:ascii="Times New Roman" w:hAnsi="Times New Roman" w:cs="Times New Roman"/>
        </w:rPr>
        <w:t xml:space="preserve"> genome assembly using core Eukaryotic genes mapping approach (CEGMA)</w:t>
      </w:r>
    </w:p>
    <w:tbl>
      <w:tblPr>
        <w:tblStyle w:val="3"/>
        <w:tblpPr w:leftFromText="180" w:rightFromText="180" w:vertAnchor="text" w:horzAnchor="page" w:tblpX="1889" w:tblpY="316"/>
        <w:tblOverlap w:val="never"/>
        <w:tblW w:w="742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2"/>
        <w:gridCol w:w="2016"/>
        <w:gridCol w:w="3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Category</w:t>
            </w:r>
          </w:p>
        </w:tc>
        <w:tc>
          <w:tcPr>
            <w:tcW w:w="20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Prot</w:t>
            </w:r>
          </w:p>
        </w:tc>
        <w:tc>
          <w:tcPr>
            <w:tcW w:w="32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Completeness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Complete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236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95.16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Complete + Partial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241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97.18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3.</w:t>
      </w:r>
      <w:r>
        <w:rPr>
          <w:rFonts w:hint="default" w:ascii="Times New Roman" w:hAnsi="Times New Roman" w:cs="Times New Roman"/>
        </w:rPr>
        <w:t xml:space="preserve"> Evaluation of the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</w:t>
      </w:r>
      <w:r>
        <w:rPr>
          <w:rFonts w:hint="default" w:ascii="Times New Roman" w:hAnsi="Times New Roman" w:cs="Times New Roman"/>
        </w:rPr>
        <w:t xml:space="preserve"> genome assembly using Benchmarking Universal Single-Copy Orthologs (BUSCO)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3"/>
        <w:tblW w:w="8195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2"/>
        <w:gridCol w:w="2263"/>
      </w:tblGrid>
      <w:tr>
        <w:trPr>
          <w:trHeight w:val="312" w:hRule="atLeast"/>
        </w:trPr>
        <w:tc>
          <w:tcPr>
            <w:tcW w:w="59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BUSCO assessment results (embryophyta_odb10, n = 1614*)</w:t>
            </w:r>
          </w:p>
        </w:tc>
        <w:tc>
          <w:tcPr>
            <w:tcW w:w="22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Percentage(%)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Complete BUSCOs</w:t>
            </w:r>
          </w:p>
        </w:tc>
        <w:tc>
          <w:tcPr>
            <w:tcW w:w="22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98.3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Complete and single-copy BUSCOs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95.8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Complete and duplicated BUSCOs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Fragmented BUSCOs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9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Missing BUSCOs</w:t>
            </w:r>
          </w:p>
        </w:tc>
        <w:tc>
          <w:tcPr>
            <w:tcW w:w="22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1.5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* n: Total BUSCO groups searched</w:t>
      </w:r>
    </w:p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</w:rPr>
        <w:t>.</w:t>
      </w:r>
      <w:r>
        <w:rPr>
          <w:rFonts w:hint="default" w:ascii="Times New Roman" w:hAnsi="Times New Roman" w:cs="Times New Roman"/>
        </w:rPr>
        <w:t xml:space="preserve"> Evaluation of the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</w:t>
      </w:r>
      <w:r>
        <w:rPr>
          <w:rFonts w:hint="default" w:ascii="Times New Roman" w:hAnsi="Times New Roman" w:cs="Times New Roman"/>
        </w:rPr>
        <w:t xml:space="preserve"> genome assembly using remapping of Illumina reads 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3"/>
        <w:tblW w:w="7504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176"/>
        <w:gridCol w:w="32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2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% of Percentage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Reads</w:t>
            </w:r>
          </w:p>
        </w:tc>
        <w:tc>
          <w:tcPr>
            <w:tcW w:w="31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Mapping rate (%)</w:t>
            </w:r>
          </w:p>
        </w:tc>
        <w:tc>
          <w:tcPr>
            <w:tcW w:w="32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99.52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6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Genome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Average sequencing depth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78.29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Coverage ≥ 1×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99.98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Coverage  ≥ 4×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99.93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Coverage  ≥ 10× (%)</w:t>
            </w:r>
          </w:p>
        </w:tc>
        <w:tc>
          <w:tcPr>
            <w:tcW w:w="3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99.85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Coverage  ≥ 20× (%)</w:t>
            </w:r>
          </w:p>
        </w:tc>
        <w:tc>
          <w:tcPr>
            <w:tcW w:w="32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99.55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tabs>
          <w:tab w:val="left" w:pos="1010"/>
        </w:tabs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5.</w:t>
      </w:r>
      <w:r>
        <w:rPr>
          <w:rFonts w:hint="default" w:ascii="Times New Roman" w:hAnsi="Times New Roman" w:cs="Times New Roman"/>
        </w:rPr>
        <w:t xml:space="preserve"> Statistics of the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 </w:t>
      </w:r>
      <w:r>
        <w:rPr>
          <w:rFonts w:hint="default" w:ascii="Times New Roman" w:hAnsi="Times New Roman" w:cs="Times New Roman"/>
        </w:rPr>
        <w:t xml:space="preserve">and </w:t>
      </w:r>
      <w:r>
        <w:rPr>
          <w:rFonts w:hint="default" w:ascii="Times New Roman" w:hAnsi="Times New Roman" w:cs="Times New Roman"/>
          <w:i/>
          <w:iCs/>
        </w:rPr>
        <w:t>T. rupestris</w:t>
      </w:r>
      <w:r>
        <w:rPr>
          <w:rFonts w:hint="default" w:ascii="Times New Roman" w:hAnsi="Times New Roman" w:cs="Times New Roman"/>
        </w:rPr>
        <w:t xml:space="preserve"> var.</w:t>
      </w:r>
      <w:r>
        <w:rPr>
          <w:rFonts w:hint="default" w:ascii="Times New Roman" w:hAnsi="Times New Roman" w:cs="Times New Roman"/>
          <w:i/>
          <w:iCs/>
        </w:rPr>
        <w:t xml:space="preserve"> rupestris</w:t>
      </w:r>
      <w:r>
        <w:rPr>
          <w:rFonts w:hint="default" w:ascii="Times New Roman" w:hAnsi="Times New Roman" w:cs="Times New Roman"/>
        </w:rPr>
        <w:t xml:space="preserve"> RNA-Seq data from different tissues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3"/>
        <w:tblW w:w="9656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775"/>
        <w:gridCol w:w="1417"/>
        <w:gridCol w:w="1276"/>
        <w:gridCol w:w="822"/>
        <w:gridCol w:w="915"/>
        <w:gridCol w:w="1245"/>
        <w:gridCol w:w="1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Taxa</w:t>
            </w:r>
          </w:p>
        </w:tc>
        <w:tc>
          <w:tcPr>
            <w:tcW w:w="17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Tissues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ccession No.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Sequence Platform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Read Length (bp)</w:t>
            </w:r>
          </w:p>
        </w:tc>
        <w:tc>
          <w:tcPr>
            <w:tcW w:w="9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Clean data (G)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Q20/Q30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Mapping to genome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var. </w:t>
            </w: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ciliata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CNR0866267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Novoseq6000</w:t>
            </w:r>
          </w:p>
        </w:tc>
        <w:tc>
          <w:tcPr>
            <w:tcW w:w="82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PE150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6.55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96.42/90.47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94.87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stem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CNR0866268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6.75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96.74/91.37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94.14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leaf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CNR0866269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6.09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96.55/90.82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94.26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male flower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CNR0866270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6.64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96.55/90.79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93.28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bisexual flower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CNR0866271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6.06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95.89/89.41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92.69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mature Leaf (Tci1)*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CNR0866272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6.30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96.88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/91.80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95.43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mature Leaf (Tci2)*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CNR0866273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97.12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/92.22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96.47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mature Leaf (Tci3)*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CNR0866274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6.42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97.63/93.52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97.13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</w:tr>
      <w:tr>
        <w:trPr>
          <w:trHeight w:val="312" w:hRule="atLeast"/>
        </w:trPr>
        <w:tc>
          <w:tcPr>
            <w:tcW w:w="931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var. </w:t>
            </w: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rupestris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mature Leaf (Tru1)*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CNR0866275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96.75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/91.52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93.65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mature Leaf (Tru2)*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CNR0866276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6.00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96.92</w:t>
            </w: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/91.70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94.07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3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mature Leaf (Tru3)*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  <w:t>CNR0866277</w:t>
            </w:r>
          </w:p>
        </w:tc>
        <w:tc>
          <w:tcPr>
            <w:tcW w:w="127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6.48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97.68/93.59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</w:rPr>
              <w:t>94.61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* only used for comparative transcriptome analyses and other RNA-seq data was used for gene predict annotation in the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 </w:t>
      </w:r>
      <w:r>
        <w:rPr>
          <w:rFonts w:hint="default" w:ascii="Times New Roman" w:hAnsi="Times New Roman" w:cs="Times New Roman"/>
        </w:rPr>
        <w:t>genome assembly</w:t>
      </w:r>
    </w:p>
    <w:p>
      <w:pPr>
        <w:tabs>
          <w:tab w:val="left" w:pos="2358"/>
        </w:tabs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6.</w:t>
      </w:r>
      <w:r>
        <w:rPr>
          <w:rFonts w:hint="default" w:ascii="Times New Roman" w:hAnsi="Times New Roman" w:cs="Times New Roman"/>
        </w:rPr>
        <w:t xml:space="preserve"> Summary of gene models in the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</w:t>
      </w:r>
      <w:r>
        <w:rPr>
          <w:rFonts w:hint="default" w:ascii="Times New Roman" w:hAnsi="Times New Roman" w:cs="Times New Roman"/>
        </w:rPr>
        <w:t xml:space="preserve"> genome assembly</w:t>
      </w:r>
    </w:p>
    <w:tbl>
      <w:tblPr>
        <w:tblStyle w:val="3"/>
        <w:tblpPr w:leftFromText="180" w:rightFromText="180" w:vertAnchor="text" w:horzAnchor="page" w:tblpX="1722" w:tblpY="309"/>
        <w:tblOverlap w:val="never"/>
        <w:tblW w:w="93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"/>
        <w:gridCol w:w="1788"/>
        <w:gridCol w:w="888"/>
        <w:gridCol w:w="1137"/>
        <w:gridCol w:w="1215"/>
        <w:gridCol w:w="900"/>
        <w:gridCol w:w="1045"/>
        <w:gridCol w:w="13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Predict strategy</w:t>
            </w:r>
          </w:p>
        </w:tc>
        <w:tc>
          <w:tcPr>
            <w:tcW w:w="17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Gene set</w:t>
            </w:r>
          </w:p>
        </w:tc>
        <w:tc>
          <w:tcPr>
            <w:tcW w:w="8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Number</w:t>
            </w:r>
          </w:p>
        </w:tc>
        <w:tc>
          <w:tcPr>
            <w:tcW w:w="11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Average transcript length(bp)</w:t>
            </w:r>
          </w:p>
        </w:tc>
        <w:tc>
          <w:tcPr>
            <w:tcW w:w="12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Average CDS length(bp)</w:t>
            </w: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Average exons per gene</w:t>
            </w:r>
          </w:p>
        </w:tc>
        <w:tc>
          <w:tcPr>
            <w:tcW w:w="104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Average exon length(bp)</w:t>
            </w:r>
          </w:p>
        </w:tc>
        <w:tc>
          <w:tcPr>
            <w:tcW w:w="13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Average intron length(bp)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De novo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Augustus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47,057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1,789.52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951.38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3.71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256.27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GlimmerHMM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94,336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5,857.39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591.95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2.35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252.17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3,907.67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SNAP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39,547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8,254.24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502.2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4.11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122.15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2,491.51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Geneid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61,809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3,273.40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748.54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3.66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204.78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950.84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Genscan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49,100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10,151.01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1,214.26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5.88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206.61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1,832.40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Homolog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Fragaria vesca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30,719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2,293.03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1,024.20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4.04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253.68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417.74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Rosa chinensis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34,241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2,055.53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947.14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3.76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251.61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400.97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Arabidopsis thaliana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26,337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2,092.06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994.73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3.89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255.45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379.17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Prunus persica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28,431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2,328.89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1,060.77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4.17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254.67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400.64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Vitis vinifera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23,582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2,626.51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1,002.24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4.44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225.77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472.29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RNAseq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PASA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33,106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2,120.93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1,050.88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4.54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231.41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302.18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Transcripts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53,900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5,457.56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1,988.59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5.98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332.46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696.38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764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Final set</w:t>
            </w:r>
          </w:p>
        </w:tc>
        <w:tc>
          <w:tcPr>
            <w:tcW w:w="8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36,300</w:t>
            </w:r>
          </w:p>
        </w:tc>
        <w:tc>
          <w:tcPr>
            <w:tcW w:w="11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2,563.92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1,058.99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4.37</w:t>
            </w:r>
          </w:p>
        </w:tc>
        <w:tc>
          <w:tcPr>
            <w:tcW w:w="104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242.48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446.91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7. </w:t>
      </w:r>
      <w:r>
        <w:rPr>
          <w:rFonts w:hint="default" w:ascii="Times New Roman" w:hAnsi="Times New Roman" w:cs="Times New Roman"/>
        </w:rPr>
        <w:t xml:space="preserve">Summary of functional annotation for protein-coding genes in </w:t>
      </w:r>
      <w:r>
        <w:rPr>
          <w:rFonts w:hint="default" w:ascii="Times New Roman" w:hAnsi="Times New Roman" w:cs="Times New Roman"/>
          <w:i/>
          <w:iCs/>
        </w:rPr>
        <w:t xml:space="preserve">T.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</w:t>
      </w:r>
    </w:p>
    <w:tbl>
      <w:tblPr>
        <w:tblStyle w:val="3"/>
        <w:tblpPr w:leftFromText="180" w:rightFromText="180" w:vertAnchor="text" w:horzAnchor="page" w:tblpXSpec="center" w:tblpY="292"/>
        <w:tblOverlap w:val="never"/>
        <w:tblW w:w="48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2040"/>
        <w:gridCol w:w="16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Database</w:t>
            </w: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Number</w:t>
            </w:r>
          </w:p>
        </w:tc>
        <w:tc>
          <w:tcPr>
            <w:tcW w:w="16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Percentage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Nr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31,015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85.44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KOG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10,115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27.87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Swissprot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18,643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51.36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GO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22,584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62.21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KEGG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8,375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23.07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InterPro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28,522 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78.57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15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>Total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32,906 </w:t>
            </w:r>
          </w:p>
        </w:tc>
        <w:tc>
          <w:tcPr>
            <w:tcW w:w="16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Cs w:val="21"/>
                <w:lang w:bidi="ar"/>
              </w:rPr>
              <w:t xml:space="preserve">90.65 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</w:p>
    <w:p>
      <w:pPr>
        <w:tabs>
          <w:tab w:val="left" w:pos="682"/>
        </w:tabs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508" w:firstLineChars="0"/>
        <w:jc w:val="left"/>
        <w:rPr>
          <w:rFonts w:hint="eastAsia"/>
          <w:lang w:val="en-US" w:eastAsia="zh-CN"/>
        </w:rPr>
      </w:pPr>
    </w:p>
    <w:p>
      <w:pPr>
        <w:tabs>
          <w:tab w:val="left" w:pos="1061"/>
        </w:tabs>
        <w:jc w:val="left"/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8.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default" w:ascii="Times New Roman" w:hAnsi="Times New Roman" w:cs="Times New Roman"/>
        </w:rPr>
        <w:t xml:space="preserve">Summary of non-coding RNA content in </w:t>
      </w:r>
      <w:r>
        <w:rPr>
          <w:rFonts w:hint="default" w:ascii="Times New Roman" w:hAnsi="Times New Roman" w:cs="Times New Roman"/>
          <w:i/>
          <w:iCs/>
        </w:rPr>
        <w:t xml:space="preserve">T. rupestris var.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</w:t>
      </w:r>
      <w:r>
        <w:rPr>
          <w:rFonts w:hint="default" w:ascii="Times New Roman" w:hAnsi="Times New Roman" w:cs="Times New Roman"/>
          <w:i/>
          <w:iCs/>
        </w:rPr>
        <w:t>iliata</w:t>
      </w:r>
    </w:p>
    <w:p>
      <w:pPr>
        <w:tabs>
          <w:tab w:val="left" w:pos="1061"/>
        </w:tabs>
        <w:jc w:val="left"/>
        <w:rPr>
          <w:rFonts w:hint="default" w:ascii="Times New Roman" w:hAnsi="Times New Roman" w:cs="Times New Roman"/>
          <w:i/>
          <w:iCs/>
        </w:rPr>
      </w:pPr>
    </w:p>
    <w:tbl>
      <w:tblPr>
        <w:tblStyle w:val="3"/>
        <w:tblW w:w="841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703"/>
        <w:gridCol w:w="990"/>
        <w:gridCol w:w="1556"/>
        <w:gridCol w:w="1132"/>
        <w:gridCol w:w="21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6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Type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Copy number</w:t>
            </w:r>
          </w:p>
        </w:tc>
        <w:tc>
          <w:tcPr>
            <w:tcW w:w="15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Average length(bp)</w:t>
            </w:r>
          </w:p>
        </w:tc>
        <w:tc>
          <w:tcPr>
            <w:tcW w:w="11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Total length(bp)</w:t>
            </w:r>
          </w:p>
        </w:tc>
        <w:tc>
          <w:tcPr>
            <w:tcW w:w="21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% of genome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miRNA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591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137.2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81,086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0.010539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tRNA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1584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74.8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118,483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0.015399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rRNA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rRNA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7513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372.52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2,798,727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1084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1736.49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1,882,360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4111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142.29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584,940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0.076023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5.8S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1038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161.55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167,691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0.021794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1280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127.92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163,736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snRNA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snRNA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2292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111.97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256,625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0.033353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CD-box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863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105.77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91,282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0.011864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HACA-box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131.48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8,152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0.001059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splicing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1366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114.89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156,945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0.020398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scaRNA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246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0.000032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09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</w:tbl>
    <w:p>
      <w:pPr>
        <w:tabs>
          <w:tab w:val="left" w:pos="1061"/>
        </w:tabs>
        <w:jc w:val="left"/>
        <w:rPr>
          <w:rFonts w:hint="default" w:ascii="Times New Roman" w:hAnsi="Times New Roman" w:cs="Times New Roma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9</w:t>
      </w:r>
      <w:r>
        <w:rPr>
          <w:rFonts w:hint="default" w:ascii="Times New Roman" w:hAnsi="Times New Roman" w:cs="Times New Roman"/>
        </w:rPr>
        <w:t>. Summary of transposable elements in the</w:t>
      </w:r>
      <w:r>
        <w:rPr>
          <w:rFonts w:hint="default" w:ascii="Times New Roman" w:hAnsi="Times New Roman" w:cs="Times New Roman"/>
          <w:i/>
          <w:iCs/>
        </w:rPr>
        <w:t xml:space="preserve"> T. rupestris</w:t>
      </w:r>
      <w:r>
        <w:rPr>
          <w:rFonts w:hint="default" w:ascii="Times New Roman" w:hAnsi="Times New Roman" w:cs="Times New Roman"/>
        </w:rPr>
        <w:t xml:space="preserve"> var. </w:t>
      </w:r>
      <w:r>
        <w:rPr>
          <w:rFonts w:hint="default" w:ascii="Times New Roman" w:hAnsi="Times New Roman" w:cs="Times New Roman"/>
          <w:i/>
          <w:iCs/>
        </w:rPr>
        <w:t xml:space="preserve">ciliata </w:t>
      </w:r>
      <w:r>
        <w:rPr>
          <w:rFonts w:hint="default" w:ascii="Times New Roman" w:hAnsi="Times New Roman" w:cs="Times New Roman"/>
        </w:rPr>
        <w:t>genome assembly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3"/>
        <w:tblW w:w="737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1387"/>
        <w:gridCol w:w="1364"/>
        <w:gridCol w:w="1388"/>
        <w:gridCol w:w="20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Class</w:t>
            </w:r>
          </w:p>
        </w:tc>
        <w:tc>
          <w:tcPr>
            <w:tcW w:w="13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Count</w:t>
            </w:r>
          </w:p>
        </w:tc>
        <w:tc>
          <w:tcPr>
            <w:tcW w:w="13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Length(bp)</w:t>
            </w:r>
          </w:p>
        </w:tc>
        <w:tc>
          <w:tcPr>
            <w:tcW w:w="20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% in genome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LTR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Copia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84,255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74,766,505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Gypsy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115,441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172,639,711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22.44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unknown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192,322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154,552,309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TIR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CACTA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88,948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67,508,074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Mutator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63,883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22,334,287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PIF_Harbinger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33,992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14,487,289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Tc1_Mariner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1646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645,578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hAT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28,715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10,719,798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nonTIR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helitron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57,012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25,352,507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2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666,214</w:t>
            </w:r>
          </w:p>
        </w:tc>
        <w:tc>
          <w:tcPr>
            <w:tcW w:w="13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543,006,058</w:t>
            </w:r>
          </w:p>
        </w:tc>
        <w:tc>
          <w:tcPr>
            <w:tcW w:w="20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70.57</w:t>
            </w:r>
          </w:p>
        </w:tc>
      </w:tr>
    </w:tbl>
    <w:p>
      <w:pPr>
        <w:tabs>
          <w:tab w:val="left" w:pos="1061"/>
        </w:tabs>
        <w:jc w:val="left"/>
        <w:rPr>
          <w:rFonts w:hint="default" w:ascii="Times New Roman" w:hAnsi="Times New Roman" w:cs="Times New Roman"/>
          <w:b/>
          <w:bCs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61"/>
        </w:tabs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</w:rPr>
        <w:t>Comparison of transposon content in cliff and non-cliff plants in Rosaceae</w:t>
      </w:r>
    </w:p>
    <w:tbl>
      <w:tblPr>
        <w:tblStyle w:val="3"/>
        <w:tblpPr w:leftFromText="180" w:rightFromText="180" w:vertAnchor="text" w:horzAnchor="page" w:tblpX="1916" w:tblpY="306"/>
        <w:tblOverlap w:val="never"/>
        <w:tblW w:w="856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297"/>
        <w:gridCol w:w="987"/>
        <w:gridCol w:w="987"/>
        <w:gridCol w:w="1187"/>
        <w:gridCol w:w="1187"/>
        <w:gridCol w:w="11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7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T. rupestris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var.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ciliata</w:t>
            </w: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F. vesca</w:t>
            </w: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P. persica</w:t>
            </w:r>
          </w:p>
        </w:tc>
        <w:tc>
          <w:tcPr>
            <w:tcW w:w="11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R. chinensis</w:t>
            </w:r>
          </w:p>
        </w:tc>
        <w:tc>
          <w:tcPr>
            <w:tcW w:w="11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M. domestica</w:t>
            </w:r>
          </w:p>
        </w:tc>
        <w:tc>
          <w:tcPr>
            <w:tcW w:w="11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C. sativa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Habitat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cliff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non-cliff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non-cliff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non-cliff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non-cliff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non-cliff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Genome size (Mb)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769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TE content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(% in genome)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543 Mb (70.57%)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72.59 Mb (33.08%)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73.84 Mb (32.87%)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290.37 Mb (56.32%)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356.79 Mb (57.10%)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504.52 Mb (68.50%)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7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Number of Intact LTR-RTs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Copia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Gypsy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8558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(3729/4829)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1098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(683/415)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1132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(804/328)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6033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(4265/1768)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5421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(3251/2170)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7226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(4698/2528)</w:t>
            </w:r>
          </w:p>
        </w:tc>
      </w:tr>
    </w:tbl>
    <w:p>
      <w:pPr>
        <w:tabs>
          <w:tab w:val="left" w:pos="1061"/>
        </w:tabs>
        <w:jc w:val="left"/>
        <w:rPr>
          <w:rFonts w:hint="default" w:ascii="Times New Roman" w:hAnsi="Times New Roman" w:cs="Times New Roman"/>
          <w:b/>
          <w:bCs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61"/>
        </w:tabs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</w:rPr>
        <w:t>.</w:t>
      </w:r>
      <w:r>
        <w:rPr>
          <w:rFonts w:hint="default" w:ascii="Times New Roman" w:hAnsi="Times New Roman" w:cs="Times New Roman"/>
        </w:rPr>
        <w:t xml:space="preserve"> Summary of resequencing analysis</w:t>
      </w:r>
    </w:p>
    <w:tbl>
      <w:tblPr>
        <w:tblStyle w:val="3"/>
        <w:tblpPr w:leftFromText="180" w:rightFromText="180" w:vertAnchor="text" w:horzAnchor="page" w:tblpX="1796" w:tblpY="212"/>
        <w:tblOverlap w:val="never"/>
        <w:tblW w:w="969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186"/>
        <w:gridCol w:w="1027"/>
        <w:gridCol w:w="876"/>
        <w:gridCol w:w="996"/>
        <w:gridCol w:w="1188"/>
        <w:gridCol w:w="1020"/>
        <w:gridCol w:w="1128"/>
        <w:gridCol w:w="13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Taxa</w:t>
            </w:r>
          </w:p>
        </w:tc>
        <w:tc>
          <w:tcPr>
            <w:tcW w:w="118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Individuals</w:t>
            </w:r>
          </w:p>
        </w:tc>
        <w:tc>
          <w:tcPr>
            <w:tcW w:w="10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Localities</w:t>
            </w:r>
          </w:p>
        </w:tc>
        <w:tc>
          <w:tcPr>
            <w:tcW w:w="8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Latitude</w:t>
            </w:r>
          </w:p>
        </w:tc>
        <w:tc>
          <w:tcPr>
            <w:tcW w:w="9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Longitude</w:t>
            </w:r>
          </w:p>
        </w:tc>
        <w:tc>
          <w:tcPr>
            <w:tcW w:w="11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Resource type</w:t>
            </w:r>
          </w:p>
        </w:tc>
        <w:tc>
          <w:tcPr>
            <w:tcW w:w="102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Clean data (Gb)</w:t>
            </w:r>
          </w:p>
        </w:tc>
        <w:tc>
          <w:tcPr>
            <w:tcW w:w="11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Sequencing depth (×)*</w:t>
            </w:r>
          </w:p>
        </w:tc>
        <w:tc>
          <w:tcPr>
            <w:tcW w:w="13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ccession No.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var. </w:t>
            </w: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ciliata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JG-1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Jiaogou, Hebei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36º30ʹ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113°38ʹ</w:t>
            </w:r>
          </w:p>
        </w:tc>
        <w:tc>
          <w:tcPr>
            <w:tcW w:w="1188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PE150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bp,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DNBSEQ-T7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24.91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28.86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QQ-2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Qingquan, Shanxi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36º44ʹ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113°32ʹ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21.57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24.99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DJC-2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Dujiacun, Hebei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36º53ʹ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113°47ʹ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21.6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25.02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LJ-3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Liejiang, Hebei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36º54ʹ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113°46ʹ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26.18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30.33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var. </w:t>
            </w: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rupestris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MZ-1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Manzhanshan, Henan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36°05ʹ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113°42ʹ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21.62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25.04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XXT-1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Xiaoxitian, Henan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36°03ʹ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113°40ʹ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24.33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QPG-1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Qianpogou, Henan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36°02ʹ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113°39ʹ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26.34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30.51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YDS-1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Yidoushui, Henan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35°28ʹ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113°23ʹ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21.8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25.25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ZYF-1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Zhuyufeng, Henan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35°27ʹ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113°22ʹ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19.37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22.44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GS-1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Hongshixia,Henan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35°33ʹ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113°30ʹ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25.31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29.32 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907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TZF-1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Tianzhufeng,Henan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35°33ʹ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113°31ʹ</w:t>
            </w: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21.12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24.47 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CNR0866289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*Sequencing depth was estimated according to the estimated genome size of 863.27M</w:t>
      </w: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202" w:firstLineChars="0"/>
        <w:jc w:val="left"/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cs="Times New Roman"/>
          <w:i/>
          <w:iCs/>
        </w:rPr>
      </w:pPr>
      <w:r>
        <w:rPr>
          <w:rFonts w:hint="default" w:ascii="Times New Roman" w:hAnsi="Times New Roman" w:cs="Times New Roman"/>
          <w:b/>
          <w:bCs/>
        </w:rPr>
        <w:t>Table S1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</w:rPr>
        <w:t xml:space="preserve">Genome sequencing information for </w:t>
      </w:r>
      <w:r>
        <w:rPr>
          <w:rFonts w:hint="default" w:ascii="Times New Roman" w:hAnsi="Times New Roman" w:cs="Times New Roman"/>
          <w:i/>
          <w:iCs/>
        </w:rPr>
        <w:t xml:space="preserve">Taihangia rupestris </w:t>
      </w:r>
      <w:r>
        <w:rPr>
          <w:rFonts w:hint="default" w:ascii="Times New Roman" w:hAnsi="Times New Roman" w:cs="Times New Roman"/>
        </w:rPr>
        <w:t>var.</w:t>
      </w:r>
      <w:r>
        <w:rPr>
          <w:rFonts w:hint="default" w:ascii="Times New Roman" w:hAnsi="Times New Roman" w:cs="Times New Roman"/>
          <w:i/>
          <w:iCs/>
        </w:rPr>
        <w:t xml:space="preserve"> ciliata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3"/>
        <w:tblW w:w="7529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1432"/>
        <w:gridCol w:w="1920"/>
        <w:gridCol w:w="1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Library type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Clean data (Gb)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Read N50/ length (bp)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Sequencing depth (×)*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Illumina (Genome survey)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Illumina (Hi-C)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114.6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HiFi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bookmarkStart w:id="9" w:name="OLE_LINK1"/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27.9</w:t>
            </w:r>
            <w:bookmarkEnd w:id="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15,274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212.5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245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*Sequencing depth was estimated according to the estimated genome size of 863.27M</w:t>
      </w:r>
    </w:p>
    <w:p>
      <w:pPr>
        <w:rPr>
          <w:rFonts w:hint="default" w:ascii="Times New Roman" w:hAnsi="Times New Roman" w:cs="Times New Roman"/>
        </w:rPr>
      </w:pPr>
    </w:p>
    <w:p>
      <w:pPr>
        <w:bidi w:val="0"/>
        <w:ind w:firstLine="202" w:firstLineChars="0"/>
        <w:jc w:val="left"/>
        <w:rPr>
          <w:rFonts w:hint="eastAsia"/>
          <w:lang w:val="en-US" w:eastAsia="zh-CN"/>
        </w:rPr>
      </w:pP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1061"/>
        </w:tabs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Table 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</w:rPr>
        <w:t>.</w:t>
      </w:r>
      <w:r>
        <w:rPr>
          <w:rFonts w:hint="default" w:ascii="Times New Roman" w:hAnsi="Times New Roman" w:cs="Times New Roman"/>
        </w:rPr>
        <w:t xml:space="preserve"> Genomic resources used for comparative analyses in this study</w:t>
      </w:r>
    </w:p>
    <w:p>
      <w:pPr>
        <w:tabs>
          <w:tab w:val="left" w:pos="1061"/>
        </w:tabs>
        <w:jc w:val="left"/>
        <w:rPr>
          <w:rFonts w:hint="default" w:ascii="Times New Roman" w:hAnsi="Times New Roman" w:cs="Times New Roman"/>
        </w:rPr>
      </w:pPr>
    </w:p>
    <w:tbl>
      <w:tblPr>
        <w:tblStyle w:val="3"/>
        <w:tblW w:w="7536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35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Species name</w:t>
            </w:r>
          </w:p>
        </w:tc>
        <w:tc>
          <w:tcPr>
            <w:tcW w:w="35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>Database link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Amborella trichopoda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"https://www.ncbi.nlm.nih.gov/"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https://www.ncbi.nlm.nih.gov/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Arabidopsis thaliana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\o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Populus trichocarpa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Davidia involucrata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Solanum lycopersicum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Helianthus annuus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Nelumbo nucifera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"http://nelumbo.biocloud.net/nelumbo/home"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http://nelumbo.biocloud.net/nelumbo/home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Fragaria vesca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Rosa chinensis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Malus domestica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Prunus persica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Cannabis 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Vitis vinifera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Acer truncatum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Musa acuminata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Oryza sativa</w:t>
            </w:r>
            <w:r>
              <w:rPr>
                <w:rFonts w:hint="default" w:ascii="Times New Roman" w:hAnsi="Times New Roman" w:eastAsia="Cambria" w:cs="Times New Roman"/>
                <w:color w:val="000000"/>
                <w:kern w:val="0"/>
                <w:sz w:val="18"/>
                <w:szCs w:val="18"/>
                <w:lang w:bidi="ar"/>
              </w:rPr>
              <w:t xml:space="preserve"> ssp. j</w:t>
            </w:r>
            <w:r>
              <w:rPr>
                <w:rStyle w:val="7"/>
                <w:rFonts w:hint="default" w:ascii="Times New Roman" w:hAnsi="Times New Roman" w:cs="Times New Roman"/>
                <w:lang w:bidi="ar"/>
              </w:rPr>
              <w:t>aponica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"https://bioinformatics.psb.ugent.be/plaza/"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https://bioinformatics.psb.ugent.be/plaza/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Cambria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Nymphaea colorata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color w:val="0000FF"/>
                <w:sz w:val="18"/>
                <w:szCs w:val="18"/>
                <w:u w:val="single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"https://www.ncbi.nlm.nih.gov/"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t>https://www.ncbi.nlm.nih.gov/</w:t>
            </w:r>
            <w:r>
              <w:rPr>
                <w:rStyle w:val="5"/>
                <w:rFonts w:hint="default" w:ascii="Times New Roman" w:hAnsi="Times New Roman" w:eastAsia="Cambria" w:cs="Times New Roman"/>
                <w:sz w:val="18"/>
                <w:szCs w:val="18"/>
              </w:rPr>
              <w:fldChar w:fldCharType="end"/>
            </w:r>
          </w:p>
        </w:tc>
      </w:tr>
    </w:tbl>
    <w:p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BE898"/>
    <w:multiLevelType w:val="singleLevel"/>
    <w:tmpl w:val="90FBE89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3MWZlZWM5ZTE2MWMwNGQ1MDExNGVmNWU2ZmFkYjkifQ=="/>
  </w:docVars>
  <w:rsids>
    <w:rsidRoot w:val="020379F3"/>
    <w:rsid w:val="020379F3"/>
    <w:rsid w:val="0EB5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6">
    <w:name w:val="font71"/>
    <w:basedOn w:val="4"/>
    <w:qFormat/>
    <w:uiPriority w:val="0"/>
    <w:rPr>
      <w:rFonts w:hint="eastAsia" w:ascii="宋体" w:hAnsi="宋体" w:eastAsia="宋体" w:cs="宋体"/>
      <w:i/>
      <w:iCs/>
      <w:color w:val="000000"/>
      <w:sz w:val="16"/>
      <w:szCs w:val="16"/>
      <w:u w:val="none"/>
    </w:rPr>
  </w:style>
  <w:style w:type="character" w:customStyle="1" w:styleId="7">
    <w:name w:val="font31"/>
    <w:basedOn w:val="4"/>
    <w:qFormat/>
    <w:uiPriority w:val="0"/>
    <w:rPr>
      <w:rFonts w:hint="default" w:ascii="Cambria" w:hAnsi="Cambria" w:eastAsia="Cambria" w:cs="Cambria"/>
      <w:i/>
      <w:i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2023-11-15T06:16:00Z</dcterms:created>
  <dc:creator>Ottelia</dc:creator>
  <cp:lastModifiedBy>Ottelia</cp:lastModifiedBy>
  <dcterms:modified xsi:type="dcterms:W3CDTF">2023-11-15T06:30:16Z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9442C6F65F944D829C2E700E97DA9F48_11</vt:lpwstr>
  </property>
</Properties>
</file>