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BFB" w:rsidRDefault="00A62BFB" w:rsidP="00A62BF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Supplemental Table 1. Baseline characteristics of patients </w:t>
      </w:r>
    </w:p>
    <w:p w:rsidR="00A62BFB" w:rsidRDefault="00A62BFB" w:rsidP="00A62BF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1418"/>
        <w:gridCol w:w="1559"/>
        <w:gridCol w:w="1559"/>
        <w:gridCol w:w="1418"/>
      </w:tblGrid>
      <w:tr w:rsidR="00A62BFB" w:rsidRPr="00EF794D" w:rsidTr="00013194">
        <w:trPr>
          <w:trHeight w:val="36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Variable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Total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(n=201)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HER2-zero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(n=128)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HER2-low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(n=73)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value</w:t>
            </w:r>
          </w:p>
        </w:tc>
      </w:tr>
      <w:tr w:rsidR="00A62BFB" w:rsidRPr="00EF794D" w:rsidTr="00013194">
        <w:trPr>
          <w:trHeight w:val="364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Age (years), median (range)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55 (26-82)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54 (26-82)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58 (27-82)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0.702</w:t>
            </w:r>
          </w:p>
        </w:tc>
      </w:tr>
      <w:tr w:rsidR="00A62BFB" w:rsidRPr="00EF794D" w:rsidTr="00013194">
        <w:trPr>
          <w:trHeight w:val="731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Age (years), n (%)</w:t>
            </w:r>
          </w:p>
          <w:p w:rsidR="00A62BFB" w:rsidRPr="00EF794D" w:rsidRDefault="00A62BFB" w:rsidP="00013194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&lt; 65</w:t>
            </w:r>
          </w:p>
          <w:p w:rsidR="00A62BFB" w:rsidRPr="00EF794D" w:rsidRDefault="00A62BFB" w:rsidP="00013194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≥ 65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143 (71.1)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58 (28.9)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92 (71.9)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 (28.1)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 (69.9)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22 (30.1)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0.762</w:t>
            </w:r>
          </w:p>
        </w:tc>
      </w:tr>
      <w:tr w:rsidR="00A62BFB" w:rsidRPr="00EF794D" w:rsidTr="00013194">
        <w:trPr>
          <w:trHeight w:val="102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Histology, n (%)</w:t>
            </w:r>
          </w:p>
          <w:p w:rsidR="00A62BFB" w:rsidRPr="00EF794D" w:rsidRDefault="00A62BFB" w:rsidP="00013194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IDC</w:t>
            </w:r>
          </w:p>
          <w:p w:rsidR="00A62BFB" w:rsidRPr="00EF794D" w:rsidRDefault="00A62BFB" w:rsidP="00013194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ILC</w:t>
            </w:r>
          </w:p>
          <w:p w:rsidR="00A62BFB" w:rsidRPr="000672E1" w:rsidRDefault="00A62BFB" w:rsidP="00013194">
            <w:pPr>
              <w:numPr>
                <w:ilvl w:val="0"/>
                <w:numId w:val="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IDC+ILC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154 (76.6)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97 (75.8)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 (12.5)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57 (78.1)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 (5.5)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</w:tr>
      <w:tr w:rsidR="00A62BFB" w:rsidRPr="00EF794D" w:rsidTr="00013194">
        <w:trPr>
          <w:trHeight w:val="779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CDK 4/6 inhibitors, n (%)</w:t>
            </w:r>
          </w:p>
          <w:p w:rsidR="00A62BFB" w:rsidRPr="00EF794D" w:rsidRDefault="00A62BFB" w:rsidP="00013194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Ribociclib</w:t>
            </w:r>
          </w:p>
          <w:p w:rsidR="00A62BFB" w:rsidRPr="00EF794D" w:rsidRDefault="00A62BFB" w:rsidP="00013194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Palbociclib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135 (67.2)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66 (32.8)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87 (68)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 (32)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 (65.8)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25 (34.2)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0.748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Menopausal status, n (%)</w:t>
            </w:r>
          </w:p>
          <w:p w:rsidR="00A62BFB" w:rsidRPr="00EF794D" w:rsidRDefault="00A62BFB" w:rsidP="00013194">
            <w:pPr>
              <w:numPr>
                <w:ilvl w:val="0"/>
                <w:numId w:val="4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Premenopausal</w:t>
            </w:r>
          </w:p>
          <w:p w:rsidR="00A62BFB" w:rsidRPr="00EF794D" w:rsidRDefault="00A62BFB" w:rsidP="00013194">
            <w:pPr>
              <w:numPr>
                <w:ilvl w:val="0"/>
                <w:numId w:val="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Postmenopausal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 (33.3)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134 (66.7)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43 (33.6)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85 (66.4)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24 (32.9)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 (67.1)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0.917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Metastatic disease status, n (%)</w:t>
            </w:r>
          </w:p>
          <w:p w:rsidR="00A62BFB" w:rsidRPr="00EF794D" w:rsidRDefault="00A62BFB" w:rsidP="00013194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Denovo</w:t>
            </w:r>
          </w:p>
          <w:p w:rsidR="00A62BFB" w:rsidRPr="00EF794D" w:rsidRDefault="00A62BFB" w:rsidP="00013194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Recurrence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120 (59.7)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 (40.3)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79 (61.7)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49 (38.3)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 (56.2)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32 (43.8)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0.44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ER (%), median (range)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90 (15-100)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92.5 (20-100)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90 (15-100)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0.598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Metastatic site, n (%)</w:t>
            </w:r>
          </w:p>
          <w:p w:rsidR="00A62BFB" w:rsidRPr="00EF794D" w:rsidRDefault="00A62BFB" w:rsidP="00013194">
            <w:pPr>
              <w:numPr>
                <w:ilvl w:val="0"/>
                <w:numId w:val="7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≤ 2</w:t>
            </w:r>
          </w:p>
          <w:p w:rsidR="00A62BFB" w:rsidRPr="00EF794D" w:rsidRDefault="00A62BFB" w:rsidP="00013194">
            <w:pPr>
              <w:numPr>
                <w:ilvl w:val="0"/>
                <w:numId w:val="7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&gt;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120 (59.7)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 (40.3)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73 (57)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55 (43)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47 (64.4)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26 (35.6)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0.307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Type of metastasis, n (%)</w:t>
            </w:r>
          </w:p>
          <w:p w:rsidR="00A62BFB" w:rsidRPr="00EF794D" w:rsidRDefault="00A62BFB" w:rsidP="00013194">
            <w:pPr>
              <w:numPr>
                <w:ilvl w:val="0"/>
                <w:numId w:val="8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Non- visceral</w:t>
            </w:r>
          </w:p>
          <w:p w:rsidR="00A62BFB" w:rsidRPr="00EF794D" w:rsidRDefault="00A62BFB" w:rsidP="00013194">
            <w:pPr>
              <w:numPr>
                <w:ilvl w:val="0"/>
                <w:numId w:val="8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Visceral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111 (55.2)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90 (44.8)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69 (53.9)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59 (46.1)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42 (57.5)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 (42.5)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0.619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Endocrine therapy, n (%)</w:t>
            </w:r>
          </w:p>
          <w:p w:rsidR="00A62BFB" w:rsidRPr="00EF794D" w:rsidRDefault="00A62BFB" w:rsidP="00013194">
            <w:pPr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AI</w:t>
            </w:r>
          </w:p>
          <w:p w:rsidR="00A62BFB" w:rsidRPr="00EF794D" w:rsidRDefault="00A62BFB" w:rsidP="00013194">
            <w:pPr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Fulvestrant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151 (75.1)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50 (24.9)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 (78.1)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28 (21.9)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51 (69.9)</w:t>
            </w: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22 (30.1)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0.193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Grade 3,4 toxicity, n (%)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64 (31.8)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 (32)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23 (3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F794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0.939</w:t>
            </w:r>
          </w:p>
        </w:tc>
      </w:tr>
      <w:tr w:rsidR="00A62BFB" w:rsidRPr="00EF794D" w:rsidTr="00013194">
        <w:trPr>
          <w:trHeight w:val="386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EF794D" w:rsidRDefault="00A62BFB" w:rsidP="000131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Toxicity-related dose reduction, n (%)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2A5746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A5746">
              <w:rPr>
                <w:rFonts w:ascii="Times New Roman" w:hAnsi="Times New Roman" w:cs="Times New Roman"/>
                <w:color w:val="252525"/>
                <w:sz w:val="20"/>
                <w:szCs w:val="20"/>
              </w:rPr>
              <w:t>49 (24.3%)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2A5746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</w:t>
            </w:r>
            <w:r w:rsidRPr="002A574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 (20.5)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EF794D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0.34</w:t>
            </w:r>
          </w:p>
        </w:tc>
      </w:tr>
    </w:tbl>
    <w:p w:rsidR="00A62BFB" w:rsidRDefault="00A62BFB" w:rsidP="00A62BFB">
      <w:pPr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tr-TR"/>
          <w14:ligatures w14:val="none"/>
        </w:rPr>
        <w:t>HER: human epidermal growth factor receptor; IDC: invasive ductal carcinoma; ILC: invasive lobular carcinoma; CDK: cyclin dependent kinase; ER: estrogen receptor; AI: aromatase inhibitors</w:t>
      </w:r>
    </w:p>
    <w:p w:rsidR="00A62BFB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:rsidR="00A62BFB" w:rsidRPr="00EF794D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:rsidR="00A62BFB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lastRenderedPageBreak/>
        <w:t>Supplemental Table 2.</w:t>
      </w:r>
      <w:r w:rsidRPr="00EF794D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Anatomic location of metastasis</w:t>
      </w:r>
    </w:p>
    <w:p w:rsidR="00A62BFB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1701"/>
        <w:gridCol w:w="2126"/>
        <w:gridCol w:w="2268"/>
        <w:gridCol w:w="1560"/>
      </w:tblGrid>
      <w:tr w:rsidR="00A62BFB" w:rsidRPr="00EF794D" w:rsidTr="00013194">
        <w:trPr>
          <w:trHeight w:val="20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Location 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Patients, n (%)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value</w:t>
            </w:r>
          </w:p>
        </w:tc>
      </w:tr>
      <w:tr w:rsidR="00A62BFB" w:rsidRPr="00EF794D" w:rsidTr="00013194">
        <w:trPr>
          <w:trHeight w:val="201"/>
        </w:trPr>
        <w:tc>
          <w:tcPr>
            <w:tcW w:w="24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tr-TR"/>
                <w14:ligatures w14:val="none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71439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r w:rsidRPr="0071439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=201)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4244C3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HER2-zero </w:t>
            </w: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(n=128)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4244C3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HER2-low </w:t>
            </w: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(n=73)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62BFB" w:rsidRPr="00EF794D" w:rsidTr="00013194">
        <w:trPr>
          <w:trHeight w:val="2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Bone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Lymph nodes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Lung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Liver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Central nervous system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Adrenal gland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Pleura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Jejunum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Peritoneum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Colon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Stomach</w:t>
            </w:r>
          </w:p>
          <w:p w:rsidR="00A62BFB" w:rsidRPr="0071439F" w:rsidRDefault="00A62BFB" w:rsidP="000131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Skin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143 (71.1)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54 (26.9)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54 (26.9)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 (19.4)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 (6.5)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 (2.9)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 (1.5)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 (1)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 (0.5)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 (0.5)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 (0.5)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 (0.5)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90 (70.3)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29 (22.7)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 (28.1)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25 (19.5)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 (6.3)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(2.3)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(1.6)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(1.6)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(0.8)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(0.8)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53 (72.6)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25 (34.2)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 (24.7)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 (19.2)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 (6.8)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(4.1)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(1.4)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(1.4)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(1.4)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0.730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0.075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0.594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0.951</w:t>
            </w:r>
          </w:p>
          <w:p w:rsidR="00A62BFB" w:rsidRPr="0071439F" w:rsidRDefault="00A62BFB" w:rsidP="0001319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143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0.868</w:t>
            </w:r>
          </w:p>
        </w:tc>
      </w:tr>
    </w:tbl>
    <w:p w:rsidR="00A62BFB" w:rsidRDefault="00A62BFB" w:rsidP="00A62BFB">
      <w:pPr>
        <w:spacing w:after="24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tr-TR"/>
          <w14:ligatures w14:val="none"/>
        </w:rPr>
        <w:t>HER: human epidermal growth factor receptor</w:t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:rsidR="00A62BFB" w:rsidRDefault="00A62BFB" w:rsidP="00A62BFB">
      <w:pPr>
        <w:spacing w:after="24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:rsidR="00A62BFB" w:rsidRPr="00EF794D" w:rsidRDefault="00A62BFB" w:rsidP="00A62BFB">
      <w:pPr>
        <w:spacing w:after="24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:rsidR="00A62BFB" w:rsidRPr="00EF794D" w:rsidRDefault="00A62BFB" w:rsidP="00A62BFB">
      <w:pPr>
        <w:spacing w:after="24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EF794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:rsidR="00A62BFB" w:rsidRPr="00EF794D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lastRenderedPageBreak/>
        <w:t>A</w:t>
      </w:r>
    </w:p>
    <w:p w:rsidR="00A62BFB" w:rsidRPr="00EF794D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begin"/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instrText xml:space="preserve"> INCLUDEPICTURE "https://lh7-us.googleusercontent.com/Xbzkw3QTmTn3dMgMsfNdV90V5kOmxJL42oiglOn9M4SObjaINYygz-Yh3AB9WO95xSjIYNGW2FBMHvdimH5FSlxii3weRuEJUinR37d6lokdmChzkac3kTBVSpogi9d_4qqfaBdnX5Cl" \* MERGEFORMATINET </w:instrText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separate"/>
      </w:r>
      <w:r w:rsidRPr="00EF794D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bdr w:val="none" w:sz="0" w:space="0" w:color="auto" w:frame="1"/>
          <w:lang w:eastAsia="tr-TR"/>
          <w14:ligatures w14:val="none"/>
        </w:rPr>
        <w:drawing>
          <wp:inline distT="0" distB="0" distL="0" distR="0" wp14:anchorId="700C6BEA" wp14:editId="2794E499">
            <wp:extent cx="4941870" cy="2907013"/>
            <wp:effectExtent l="0" t="0" r="0" b="1905"/>
            <wp:docPr id="109329586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20" cy="2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end"/>
      </w:r>
    </w:p>
    <w:p w:rsidR="00A62BFB" w:rsidRPr="00EF794D" w:rsidRDefault="00A62BFB" w:rsidP="00A62BFB">
      <w:pPr>
        <w:spacing w:after="24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:rsidR="00A62BFB" w:rsidRPr="00EF794D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B</w:t>
      </w:r>
    </w:p>
    <w:p w:rsidR="00A62BFB" w:rsidRPr="00EF794D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begin"/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instrText xml:space="preserve"> INCLUDEPICTURE "https://lh7-us.googleusercontent.com/K8285s9OVNKWH7oVGbNAEGo2aKUttrknipkSBIboK0P0hNdlPreCyQ3gUnQ4k4fIVAjDZIMBJZqhch7A7vjdLxRtk0hfKkRQcsy90Scnq37TcV9x330UDlmswNqRpu8cwnJwN2Yqmf1a" \* MERGEFORMATINET </w:instrText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separate"/>
      </w:r>
      <w:r w:rsidRPr="00EF794D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bdr w:val="none" w:sz="0" w:space="0" w:color="auto" w:frame="1"/>
          <w:lang w:eastAsia="tr-TR"/>
          <w14:ligatures w14:val="none"/>
        </w:rPr>
        <w:drawing>
          <wp:inline distT="0" distB="0" distL="0" distR="0" wp14:anchorId="16128D56" wp14:editId="60C4E838">
            <wp:extent cx="4941570" cy="2906837"/>
            <wp:effectExtent l="0" t="0" r="0" b="1905"/>
            <wp:docPr id="65098902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75" cy="291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tr-TR"/>
          <w14:ligatures w14:val="none"/>
        </w:rPr>
        <w:fldChar w:fldCharType="end"/>
      </w:r>
    </w:p>
    <w:p w:rsidR="00A62BFB" w:rsidRPr="00127D89" w:rsidRDefault="00A62BFB" w:rsidP="00A62BFB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F794D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Supplemental Figure 1.</w:t>
      </w:r>
      <w:r w:rsidRPr="00EF794D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Progression-free survival (PFS) (A) and overall survival (OS) (B) in patients with HER2-low and HER2-zero</w:t>
      </w:r>
    </w:p>
    <w:p w:rsidR="004C7F00" w:rsidRDefault="004C7F00"/>
    <w:sectPr w:rsidR="004C7F00"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1441182355"/>
      <w:docPartObj>
        <w:docPartGallery w:val="Page Numbers (Bottom of Page)"/>
        <w:docPartUnique/>
      </w:docPartObj>
    </w:sdtPr>
    <w:sdtContent>
      <w:p w:rsidR="00000000" w:rsidRDefault="00000000" w:rsidP="00683731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000000" w:rsidRDefault="0000000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257256447"/>
      <w:docPartObj>
        <w:docPartGallery w:val="Page Numbers (Bottom of Page)"/>
        <w:docPartUnique/>
      </w:docPartObj>
    </w:sdtPr>
    <w:sdtContent>
      <w:p w:rsidR="00000000" w:rsidRDefault="00000000" w:rsidP="00683731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:rsidR="00000000" w:rsidRDefault="00000000">
    <w:pPr>
      <w:pStyle w:val="AltBilgi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DFD"/>
    <w:multiLevelType w:val="multilevel"/>
    <w:tmpl w:val="BACE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81C1E"/>
    <w:multiLevelType w:val="multilevel"/>
    <w:tmpl w:val="B5D6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20568"/>
    <w:multiLevelType w:val="multilevel"/>
    <w:tmpl w:val="28FC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C1D58"/>
    <w:multiLevelType w:val="multilevel"/>
    <w:tmpl w:val="E75E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E6DD7"/>
    <w:multiLevelType w:val="multilevel"/>
    <w:tmpl w:val="4F6A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D4103"/>
    <w:multiLevelType w:val="multilevel"/>
    <w:tmpl w:val="C9D8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679CA"/>
    <w:multiLevelType w:val="multilevel"/>
    <w:tmpl w:val="374A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67A90"/>
    <w:multiLevelType w:val="multilevel"/>
    <w:tmpl w:val="785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D056A"/>
    <w:multiLevelType w:val="multilevel"/>
    <w:tmpl w:val="B32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79592">
    <w:abstractNumId w:val="5"/>
  </w:num>
  <w:num w:numId="2" w16cid:durableId="1170483348">
    <w:abstractNumId w:val="8"/>
  </w:num>
  <w:num w:numId="3" w16cid:durableId="1238051403">
    <w:abstractNumId w:val="7"/>
  </w:num>
  <w:num w:numId="4" w16cid:durableId="394738114">
    <w:abstractNumId w:val="4"/>
  </w:num>
  <w:num w:numId="5" w16cid:durableId="432438825">
    <w:abstractNumId w:val="0"/>
  </w:num>
  <w:num w:numId="6" w16cid:durableId="445127728">
    <w:abstractNumId w:val="3"/>
  </w:num>
  <w:num w:numId="7" w16cid:durableId="1804885057">
    <w:abstractNumId w:val="1"/>
  </w:num>
  <w:num w:numId="8" w16cid:durableId="102576923">
    <w:abstractNumId w:val="6"/>
  </w:num>
  <w:num w:numId="9" w16cid:durableId="1115709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FB"/>
    <w:rsid w:val="003953B4"/>
    <w:rsid w:val="004C7F00"/>
    <w:rsid w:val="00807E89"/>
    <w:rsid w:val="008C7A6D"/>
    <w:rsid w:val="00A6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1E55897-207D-8E45-AC66-C3F2A410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BF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A62B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2BFB"/>
  </w:style>
  <w:style w:type="character" w:styleId="SayfaNumaras">
    <w:name w:val="page number"/>
    <w:basedOn w:val="VarsaylanParagrafYazTipi"/>
    <w:uiPriority w:val="99"/>
    <w:semiHidden/>
    <w:unhideWhenUsed/>
    <w:rsid w:val="00A6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 GULIYEV</dc:creator>
  <cp:keywords/>
  <dc:description/>
  <cp:lastModifiedBy>MURAD GULIYEV</cp:lastModifiedBy>
  <cp:revision>1</cp:revision>
  <dcterms:created xsi:type="dcterms:W3CDTF">2023-12-14T07:15:00Z</dcterms:created>
  <dcterms:modified xsi:type="dcterms:W3CDTF">2023-12-14T07:15:00Z</dcterms:modified>
</cp:coreProperties>
</file>