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AB24" w14:textId="7FDDAD5A" w:rsidR="00912C4B" w:rsidRPr="00BD64DE" w:rsidRDefault="00912C4B" w:rsidP="00BD64DE">
      <w:pPr>
        <w:spacing w:line="480" w:lineRule="auto"/>
        <w:rPr>
          <w:rFonts w:ascii="Times New Roman" w:eastAsia="Times New Roman" w:hAnsi="Times New Roman" w:hint="eastAsia"/>
          <w:b/>
          <w:sz w:val="24"/>
          <w:szCs w:val="24"/>
        </w:rPr>
      </w:pPr>
      <w:r>
        <w:rPr>
          <w:rFonts w:ascii="Times New Roman" w:eastAsia="Times New Roman" w:hAnsi="Times New Roman" w:hint="eastAsia"/>
          <w:b/>
          <w:sz w:val="24"/>
          <w:szCs w:val="24"/>
        </w:rPr>
        <w:t>S</w:t>
      </w:r>
      <w:r>
        <w:rPr>
          <w:rFonts w:ascii="Times New Roman" w:eastAsia="Times New Roman" w:hAnsi="Times New Roman"/>
          <w:b/>
          <w:sz w:val="24"/>
          <w:szCs w:val="24"/>
        </w:rPr>
        <w:t>upplementary Files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2919"/>
        <w:gridCol w:w="1376"/>
        <w:gridCol w:w="1533"/>
        <w:gridCol w:w="1171"/>
        <w:gridCol w:w="2334"/>
      </w:tblGrid>
      <w:tr w:rsidR="00912C4B" w:rsidRPr="0092316F" w14:paraId="7E2CFD64" w14:textId="77777777" w:rsidTr="001E0BD8">
        <w:trPr>
          <w:trHeight w:val="318"/>
        </w:trPr>
        <w:tc>
          <w:tcPr>
            <w:tcW w:w="9242" w:type="dxa"/>
            <w:gridSpan w:val="6"/>
            <w:shd w:val="clear" w:color="auto" w:fill="auto"/>
          </w:tcPr>
          <w:p w14:paraId="75E57100" w14:textId="1A373F7D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Supplementary </w:t>
            </w:r>
            <w:r w:rsidRPr="009231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T1</w:t>
            </w:r>
            <w:r w:rsidRPr="009231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92316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Summary of Post-hoc analyses seeding on cerebellum</w:t>
            </w:r>
          </w:p>
        </w:tc>
      </w:tr>
      <w:tr w:rsidR="00912C4B" w:rsidRPr="0092316F" w14:paraId="73300ACD" w14:textId="77777777" w:rsidTr="001E0BD8">
        <w:trPr>
          <w:trHeight w:val="329"/>
        </w:trPr>
        <w:tc>
          <w:tcPr>
            <w:tcW w:w="993" w:type="dxa"/>
            <w:shd w:val="clear" w:color="auto" w:fill="auto"/>
          </w:tcPr>
          <w:p w14:paraId="1F01D0DA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Seed</w:t>
            </w:r>
          </w:p>
        </w:tc>
        <w:tc>
          <w:tcPr>
            <w:tcW w:w="2580" w:type="dxa"/>
            <w:shd w:val="clear" w:color="auto" w:fill="auto"/>
          </w:tcPr>
          <w:p w14:paraId="23B607D9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Anatomical location (BA) of cluster</w:t>
            </w:r>
          </w:p>
        </w:tc>
        <w:tc>
          <w:tcPr>
            <w:tcW w:w="1216" w:type="dxa"/>
            <w:shd w:val="clear" w:color="auto" w:fill="auto"/>
          </w:tcPr>
          <w:p w14:paraId="1957E2B5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Left/Right</w:t>
            </w:r>
          </w:p>
        </w:tc>
        <w:tc>
          <w:tcPr>
            <w:tcW w:w="1355" w:type="dxa"/>
            <w:shd w:val="clear" w:color="auto" w:fill="auto"/>
          </w:tcPr>
          <w:p w14:paraId="5BA0E92F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cluster MNI space, </w:t>
            </w:r>
            <w:proofErr w:type="spellStart"/>
            <w:proofErr w:type="gramStart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x,y</w:t>
            </w:r>
            <w:proofErr w:type="gramEnd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,z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14:paraId="471E8917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cluster size</w:t>
            </w:r>
          </w:p>
        </w:tc>
        <w:tc>
          <w:tcPr>
            <w:tcW w:w="2063" w:type="dxa"/>
            <w:shd w:val="clear" w:color="auto" w:fill="auto"/>
          </w:tcPr>
          <w:p w14:paraId="797E0919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size- P</w:t>
            </w: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(FDR-corrected)</w:t>
            </w:r>
          </w:p>
        </w:tc>
      </w:tr>
      <w:tr w:rsidR="00912C4B" w:rsidRPr="0092316F" w14:paraId="349695EC" w14:textId="77777777" w:rsidTr="001E0BD8">
        <w:trPr>
          <w:trHeight w:val="329"/>
        </w:trPr>
        <w:tc>
          <w:tcPr>
            <w:tcW w:w="993" w:type="dxa"/>
            <w:shd w:val="clear" w:color="auto" w:fill="auto"/>
          </w:tcPr>
          <w:p w14:paraId="151B4B18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531C8B7E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09204E53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14:paraId="376968B2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1E24463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shd w:val="clear" w:color="auto" w:fill="auto"/>
          </w:tcPr>
          <w:p w14:paraId="40666DFF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2C4B" w:rsidRPr="0092316F" w14:paraId="689D6D7B" w14:textId="77777777" w:rsidTr="001E0BD8">
        <w:trPr>
          <w:trHeight w:val="329"/>
        </w:trPr>
        <w:tc>
          <w:tcPr>
            <w:tcW w:w="993" w:type="dxa"/>
            <w:shd w:val="clear" w:color="auto" w:fill="auto"/>
          </w:tcPr>
          <w:p w14:paraId="100240C0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Crus1 left</w:t>
            </w:r>
          </w:p>
        </w:tc>
        <w:tc>
          <w:tcPr>
            <w:tcW w:w="2580" w:type="dxa"/>
            <w:shd w:val="clear" w:color="auto" w:fill="auto"/>
          </w:tcPr>
          <w:p w14:paraId="417ABA33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Frontal pole cortex (BA10) and </w:t>
            </w:r>
            <w:proofErr w:type="spellStart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dlPFC</w:t>
            </w:r>
            <w:proofErr w:type="spellEnd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(BA9)</w:t>
            </w:r>
          </w:p>
        </w:tc>
        <w:tc>
          <w:tcPr>
            <w:tcW w:w="1216" w:type="dxa"/>
            <w:shd w:val="clear" w:color="auto" w:fill="auto"/>
          </w:tcPr>
          <w:p w14:paraId="1C461610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Left</w:t>
            </w:r>
          </w:p>
        </w:tc>
        <w:tc>
          <w:tcPr>
            <w:tcW w:w="1355" w:type="dxa"/>
            <w:shd w:val="clear" w:color="auto" w:fill="auto"/>
          </w:tcPr>
          <w:p w14:paraId="47C92DFE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-38, +58, +10</w:t>
            </w:r>
          </w:p>
        </w:tc>
        <w:tc>
          <w:tcPr>
            <w:tcW w:w="1035" w:type="dxa"/>
            <w:shd w:val="clear" w:color="auto" w:fill="auto"/>
          </w:tcPr>
          <w:p w14:paraId="0BF63C5F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063" w:type="dxa"/>
            <w:shd w:val="clear" w:color="auto" w:fill="auto"/>
          </w:tcPr>
          <w:p w14:paraId="0076CCDA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0.0277</w:t>
            </w:r>
          </w:p>
        </w:tc>
      </w:tr>
      <w:tr w:rsidR="00912C4B" w:rsidRPr="0092316F" w14:paraId="214F1A7A" w14:textId="77777777" w:rsidTr="001E0BD8">
        <w:trPr>
          <w:trHeight w:val="329"/>
        </w:trPr>
        <w:tc>
          <w:tcPr>
            <w:tcW w:w="993" w:type="dxa"/>
            <w:shd w:val="clear" w:color="auto" w:fill="auto"/>
          </w:tcPr>
          <w:p w14:paraId="7A7E00EA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4EF618A1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521BA9A3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14:paraId="0A47A131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8FF9982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shd w:val="clear" w:color="auto" w:fill="auto"/>
          </w:tcPr>
          <w:p w14:paraId="00B0FFB9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2C4B" w:rsidRPr="0092316F" w14:paraId="6DEC6739" w14:textId="77777777" w:rsidTr="001E0BD8">
        <w:trPr>
          <w:trHeight w:val="329"/>
        </w:trPr>
        <w:tc>
          <w:tcPr>
            <w:tcW w:w="993" w:type="dxa"/>
            <w:shd w:val="clear" w:color="auto" w:fill="auto"/>
          </w:tcPr>
          <w:p w14:paraId="72B76B9F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Crus1 right</w:t>
            </w:r>
          </w:p>
        </w:tc>
        <w:tc>
          <w:tcPr>
            <w:tcW w:w="2580" w:type="dxa"/>
            <w:shd w:val="clear" w:color="auto" w:fill="auto"/>
          </w:tcPr>
          <w:p w14:paraId="01A8AC0A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Frontal pole cortex (BA10) and </w:t>
            </w:r>
            <w:proofErr w:type="spellStart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dlPFC</w:t>
            </w:r>
            <w:proofErr w:type="spellEnd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(BA9)</w:t>
            </w:r>
          </w:p>
        </w:tc>
        <w:tc>
          <w:tcPr>
            <w:tcW w:w="1216" w:type="dxa"/>
            <w:shd w:val="clear" w:color="auto" w:fill="auto"/>
          </w:tcPr>
          <w:p w14:paraId="3EDC9B7A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Left</w:t>
            </w:r>
          </w:p>
        </w:tc>
        <w:tc>
          <w:tcPr>
            <w:tcW w:w="1355" w:type="dxa"/>
            <w:shd w:val="clear" w:color="auto" w:fill="auto"/>
          </w:tcPr>
          <w:p w14:paraId="304578BB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-28, +42, +18</w:t>
            </w:r>
          </w:p>
        </w:tc>
        <w:tc>
          <w:tcPr>
            <w:tcW w:w="1035" w:type="dxa"/>
            <w:shd w:val="clear" w:color="auto" w:fill="auto"/>
          </w:tcPr>
          <w:p w14:paraId="743561F7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2063" w:type="dxa"/>
            <w:shd w:val="clear" w:color="auto" w:fill="auto"/>
          </w:tcPr>
          <w:p w14:paraId="3EFC3E3C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0.000364</w:t>
            </w:r>
          </w:p>
        </w:tc>
      </w:tr>
      <w:tr w:rsidR="00912C4B" w:rsidRPr="0092316F" w14:paraId="545C24D2" w14:textId="77777777" w:rsidTr="001E0BD8">
        <w:trPr>
          <w:trHeight w:val="329"/>
        </w:trPr>
        <w:tc>
          <w:tcPr>
            <w:tcW w:w="993" w:type="dxa"/>
            <w:shd w:val="clear" w:color="auto" w:fill="auto"/>
          </w:tcPr>
          <w:p w14:paraId="2140F756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545D5B02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Frontal pole cortex (BA10) and </w:t>
            </w:r>
            <w:proofErr w:type="spellStart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dlPFC</w:t>
            </w:r>
            <w:proofErr w:type="spellEnd"/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(BA9)</w:t>
            </w:r>
          </w:p>
        </w:tc>
        <w:tc>
          <w:tcPr>
            <w:tcW w:w="1216" w:type="dxa"/>
            <w:shd w:val="clear" w:color="auto" w:fill="auto"/>
          </w:tcPr>
          <w:p w14:paraId="1C79417B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Right</w:t>
            </w:r>
          </w:p>
        </w:tc>
        <w:tc>
          <w:tcPr>
            <w:tcW w:w="1355" w:type="dxa"/>
            <w:shd w:val="clear" w:color="auto" w:fill="auto"/>
          </w:tcPr>
          <w:p w14:paraId="72D1D8C8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+28. +48, -10</w:t>
            </w:r>
          </w:p>
        </w:tc>
        <w:tc>
          <w:tcPr>
            <w:tcW w:w="1035" w:type="dxa"/>
            <w:shd w:val="clear" w:color="auto" w:fill="auto"/>
          </w:tcPr>
          <w:p w14:paraId="77766D55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063" w:type="dxa"/>
            <w:shd w:val="clear" w:color="auto" w:fill="auto"/>
          </w:tcPr>
          <w:p w14:paraId="154D5FAD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0.002</w:t>
            </w:r>
          </w:p>
        </w:tc>
      </w:tr>
      <w:tr w:rsidR="00912C4B" w:rsidRPr="0092316F" w14:paraId="0CC2E9EB" w14:textId="77777777" w:rsidTr="001E0BD8">
        <w:trPr>
          <w:trHeight w:val="169"/>
        </w:trPr>
        <w:tc>
          <w:tcPr>
            <w:tcW w:w="993" w:type="dxa"/>
            <w:shd w:val="clear" w:color="auto" w:fill="auto"/>
          </w:tcPr>
          <w:p w14:paraId="6DFD763C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shd w:val="clear" w:color="auto" w:fill="auto"/>
          </w:tcPr>
          <w:p w14:paraId="2FADD5DB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</w:tcPr>
          <w:p w14:paraId="3AF2085A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355" w:type="dxa"/>
            <w:shd w:val="clear" w:color="auto" w:fill="auto"/>
          </w:tcPr>
          <w:p w14:paraId="72373DB5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35" w:type="dxa"/>
            <w:shd w:val="clear" w:color="auto" w:fill="auto"/>
          </w:tcPr>
          <w:p w14:paraId="4C4740DD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63" w:type="dxa"/>
            <w:shd w:val="clear" w:color="auto" w:fill="auto"/>
          </w:tcPr>
          <w:p w14:paraId="64903EB7" w14:textId="77777777" w:rsidR="00912C4B" w:rsidRPr="0092316F" w:rsidRDefault="00912C4B" w:rsidP="001E0BD8">
            <w:pPr>
              <w:widowControl/>
              <w:spacing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316F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912C4B" w:rsidRPr="0092316F" w14:paraId="5D72E611" w14:textId="77777777" w:rsidTr="001E0BD8">
        <w:trPr>
          <w:trHeight w:val="329"/>
        </w:trPr>
        <w:tc>
          <w:tcPr>
            <w:tcW w:w="9242" w:type="dxa"/>
            <w:gridSpan w:val="6"/>
            <w:shd w:val="clear" w:color="auto" w:fill="auto"/>
          </w:tcPr>
          <w:p w14:paraId="2C94A461" w14:textId="77777777" w:rsidR="00912C4B" w:rsidRPr="0092316F" w:rsidRDefault="00912C4B" w:rsidP="001E0BD8">
            <w:pPr>
              <w:widowControl/>
              <w:spacing w:line="48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1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BA: Brodmann area, FDR: false discovery rate, MNI: Montreal Neurological Institution</w:t>
            </w:r>
          </w:p>
        </w:tc>
      </w:tr>
      <w:bookmarkEnd w:id="0"/>
    </w:tbl>
    <w:p w14:paraId="62FBEDFA" w14:textId="515F71F4" w:rsidR="00BD64DE" w:rsidRDefault="00BD64DE">
      <w:r>
        <w:br w:type="page"/>
      </w:r>
    </w:p>
    <w:p w14:paraId="55A388C9" w14:textId="77777777" w:rsidR="00912C4B" w:rsidRPr="00BD64DE" w:rsidRDefault="00912C4B"/>
    <w:p w14:paraId="79E2D869" w14:textId="50798D61" w:rsidR="00912C4B" w:rsidRDefault="00912C4B" w:rsidP="00912C4B">
      <w:pPr>
        <w:spacing w:line="48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Supplementary </w:t>
      </w:r>
      <w:r w:rsidRPr="0092316F">
        <w:rPr>
          <w:rFonts w:ascii="Times New Roman" w:eastAsia="Times New Roman" w:hAnsi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/>
          <w:b/>
          <w:sz w:val="24"/>
          <w:szCs w:val="24"/>
          <w:lang w:eastAsia="ja-JP"/>
        </w:rPr>
        <w:t>F1</w:t>
      </w:r>
      <w:r w:rsidRPr="0092316F">
        <w:rPr>
          <w:rFonts w:ascii="Times New Roman" w:eastAsia="Times New Roman" w:hAnsi="Times New Roman"/>
          <w:b/>
          <w:sz w:val="24"/>
          <w:szCs w:val="24"/>
        </w:rPr>
        <w:t>. The result of the seed-to-voxel analysis seeding on the cerebellum left CRUS 1.</w:t>
      </w:r>
    </w:p>
    <w:p w14:paraId="62319C00" w14:textId="243A9D12" w:rsidR="00465800" w:rsidRDefault="00465800" w:rsidP="00912C4B">
      <w:pPr>
        <w:spacing w:line="48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7A872AF" w14:textId="7F5FD675" w:rsidR="00465800" w:rsidRPr="00912C4B" w:rsidRDefault="00465800" w:rsidP="00912C4B">
      <w:pPr>
        <w:spacing w:line="48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hint="eastAsia"/>
          <w:b/>
          <w:noProof/>
          <w:sz w:val="24"/>
          <w:szCs w:val="24"/>
        </w:rPr>
        <w:drawing>
          <wp:inline distT="0" distB="0" distL="0" distR="0" wp14:anchorId="1AB3558B" wp14:editId="2966772D">
            <wp:extent cx="5400040" cy="5400040"/>
            <wp:effectExtent l="0" t="0" r="0" b="0"/>
            <wp:docPr id="14531738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7385" name="図 1453173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407D7" w14:textId="77777777" w:rsidR="00BD64DE" w:rsidRDefault="00BD64DE" w:rsidP="00912C4B">
      <w:pPr>
        <w:spacing w:line="48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0E95272A" w14:textId="4FB1B831" w:rsidR="00912C4B" w:rsidRDefault="00912C4B" w:rsidP="00912C4B">
      <w:pPr>
        <w:spacing w:line="48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Supplementary </w:t>
      </w:r>
      <w:r w:rsidRPr="0092316F">
        <w:rPr>
          <w:rFonts w:ascii="Times New Roman" w:eastAsia="Times New Roman" w:hAnsi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/>
          <w:b/>
          <w:sz w:val="24"/>
          <w:szCs w:val="24"/>
          <w:lang w:eastAsia="ja-JP"/>
        </w:rPr>
        <w:t>F2</w:t>
      </w:r>
      <w:r w:rsidRPr="0092316F">
        <w:rPr>
          <w:rFonts w:ascii="Times New Roman" w:eastAsia="Times New Roman" w:hAnsi="Times New Roman"/>
          <w:b/>
          <w:sz w:val="24"/>
          <w:szCs w:val="24"/>
        </w:rPr>
        <w:t>. The result of the seed-to-voxel analysis seeding on the cerebellum right CRUS 1.</w:t>
      </w:r>
    </w:p>
    <w:p w14:paraId="2A3E5187" w14:textId="3E2B542F" w:rsidR="00912C4B" w:rsidRPr="00912C4B" w:rsidRDefault="00465800">
      <w:r>
        <w:rPr>
          <w:rFonts w:hint="eastAsia"/>
          <w:noProof/>
        </w:rPr>
        <w:drawing>
          <wp:inline distT="0" distB="0" distL="0" distR="0" wp14:anchorId="1F495D27" wp14:editId="37A3E856">
            <wp:extent cx="5400040" cy="5400040"/>
            <wp:effectExtent l="0" t="0" r="0" b="0"/>
            <wp:docPr id="40335615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56158" name="図 4033561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C4B" w:rsidRPr="00912C4B" w:rsidSect="00BD64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4B"/>
    <w:rsid w:val="00465800"/>
    <w:rsid w:val="00912C4B"/>
    <w:rsid w:val="00B207FE"/>
    <w:rsid w:val="00B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CB16C"/>
  <w15:chartTrackingRefBased/>
  <w15:docId w15:val="{D2B23BF7-174A-CC4E-B8BF-6B3D30DC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C4B"/>
    <w:pPr>
      <w:widowControl w:val="0"/>
      <w:jc w:val="both"/>
    </w:pPr>
    <w:rPr>
      <w:rFonts w:ascii="游明朝" w:eastAsia="游明朝" w:hAnsi="游明朝" w:cs="Times New Roman"/>
      <w:kern w:val="0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BD73C5-58FD-854B-AEC7-150FECA50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</Words>
  <Characters>680</Characters>
  <Application>Microsoft Office Word</Application>
  <DocSecurity>0</DocSecurity>
  <Lines>10</Lines>
  <Paragraphs>6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Morio Aki</dc:creator>
  <cp:keywords/>
  <dc:description/>
  <cp:lastModifiedBy>Morio Aki</cp:lastModifiedBy>
  <cp:revision>3</cp:revision>
  <dcterms:created xsi:type="dcterms:W3CDTF">2023-12-14T02:27:00Z</dcterms:created>
  <dcterms:modified xsi:type="dcterms:W3CDTF">2023-12-14T03:25:00Z</dcterms:modified>
</cp:coreProperties>
</file>