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479165"/>
            <wp:effectExtent l="0" t="0" r="3810" b="4445"/>
            <wp:docPr id="1" name="图片 1" descr="流程图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流程图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</w:pPr>
      <w:bookmarkStart w:id="0" w:name="OLE_LINK1"/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Figure1: Identification of patients hospitali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z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ed with COVID-19 with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 and without e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arly antibiotic use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during the study period.</w:t>
      </w:r>
    </w:p>
    <w:bookmarkEnd w:id="0"/>
    <w:p/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宋体" w:cs="Times New Roman"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Table1.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 xml:space="preserve">Baseline characteristics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and laboratory parameters of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 xml:space="preserve"> COVID-1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9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patients with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 and without e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arly antibiotic use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before and after propensity score matching.</w:t>
      </w:r>
    </w:p>
    <w:tbl>
      <w:tblPr>
        <w:tblStyle w:val="4"/>
        <w:tblW w:w="8760" w:type="dxa"/>
        <w:tblInd w:w="1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1716"/>
        <w:gridCol w:w="1918"/>
        <w:gridCol w:w="844"/>
        <w:gridCol w:w="13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9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8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Before 1:2 propensity-score matching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After 1:2 PSM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9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Non-Early antibiotic use    (n=185)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Early antibiotic use   (Controls(n=1287)</w:t>
            </w:r>
            <w:r>
              <w:rPr>
                <w:rStyle w:val="6"/>
                <w:lang w:val="en-US" w:eastAsia="zh-CN"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Baseline covariates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62.91±19.65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71.24±16.95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0.127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Sex: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35.1%(65/185)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30.6%(394/1287)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64.9(120/185)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69.4%(893/1287)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24.11±3.59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23.39±3.87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0.832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Former or 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16.2%(30/185)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22.5%</w:t>
            </w:r>
            <w:r>
              <w:rPr>
                <w:rStyle w:val="6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val="en-US" w:eastAsia="zh-CN" w:bidi="ar"/>
              </w:rPr>
              <w:t xml:space="preserve">290/1287)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0.537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Comorbids: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20.0%(37/185)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27.8%(358/1287)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42.2%(78/185)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46.1%(593/1287)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15.7%(29/185)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26.4%(340/1287)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hepatic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4.3%(8/185)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7.2%(93/1287)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lung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8.1%(15/185)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21.5%(277/1287)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Cardiovascular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13.0%(24/185)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27.7%(356/1287)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0.662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Immune system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2.7%(5/185)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4.1%(53/1287)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Malignancy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9.7%(18/185)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13.8%(177/1287)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0.134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0.751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 2 types of Comorbids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30.3%(56/185)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55.7%(717/1287)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0.409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Disease severity for COVID-19: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0.524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Non-severe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71.4%(132/185)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37.1%(478/1287)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Severe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25.9%(48/185)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39.4%(507/1287)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Critical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2.7%(5/185)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23.5%(302/1287)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Laboratory parameters at admission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Lymphocytes, 109 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0.96±0.46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0.83±0.92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0.471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PCT, ng/mL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0.15±0.39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1.20±4.36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0.387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CRP, mg/L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41.45±49.81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75.91±70.77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IL-6, μg/L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23.61±42.97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60.50±105.44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0.335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D-Dimer, mg/L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1.54±2.86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3.85±5.81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0.563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CD4+ T cells, cell/μL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358.88±269.70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213.19±199.26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CD8+ T cells, cell/μL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229.00±172.49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152.06±124.93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0.092 </w:t>
            </w:r>
          </w:p>
        </w:tc>
      </w:tr>
    </w:tbl>
    <w:p>
      <w:pPr>
        <w:widowControl/>
        <w:shd w:val="clear" w:color="auto" w:fill="FFFFFF"/>
        <w:spacing w:line="240" w:lineRule="auto"/>
        <w:jc w:val="left"/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PSM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propensity-score matching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PCT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procalcitonin, CRP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 xml:space="preserve">C-reactive protein, 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IL-6: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interleukin 6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>, NA: not applicated.</w:t>
      </w:r>
    </w:p>
    <w:p/>
    <w:p/>
    <w:p/>
    <w:p/>
    <w:p/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3446780"/>
            <wp:effectExtent l="0" t="0" r="3810" b="3810"/>
            <wp:docPr id="2" name="图片 2" descr="流程图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流程图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4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</w:pP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Figure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: Identification of patients hospitali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z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ed with COVID-19 with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 and without 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antibiotic use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during the study period.</w:t>
      </w:r>
    </w:p>
    <w:p>
      <w:pPr>
        <w:widowControl w:val="0"/>
        <w:numPr>
          <w:ilvl w:val="0"/>
          <w:numId w:val="0"/>
        </w:numPr>
        <w:jc w:val="both"/>
      </w:pP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Table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.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 xml:space="preserve">Baseline characteristics 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>and laboratory parameters of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 xml:space="preserve"> COVID-1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9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patients with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  <w:lang w:val="en-US" w:eastAsia="zh-CN"/>
        </w:rPr>
        <w:t xml:space="preserve"> and without</w:t>
      </w:r>
      <w:r>
        <w:rPr>
          <w:rFonts w:hint="default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antibiotic use</w:t>
      </w:r>
      <w:r>
        <w:rPr>
          <w:rFonts w:hint="eastAsia" w:ascii="Times New Roman" w:hAnsi="Times New Roman" w:eastAsia="宋体" w:cs="Times New Roman"/>
          <w:b/>
          <w:bCs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Segoe UI" w:cs="Times New Roman"/>
          <w:b/>
          <w:bCs/>
          <w:i w:val="0"/>
          <w:iCs w:val="0"/>
          <w:caps w:val="0"/>
          <w:color w:val="101214"/>
          <w:spacing w:val="0"/>
          <w:sz w:val="20"/>
          <w:szCs w:val="20"/>
          <w:shd w:val="clear" w:fill="FFFFFF"/>
        </w:rPr>
        <w:t>before and after propensity score matching.</w:t>
      </w:r>
    </w:p>
    <w:tbl>
      <w:tblPr>
        <w:tblStyle w:val="4"/>
        <w:tblW w:w="8760" w:type="dxa"/>
        <w:tblInd w:w="10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9"/>
        <w:gridCol w:w="1879"/>
        <w:gridCol w:w="1755"/>
        <w:gridCol w:w="844"/>
        <w:gridCol w:w="13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2909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80" w:type="dxa"/>
            <w:gridSpan w:val="3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Before 1:2 propensity-score matching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After 1:2 PSM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909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Non-antibiotic use    (n=149)</w:t>
            </w:r>
          </w:p>
        </w:tc>
        <w:tc>
          <w:tcPr>
            <w:tcW w:w="175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Antibiotic use    (n=1323)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alue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V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Baseline covariates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Age(years)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61.42±19.00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71.18±17.08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Sex: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0.655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33.6%(50/149)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30.9%(409/1323)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66.4%(99/149)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69.1%(914/1323)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23.82±3.60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23.45±3.86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0.814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Former or current smoker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16.8%(25/149)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22.3%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</w:t>
            </w:r>
            <w:r>
              <w:rPr>
                <w:rStyle w:val="8"/>
                <w:rFonts w:eastAsia="宋体"/>
                <w:lang w:val="en-US" w:eastAsia="zh-CN" w:bidi="ar"/>
              </w:rPr>
              <w:t xml:space="preserve">295/1323)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0.893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Comorbids: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Diabetes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18.8%(28/149)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27.7%(367/1323)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0.025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40.9%(61/149)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46.1%(610/1323)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0.259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0.916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kidney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16.1%(24/149)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26.1%(345/1323)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0.885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hepatic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5.4%(8/149)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7.0%(93/1323)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0.500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0.834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Chronic lung diseases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8.1%(12/149)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21.2%(280/1323)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0.848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Cardiovascular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11.4%(17/149)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27.4%(363/1323)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1.000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Immune system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3.4%(5/149)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4.0%(53/1323)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0.477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Malignancy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8.7%(13/149)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13.8%(182/1323)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0.859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≥ 2 types of Comorbids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28.2%(42/149)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55.3%(731/1323)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0.818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Disease severity for COVID-19: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0.222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Non-severe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73.2%(109/149)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37.9%(501/1323)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Severe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24.2%(36/149)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39.2%(519/1323)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Critical COVID-19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2.6%(4/149)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22.9%(303/1323)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Laboratory parameters at admission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Lymphocytes, 109 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0.96±0.46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0.83±0.91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0.808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PCT, ng/mL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0.17±0.44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1.17±4.31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0.302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CRP, mg/L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40.49±49.76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75.05±70.45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0.043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IL-6, μg/L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22.35±42.51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59.68±104.45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0.417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D-Dimer, mg/L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1.22±1.70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3.81±5.79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0.346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CD4T cell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389.50±279.86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214.01±199.59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0.070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CD8T cell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251.54±183.97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152.20±124.71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0.015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0.067 </w:t>
            </w:r>
          </w:p>
        </w:tc>
      </w:tr>
    </w:tbl>
    <w:p>
      <w:pPr>
        <w:widowControl/>
        <w:shd w:val="clear" w:color="auto" w:fill="FFFFFF"/>
        <w:spacing w:line="240" w:lineRule="auto"/>
        <w:jc w:val="left"/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sectPr>
          <w:footerReference r:id="rId3" w:type="default"/>
          <w:pgSz w:w="11906" w:h="16838"/>
          <w:pgMar w:top="1440" w:right="1800" w:bottom="1440" w:left="1800" w:header="851" w:footer="992" w:gutter="0"/>
          <w:lnNumType w:countBy="1" w:restart="continuous"/>
          <w:cols w:space="425" w:num="1"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PSM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: 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propensity-score matching</w:t>
      </w:r>
      <w:r>
        <w:rPr>
          <w:rFonts w:hint="eastAsia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 xml:space="preserve">,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PCT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procalcitonin, CRP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 xml:space="preserve">C-reactive protein, 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 xml:space="preserve">IL-6: </w:t>
      </w:r>
      <w:r>
        <w:rPr>
          <w:rFonts w:hint="default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>interleukin 6</w:t>
      </w: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val="en-US" w:eastAsia="zh-CN" w:bidi="ar"/>
        </w:rPr>
        <w:t>, NA: not applicat</w:t>
      </w:r>
    </w:p>
    <w:p>
      <w:pP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</w:pPr>
      <w:r>
        <w:rPr>
          <w:rFonts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>Table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  <w:lang w:val="en-US" w:eastAsia="zh-CN"/>
        </w:rPr>
        <w:t>3</w:t>
      </w:r>
      <w:r>
        <w:rPr>
          <w:rFonts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>Comparison of outcomes parameters between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 xml:space="preserve"> patients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>with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and without early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antibiotic use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>before and after propensity score matching.</w:t>
      </w:r>
    </w:p>
    <w:tbl>
      <w:tblPr>
        <w:tblStyle w:val="4"/>
        <w:tblW w:w="14638" w:type="dxa"/>
        <w:tblInd w:w="10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1606"/>
        <w:gridCol w:w="1749"/>
        <w:gridCol w:w="798"/>
        <w:gridCol w:w="666"/>
        <w:gridCol w:w="666"/>
        <w:gridCol w:w="811"/>
        <w:gridCol w:w="1420"/>
        <w:gridCol w:w="1482"/>
        <w:gridCol w:w="742"/>
        <w:gridCol w:w="666"/>
        <w:gridCol w:w="666"/>
        <w:gridCol w:w="8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3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198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Before 1:2 propensity-score matching</w:t>
            </w:r>
          </w:p>
        </w:tc>
        <w:tc>
          <w:tcPr>
            <w:tcW w:w="6138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After 1:2 propensity-score matching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47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Non-early antibiotic use    (n=185)</w:t>
            </w:r>
          </w:p>
        </w:tc>
        <w:tc>
          <w:tcPr>
            <w:tcW w:w="1749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Early antibiotic use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(n=1287)</w:t>
            </w:r>
          </w:p>
        </w:tc>
        <w:tc>
          <w:tcPr>
            <w:tcW w:w="806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Crude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Non-early antibiotic use    (n=166)</w:t>
            </w:r>
          </w:p>
        </w:tc>
        <w:tc>
          <w:tcPr>
            <w:tcW w:w="172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Early antibiotic use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(n=332)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Crude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177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7.0%(13/185)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32.6%(420/1287)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0.156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4.8%(8/166)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9.3%(31/332)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0.082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Tracheal intubation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1.1%(2/185)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9.3%(120/1287)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1.2%(2/166)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0.9%(3/332)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1.337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0.751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ICU admission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1.1%(2/185)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13.1%(168/1287)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0.073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0.018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1.2%(2/166)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1.8%(6/332)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0.663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0.617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Length of hospital stay(days)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12.02±7.02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15.74±10.15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11.77±6.83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13.94±8.12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3.1%(6/185)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14.8%(190/1287)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0.194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0.085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3.0%(5/166)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3.3%(11/332)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0.906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0.310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2.653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0.857 </w:t>
            </w:r>
          </w:p>
        </w:tc>
      </w:tr>
    </w:tbl>
    <w:p>
      <w:pPr>
        <w:widowControl/>
        <w:shd w:val="clear" w:color="auto" w:fill="FFFFFF"/>
        <w:jc w:val="left"/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</w:pP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 xml:space="preserve"> NA: not applicated, ICU: Intensive Care Unit, HR: Hazard ratios, CI: Confidence interval.</w:t>
      </w:r>
    </w:p>
    <w:p>
      <w:pPr>
        <w:widowControl/>
        <w:shd w:val="clear" w:color="auto" w:fill="FFFFFF"/>
        <w:jc w:val="left"/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</w:pPr>
      <w:bookmarkStart w:id="1" w:name="_GoBack"/>
      <w:bookmarkEnd w:id="1"/>
    </w:p>
    <w:p>
      <w:r>
        <w:rPr>
          <w:rFonts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>Table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>.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 xml:space="preserve"> Comparison of outcomes parameters between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 xml:space="preserve"> patients</w:t>
      </w:r>
      <w:r>
        <w:rPr>
          <w:rFonts w:hint="eastAsia" w:ascii="Times New Roman" w:hAnsi="Times New Roman" w:eastAsia="宋体" w:cs="Times New Roman"/>
          <w:b/>
          <w:bCs/>
          <w:color w:val="101214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>with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and without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>antibiotic use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eastAsia="Segoe UI" w:cs="Times New Roman"/>
          <w:b/>
          <w:bCs/>
          <w:color w:val="101214"/>
          <w:sz w:val="20"/>
          <w:szCs w:val="20"/>
          <w:shd w:val="clear" w:color="auto" w:fill="FFFFFF"/>
        </w:rPr>
        <w:t>before and after propensity score matching.</w:t>
      </w:r>
    </w:p>
    <w:tbl>
      <w:tblPr>
        <w:tblStyle w:val="4"/>
        <w:tblW w:w="14879" w:type="dxa"/>
        <w:tblInd w:w="10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5"/>
        <w:gridCol w:w="1659"/>
        <w:gridCol w:w="1778"/>
        <w:gridCol w:w="801"/>
        <w:gridCol w:w="666"/>
        <w:gridCol w:w="666"/>
        <w:gridCol w:w="811"/>
        <w:gridCol w:w="1520"/>
        <w:gridCol w:w="1481"/>
        <w:gridCol w:w="744"/>
        <w:gridCol w:w="666"/>
        <w:gridCol w:w="666"/>
        <w:gridCol w:w="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3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6297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Before 1:2 propensity-score matching</w:t>
            </w:r>
          </w:p>
        </w:tc>
        <w:tc>
          <w:tcPr>
            <w:tcW w:w="6242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After 1:2 propensity-score matching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  <w:tc>
          <w:tcPr>
            <w:tcW w:w="177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Non-antibiotic use(n=149)</w:t>
            </w:r>
          </w:p>
        </w:tc>
        <w:tc>
          <w:tcPr>
            <w:tcW w:w="177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Antibiotic use  (n=1287)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Crude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  <w:tc>
          <w:tcPr>
            <w:tcW w:w="1733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Non-antibiotic use (n=139)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Antibiotic use (n=278)</w:t>
            </w:r>
          </w:p>
        </w:tc>
        <w:tc>
          <w:tcPr>
            <w:tcW w:w="804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Crude </w:t>
            </w:r>
          </w:p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1196" w:type="dxa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95%CI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P value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Mechanical ventilation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6.7%(10/149)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32.0%(423/1287)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0.153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5.0%(7/139)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9.0%(25/278)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0.537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0.226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1.273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0.158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Tracheal intubation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1.3%(2/149)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9.1%(120/1287)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1.4%(2/139)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3.6%(10/278)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ICU admission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1.3%(2/149)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12.7%(168/1287)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0.001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1.4%(2/139)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3.6%(10/278)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0.391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0.230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Length of hospital stay(days)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10.56±5.89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15.80±10.11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10.55±5.81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14.10±8.27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＜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bidi="ar"/>
              </w:rPr>
              <w:t>0.001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Mortality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2.7%(4/149)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14.5%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sz w:val="20"/>
                <w:szCs w:val="20"/>
                <w:u w:val="none"/>
                <w:lang w:bidi="ar"/>
              </w:rPr>
              <w:t xml:space="preserve">192/1287)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0.163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0.059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0.444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2.2%(3/139)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4.3%(12/278)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0.489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0.136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1.762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 xml:space="preserve">0.274 </w:t>
            </w:r>
          </w:p>
        </w:tc>
      </w:tr>
    </w:tbl>
    <w:p>
      <w:pPr>
        <w:widowControl/>
        <w:shd w:val="clear" w:color="auto" w:fill="FFFFFF"/>
        <w:jc w:val="left"/>
      </w:pPr>
      <w:r>
        <w:rPr>
          <w:rFonts w:hint="eastAsia" w:ascii="Times New Roman" w:hAnsi="Times New Roman" w:eastAsia="AdvTrebu" w:cs="Times New Roman"/>
          <w:kern w:val="0"/>
          <w:sz w:val="20"/>
          <w:szCs w:val="20"/>
          <w:shd w:val="clear" w:color="auto" w:fill="FFFFFF"/>
          <w:lang w:bidi="ar"/>
        </w:rPr>
        <w:t xml:space="preserve"> NA: not applicated, ICU: Intensive Care Unit, HR: Hazard ratios, CI: Confidence interval.</w:t>
      </w:r>
    </w:p>
    <w:sectPr>
      <w:pgSz w:w="16838" w:h="11906" w:orient="landscape"/>
      <w:pgMar w:top="1800" w:right="1440" w:bottom="1800" w:left="144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AdvTrebu">
    <w:altName w:val="Microsoft YaHei UI"/>
    <w:panose1 w:val="020B0604020202020204"/>
    <w:charset w:val="00"/>
    <w:family w:val="auto"/>
    <w:pitch w:val="default"/>
    <w:sig w:usb0="00000000" w:usb1="00000000" w:usb2="00000000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UuKWy9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1ODZhNDBkMzJlMmZjZmNiMGM0N2E2ZmM1N2FkMmEifQ=="/>
  </w:docVars>
  <w:rsids>
    <w:rsidRoot w:val="01A567B1"/>
    <w:rsid w:val="01A567B1"/>
    <w:rsid w:val="04BB1085"/>
    <w:rsid w:val="0A4D4937"/>
    <w:rsid w:val="0BE20178"/>
    <w:rsid w:val="31AE1424"/>
    <w:rsid w:val="339D0CED"/>
    <w:rsid w:val="66406307"/>
    <w:rsid w:val="67B20637"/>
    <w:rsid w:val="6C3D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8">
    <w:name w:val="font11"/>
    <w:basedOn w:val="5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724</Words>
  <Characters>5189</Characters>
  <Lines>0</Lines>
  <Paragraphs>0</Paragraphs>
  <TotalTime>2</TotalTime>
  <ScaleCrop>false</ScaleCrop>
  <LinksUpToDate>false</LinksUpToDate>
  <CharactersWithSpaces>5657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2023-03-27T11:28:00Z</dcterms:created>
  <dc:creator>段段</dc:creator>
  <cp:lastModifiedBy>段段</cp:lastModifiedBy>
  <dcterms:modified xsi:type="dcterms:W3CDTF">2023-04-25T05:02:36Z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98EF0BB9C4EF4E21A0EA28D22FB21338</vt:lpwstr>
  </property>
</Properties>
</file>