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480" w:line="276" w:lineRule="auto"/>
        <w:ind w:left="0" w:right="0" w:firstLine="0"/>
        <w:jc w:val="left"/>
        <w:rPr>
          <w:rFonts w:ascii="Calibri" w:cs="Calibri" w:eastAsia="Calibri" w:hAnsi="Calibri"/>
          <w:b w:val="1"/>
          <w:i w:val="0"/>
          <w:smallCaps w:val="0"/>
          <w:strike w:val="0"/>
          <w:color w:val="2f5496"/>
          <w:sz w:val="28"/>
          <w:szCs w:val="28"/>
          <w:u w:val="none"/>
          <w:shd w:fill="auto" w:val="clear"/>
          <w:vertAlign w:val="baseline"/>
        </w:rPr>
      </w:pPr>
      <w:r w:rsidDel="00000000" w:rsidR="00000000" w:rsidRPr="00000000">
        <w:rPr>
          <w:rFonts w:ascii="Calibri" w:cs="Calibri" w:eastAsia="Calibri" w:hAnsi="Calibri"/>
          <w:b w:val="1"/>
          <w:i w:val="0"/>
          <w:smallCaps w:val="0"/>
          <w:strike w:val="0"/>
          <w:color w:val="2f5496"/>
          <w:sz w:val="28"/>
          <w:szCs w:val="28"/>
          <w:u w:val="none"/>
          <w:shd w:fill="auto" w:val="clear"/>
          <w:vertAlign w:val="baseline"/>
          <w:rtl w:val="0"/>
        </w:rPr>
        <w:t xml:space="preserve">SUPPLEMENTAL METHODS</w:t>
      </w:r>
    </w:p>
    <w:sdt>
      <w:sdtPr>
        <w:docPartObj>
          <w:docPartGallery w:val="Table of Contents"/>
          <w:docPartUnique w:val="1"/>
        </w:docPartObj>
      </w:sdtPr>
      <w:sdtContent>
        <w:p w:rsidR="00000000" w:rsidDel="00000000" w:rsidP="00000000" w:rsidRDefault="00000000" w:rsidRPr="00000000" w14:paraId="00000002">
          <w:pPr>
            <w:widowControl w:val="0"/>
            <w:tabs>
              <w:tab w:val="right" w:leader="dot" w:pos="12000"/>
            </w:tabs>
            <w:spacing w:before="60" w:lineRule="auto"/>
            <w:rPr>
              <w:rFonts w:ascii="Arial" w:cs="Arial" w:eastAsia="Arial" w:hAnsi="Arial"/>
              <w:b w:val="1"/>
              <w:i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w:instrText>
            <w:fldChar w:fldCharType="separate"/>
          </w:r>
          <w:hyperlink w:anchor="_heading=h.30j0zll">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Conversion of intensity data to VCFs using the gtc2vcf pipeline</w:t>
              <w:tab/>
              <w:t xml:space="preserve">1</w:t>
            </w:r>
          </w:hyperlink>
          <w:r w:rsidDel="00000000" w:rsidR="00000000" w:rsidRPr="00000000">
            <w:rPr>
              <w:rtl w:val="0"/>
            </w:rPr>
          </w:r>
        </w:p>
        <w:p w:rsidR="00000000" w:rsidDel="00000000" w:rsidP="00000000" w:rsidRDefault="00000000" w:rsidRPr="00000000" w14:paraId="00000003">
          <w:pPr>
            <w:widowControl w:val="0"/>
            <w:tabs>
              <w:tab w:val="right" w:leader="dot" w:pos="12000"/>
            </w:tabs>
            <w:spacing w:before="60" w:lineRule="auto"/>
            <w:rPr>
              <w:rFonts w:ascii="Arial" w:cs="Arial" w:eastAsia="Arial" w:hAnsi="Arial"/>
              <w:b w:val="1"/>
              <w:i w:val="0"/>
              <w:smallCaps w:val="0"/>
              <w:strike w:val="0"/>
              <w:color w:val="000000"/>
              <w:sz w:val="22"/>
              <w:szCs w:val="22"/>
              <w:u w:val="none"/>
              <w:shd w:fill="auto" w:val="clear"/>
              <w:vertAlign w:val="baseline"/>
            </w:rPr>
          </w:pPr>
          <w:hyperlink w:anchor="_heading=h.1fob9te">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Sample-level quality control procedure</w:t>
              <w:tab/>
              <w:t xml:space="preserve">2</w:t>
            </w:r>
          </w:hyperlink>
          <w:r w:rsidDel="00000000" w:rsidR="00000000" w:rsidRPr="00000000">
            <w:rPr>
              <w:rtl w:val="0"/>
            </w:rPr>
          </w:r>
        </w:p>
        <w:p w:rsidR="00000000" w:rsidDel="00000000" w:rsidP="00000000" w:rsidRDefault="00000000" w:rsidRPr="00000000" w14:paraId="00000004">
          <w:pPr>
            <w:widowControl w:val="0"/>
            <w:tabs>
              <w:tab w:val="right" w:leader="dot" w:pos="12000"/>
            </w:tabs>
            <w:spacing w:before="60" w:lineRule="auto"/>
            <w:rPr>
              <w:rFonts w:ascii="Arial" w:cs="Arial" w:eastAsia="Arial" w:hAnsi="Arial"/>
              <w:b w:val="1"/>
              <w:i w:val="0"/>
              <w:smallCaps w:val="0"/>
              <w:strike w:val="0"/>
              <w:color w:val="000000"/>
              <w:sz w:val="22"/>
              <w:szCs w:val="22"/>
              <w:u w:val="none"/>
              <w:shd w:fill="auto" w:val="clear"/>
              <w:vertAlign w:val="baseline"/>
            </w:rPr>
          </w:pPr>
          <w:hyperlink w:anchor="_heading=h.3znysh7">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CNV calling procedure</w:t>
              <w:tab/>
              <w:t xml:space="preserve">3</w:t>
            </w:r>
          </w:hyperlink>
          <w:r w:rsidDel="00000000" w:rsidR="00000000" w:rsidRPr="00000000">
            <w:rPr>
              <w:rtl w:val="0"/>
            </w:rPr>
          </w:r>
        </w:p>
        <w:p w:rsidR="00000000" w:rsidDel="00000000" w:rsidP="00000000" w:rsidRDefault="00000000" w:rsidRPr="00000000" w14:paraId="00000005">
          <w:pPr>
            <w:widowControl w:val="0"/>
            <w:tabs>
              <w:tab w:val="right" w:leader="dot" w:pos="12000"/>
            </w:tabs>
            <w:spacing w:before="60" w:lineRule="auto"/>
            <w:rPr>
              <w:rFonts w:ascii="Arial" w:cs="Arial" w:eastAsia="Arial" w:hAnsi="Arial"/>
              <w:b w:val="1"/>
              <w:i w:val="0"/>
              <w:smallCaps w:val="0"/>
              <w:strike w:val="0"/>
              <w:color w:val="000000"/>
              <w:sz w:val="22"/>
              <w:szCs w:val="22"/>
              <w:u w:val="none"/>
              <w:shd w:fill="auto" w:val="clear"/>
              <w:vertAlign w:val="baseline"/>
            </w:rPr>
          </w:pPr>
          <w:hyperlink w:anchor="_heading=h.2et92p0">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B allele frequency validation procedure</w:t>
              <w:tab/>
              <w:t xml:space="preserve">4</w:t>
            </w:r>
          </w:hyperlink>
          <w:r w:rsidDel="00000000" w:rsidR="00000000" w:rsidRPr="00000000">
            <w:rPr>
              <w:rtl w:val="0"/>
            </w:rPr>
          </w:r>
        </w:p>
        <w:p w:rsidR="00000000" w:rsidDel="00000000" w:rsidP="00000000" w:rsidRDefault="00000000" w:rsidRPr="00000000" w14:paraId="00000006">
          <w:pPr>
            <w:widowControl w:val="0"/>
            <w:tabs>
              <w:tab w:val="right" w:leader="dot" w:pos="12000"/>
            </w:tabs>
            <w:spacing w:before="60" w:lineRule="auto"/>
            <w:rPr>
              <w:rFonts w:ascii="Arial" w:cs="Arial" w:eastAsia="Arial" w:hAnsi="Arial"/>
              <w:b w:val="1"/>
              <w:i w:val="0"/>
              <w:smallCaps w:val="0"/>
              <w:strike w:val="0"/>
              <w:color w:val="000000"/>
              <w:sz w:val="22"/>
              <w:szCs w:val="22"/>
              <w:u w:val="none"/>
              <w:shd w:fill="auto" w:val="clear"/>
              <w:vertAlign w:val="baseline"/>
            </w:rPr>
          </w:pPr>
          <w:hyperlink w:anchor="_heading=h.tyjcwt">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Tests for loci harboring CNV calls that drive genomic inflation</w:t>
              <w:tab/>
              <w:t xml:space="preserve">5</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07">
      <w:pPr>
        <w:spacing w:after="120" w:line="480" w:lineRule="auto"/>
        <w:jc w:val="both"/>
        <w:rPr>
          <w:rFonts w:ascii="Arial" w:cs="Arial" w:eastAsia="Arial" w:hAnsi="Arial"/>
          <w:i w:val="1"/>
          <w:sz w:val="22"/>
          <w:szCs w:val="22"/>
        </w:rPr>
      </w:pPr>
      <w:bookmarkStart w:colFirst="0" w:colLast="0" w:name="_heading=h.rrn94nhvqnlw" w:id="0"/>
      <w:bookmarkEnd w:id="0"/>
      <w:r w:rsidDel="00000000" w:rsidR="00000000" w:rsidRPr="00000000">
        <w:rPr>
          <w:rtl w:val="0"/>
        </w:rPr>
      </w:r>
    </w:p>
    <w:p w:rsidR="00000000" w:rsidDel="00000000" w:rsidP="00000000" w:rsidRDefault="00000000" w:rsidRPr="00000000" w14:paraId="00000008">
      <w:pPr>
        <w:pStyle w:val="Heading4"/>
        <w:spacing w:after="120" w:line="480" w:lineRule="auto"/>
        <w:jc w:val="both"/>
        <w:rPr/>
      </w:pPr>
      <w:bookmarkStart w:colFirst="0" w:colLast="0" w:name="_heading=h.30j0zll" w:id="1"/>
      <w:bookmarkEnd w:id="1"/>
      <w:r w:rsidDel="00000000" w:rsidR="00000000" w:rsidRPr="00000000">
        <w:rPr>
          <w:rtl w:val="0"/>
        </w:rPr>
        <w:t xml:space="preserve">Conversion of intensity data to VCFs using the gtc2vcf pipeline</w:t>
      </w:r>
    </w:p>
    <w:p w:rsidR="00000000" w:rsidDel="00000000" w:rsidP="00000000" w:rsidRDefault="00000000" w:rsidRPr="00000000" w14:paraId="00000009">
      <w:pPr>
        <w:spacing w:after="120" w:line="480" w:lineRule="auto"/>
        <w:jc w:val="both"/>
        <w:rPr>
          <w:rFonts w:ascii="Times New Roman" w:cs="Times New Roman" w:eastAsia="Times New Roman" w:hAnsi="Times New Roman"/>
        </w:rPr>
      </w:pPr>
      <w:r w:rsidDel="00000000" w:rsidR="00000000" w:rsidRPr="00000000">
        <w:rPr>
          <w:rFonts w:ascii="Arial" w:cs="Arial" w:eastAsia="Arial" w:hAnsi="Arial"/>
          <w:color w:val="000000"/>
          <w:sz w:val="22"/>
          <w:szCs w:val="22"/>
          <w:rtl w:val="0"/>
        </w:rPr>
        <w:t xml:space="preserve">We used the gtc2vcf pipeline (</w:t>
      </w:r>
      <w:hyperlink r:id="rId7">
        <w:r w:rsidDel="00000000" w:rsidR="00000000" w:rsidRPr="00000000">
          <w:rPr>
            <w:rFonts w:ascii="Arial" w:cs="Arial" w:eastAsia="Arial" w:hAnsi="Arial"/>
            <w:color w:val="0563c1"/>
            <w:sz w:val="22"/>
            <w:szCs w:val="22"/>
            <w:u w:val="single"/>
            <w:rtl w:val="0"/>
          </w:rPr>
          <w:t xml:space="preserve">https://github.com/freeseek/gtc2vcf</w:t>
        </w:r>
      </w:hyperlink>
      <w:r w:rsidDel="00000000" w:rsidR="00000000" w:rsidRPr="00000000">
        <w:rPr>
          <w:rFonts w:ascii="Arial" w:cs="Arial" w:eastAsia="Arial" w:hAnsi="Arial"/>
          <w:color w:val="000000"/>
          <w:sz w:val="22"/>
          <w:szCs w:val="22"/>
          <w:rtl w:val="0"/>
        </w:rPr>
        <w:t xml:space="preserve">) to convert intensity data files into VCFs that contained hard-call genotypes and intensity information per sample-variant combination. For each dataset, the appropriate canonical BPM file and EGT cluster file specific to the input GSA version (v1, v2, v3, DeCODE) were obtained and used as input alongside the IDATs. In brief, the ‘gencall’ command in the Illumina command line utility (iaap-cli, v1.1.0-1.1.0-sha.80d7e5b3d9c1fdfc2e99b472a90652fd3848bbc7) was used to produce GTC files for each dataset processed from input IDATs, BPM and EGT files, and the ‘gtc2vcf’ plugin for bcftools (version 2020-01-14 from</w:t>
      </w:r>
      <w:hyperlink r:id="rId8">
        <w:r w:rsidDel="00000000" w:rsidR="00000000" w:rsidRPr="00000000">
          <w:rPr>
            <w:rFonts w:ascii="Arial" w:cs="Arial" w:eastAsia="Arial" w:hAnsi="Arial"/>
            <w:color w:val="000000"/>
            <w:sz w:val="22"/>
            <w:szCs w:val="22"/>
            <w:rtl w:val="0"/>
          </w:rPr>
          <w:t xml:space="preserve"> </w:t>
        </w:r>
      </w:hyperlink>
      <w:hyperlink r:id="rId9">
        <w:r w:rsidDel="00000000" w:rsidR="00000000" w:rsidRPr="00000000">
          <w:rPr>
            <w:rFonts w:ascii="Arial" w:cs="Arial" w:eastAsia="Arial" w:hAnsi="Arial"/>
            <w:color w:val="0563c1"/>
            <w:sz w:val="22"/>
            <w:szCs w:val="22"/>
            <w:u w:val="single"/>
            <w:rtl w:val="0"/>
          </w:rPr>
          <w:t xml:space="preserve">https://github.com/freeseek/gtc2vcf</w:t>
        </w:r>
      </w:hyperlink>
      <w:r w:rsidDel="00000000" w:rsidR="00000000" w:rsidRPr="00000000">
        <w:rPr>
          <w:rFonts w:ascii="Arial" w:cs="Arial" w:eastAsia="Arial" w:hAnsi="Arial"/>
          <w:color w:val="000000"/>
          <w:sz w:val="22"/>
          <w:szCs w:val="22"/>
          <w:rtl w:val="0"/>
        </w:rPr>
        <w:t xml:space="preserve">) was used with the ‘—adjust-clusters’ option turned to adjust cluster centers in a manner that is specific to each input dataset and produce BCF files with genotype calls and intensity values per dataset. We did not have raw data for ANGI controls, and thus were unable to put them through this exact same pipeline. We did have VCF files containing calls and intensity data for these samples, and were thus well-positioned to extract data needed for case/control study. </w:t>
      </w:r>
      <w:r w:rsidDel="00000000" w:rsidR="00000000" w:rsidRPr="00000000">
        <w:rPr>
          <w:rtl w:val="0"/>
        </w:rPr>
      </w:r>
    </w:p>
    <w:p w:rsidR="00000000" w:rsidDel="00000000" w:rsidP="00000000" w:rsidRDefault="00000000" w:rsidRPr="00000000" w14:paraId="0000000A">
      <w:pPr>
        <w:spacing w:after="120" w:line="480" w:lineRule="auto"/>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We next formed a single merged dataset consisting of markers found across all input data using PLINK v1.90b4.9. Before performing this merger, we aligned markers across datasets by their combination of chromosome, position, SNP ID, reference allele and alternate allele. This process was made easier by the fact that all data were processed relative to the same reference FASTA file (GRCh37 human reference build), and so for a given SNP marker, reference and alternate alleles match across datasets. The Norwegian DeCODE control datasets were an exception to this, and we had to liftover their marker coordinates GRCh38 to GRCH37 using the Picard v2.25.2 command ‘LiftoverVcf’. </w:t>
      </w:r>
    </w:p>
    <w:p w:rsidR="00000000" w:rsidDel="00000000" w:rsidP="00000000" w:rsidRDefault="00000000" w:rsidRPr="00000000" w14:paraId="0000000B">
      <w:pPr>
        <w:pStyle w:val="Heading4"/>
        <w:spacing w:after="120" w:line="480" w:lineRule="auto"/>
        <w:jc w:val="both"/>
        <w:rPr/>
      </w:pPr>
      <w:bookmarkStart w:colFirst="0" w:colLast="0" w:name="_heading=h.1fob9te" w:id="2"/>
      <w:bookmarkEnd w:id="2"/>
      <w:r w:rsidDel="00000000" w:rsidR="00000000" w:rsidRPr="00000000">
        <w:rPr>
          <w:rtl w:val="0"/>
        </w:rPr>
        <w:t xml:space="preserve">Sample-level quality control procedure</w:t>
      </w:r>
    </w:p>
    <w:p w:rsidR="00000000" w:rsidDel="00000000" w:rsidP="00000000" w:rsidRDefault="00000000" w:rsidRPr="00000000" w14:paraId="0000000C">
      <w:pPr>
        <w:spacing w:after="120" w:line="480" w:lineRule="auto"/>
        <w:jc w:val="both"/>
        <w:rPr>
          <w:rFonts w:ascii="Times New Roman" w:cs="Times New Roman" w:eastAsia="Times New Roman" w:hAnsi="Times New Roman"/>
        </w:rPr>
      </w:pPr>
      <w:r w:rsidDel="00000000" w:rsidR="00000000" w:rsidRPr="00000000">
        <w:rPr>
          <w:rFonts w:ascii="Arial" w:cs="Arial" w:eastAsia="Arial" w:hAnsi="Arial"/>
          <w:color w:val="000000"/>
          <w:sz w:val="22"/>
          <w:szCs w:val="22"/>
          <w:rtl w:val="0"/>
        </w:rPr>
        <w:t xml:space="preserve">Sample biological QC was performed on the merged genotype data, starting with checks on missingness, sex and relatedness using PLINK v1.90b4.9. We first removed a total of 64 samples that had a genotype missingness rate in the merged dataset &gt; 0.02. We next performed concordance checks between reported and data-derived sex. We removed 25 cases where either the data-derived sex was undefined, or was defined but did not match a clearly defined reported sex for that sample. From controls, we removed 7 samples where an explicit sex could not be clearly derived from array data. Next, we computed pairwise relatedness using PLINK’s ‘—genome’ function with 239,709 LD-pruned autosomal SNPs. We performed relatedness pruning, controlling for instances of 1) identified samples with a mean pihat &gt; 0.1 with other samples, 2) sample pairs that are duplicates based on pihat &gt; 0.95, and 3) sample pairs that are relatives based on pihat &gt; 0.2. After these pruning steps we were left with 2624 cases and 4096 controls.</w:t>
      </w:r>
      <w:r w:rsidDel="00000000" w:rsidR="00000000" w:rsidRPr="00000000">
        <w:rPr>
          <w:rtl w:val="0"/>
        </w:rPr>
      </w:r>
    </w:p>
    <w:p w:rsidR="00000000" w:rsidDel="00000000" w:rsidP="00000000" w:rsidRDefault="00000000" w:rsidRPr="00000000" w14:paraId="0000000D">
      <w:pPr>
        <w:spacing w:after="120" w:line="480" w:lineRule="auto"/>
        <w:jc w:val="both"/>
        <w:rPr>
          <w:rFonts w:ascii="Times New Roman" w:cs="Times New Roman" w:eastAsia="Times New Roman" w:hAnsi="Times New Roman"/>
        </w:rPr>
      </w:pPr>
      <w:r w:rsidDel="00000000" w:rsidR="00000000" w:rsidRPr="00000000">
        <w:rPr>
          <w:rFonts w:ascii="Arial" w:cs="Arial" w:eastAsia="Arial" w:hAnsi="Arial"/>
          <w:color w:val="000000"/>
          <w:sz w:val="22"/>
          <w:szCs w:val="22"/>
          <w:rtl w:val="0"/>
        </w:rPr>
        <w:t xml:space="preserve">We next performed ancestry-based QC on the samples using 1000 genomes phase 3 genotypes (minor allele frequency &gt; 0.05) as training data. We identified a total of 210,149 autosomal variants in 1000 genomes phase 3 that had a minor allele frequency &gt; 0.05 and were also found in our merged case/control data, and merged the samples together on these variants. We then performed principal component analysis (PCA) on LD-pruned genetic data and extracted eigenvectors across the first 20 PCs. We used the 1000 genomes phase 3 samples with ancestry classifications as training data for a random forest model computing the probability of a given sample belonging to each of the 5 ancestries. We subsetted on samples that had a probability of belonging to the EUR (European) ancestry group &gt; 0.95.  We then performed PCA on EUR-labeled case/control data, and conducted a round of outlier pruning where we removed samples &gt; 6 standard deviations (SD) from the mean across any of the first 20 PCs. We were left with 2339 cases and 3827 controls after pruning.</w:t>
      </w:r>
      <w:r w:rsidDel="00000000" w:rsidR="00000000" w:rsidRPr="00000000">
        <w:rPr>
          <w:rtl w:val="0"/>
        </w:rPr>
      </w:r>
    </w:p>
    <w:p w:rsidR="00000000" w:rsidDel="00000000" w:rsidP="00000000" w:rsidRDefault="00000000" w:rsidRPr="00000000" w14:paraId="0000000E">
      <w:pPr>
        <w:spacing w:after="120" w:line="480" w:lineRule="auto"/>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We next performed sample pruning based on observed versus expected heterozygosity rates per sample, calculated using PLINK v1.90b4.9. We removed samples where the heterozygosity F statistic was over 3 SD from the mean computed across all samples. This final QC step left us with a total of 2325 cases and 3790 controls suitable for inclusion in a comparison of CNV burden between OCD cases and controls.</w:t>
      </w:r>
    </w:p>
    <w:p w:rsidR="00000000" w:rsidDel="00000000" w:rsidP="00000000" w:rsidRDefault="00000000" w:rsidRPr="00000000" w14:paraId="0000000F">
      <w:pPr>
        <w:pStyle w:val="Heading4"/>
        <w:spacing w:after="120" w:line="480" w:lineRule="auto"/>
        <w:jc w:val="both"/>
        <w:rPr/>
      </w:pPr>
      <w:bookmarkStart w:colFirst="0" w:colLast="0" w:name="_heading=h.3znysh7" w:id="3"/>
      <w:bookmarkEnd w:id="3"/>
      <w:r w:rsidDel="00000000" w:rsidR="00000000" w:rsidRPr="00000000">
        <w:rPr>
          <w:rtl w:val="0"/>
        </w:rPr>
        <w:t xml:space="preserve">CNV calling procedure</w:t>
      </w:r>
    </w:p>
    <w:p w:rsidR="00000000" w:rsidDel="00000000" w:rsidP="00000000" w:rsidRDefault="00000000" w:rsidRPr="00000000" w14:paraId="00000010">
      <w:pPr>
        <w:spacing w:after="120" w:line="480" w:lineRule="auto"/>
        <w:jc w:val="both"/>
        <w:rPr>
          <w:rFonts w:ascii="Times New Roman" w:cs="Times New Roman" w:eastAsia="Times New Roman" w:hAnsi="Times New Roman"/>
        </w:rPr>
      </w:pPr>
      <w:r w:rsidDel="00000000" w:rsidR="00000000" w:rsidRPr="00000000">
        <w:rPr>
          <w:rFonts w:ascii="Arial" w:cs="Arial" w:eastAsia="Arial" w:hAnsi="Arial"/>
          <w:color w:val="000000"/>
          <w:sz w:val="22"/>
          <w:szCs w:val="22"/>
          <w:rtl w:val="0"/>
        </w:rPr>
        <w:t xml:space="preserve">We called CNVs on all NORDiC OCD cases and Swedish and Norwegian controls which we had sample-level Log R ratio (LRR) and B allele frequency (BAF) data for. We focused CNV calling on a set of 537,278 variants common to all input data derived from the genotype merger process described previously. For each input sample, we produced a file containing each SNP marker, its GRCH37 coordinates and the corresponding BAF and LRR value for that marker in that sample.</w:t>
      </w:r>
      <w:r w:rsidDel="00000000" w:rsidR="00000000" w:rsidRPr="00000000">
        <w:rPr>
          <w:rtl w:val="0"/>
        </w:rPr>
      </w:r>
    </w:p>
    <w:p w:rsidR="00000000" w:rsidDel="00000000" w:rsidP="00000000" w:rsidRDefault="00000000" w:rsidRPr="00000000" w14:paraId="00000011">
      <w:pPr>
        <w:spacing w:after="120" w:line="480" w:lineRule="auto"/>
        <w:jc w:val="both"/>
        <w:rPr>
          <w:rFonts w:ascii="Times New Roman" w:cs="Times New Roman" w:eastAsia="Times New Roman" w:hAnsi="Times New Roman"/>
        </w:rPr>
      </w:pPr>
      <w:r w:rsidDel="00000000" w:rsidR="00000000" w:rsidRPr="00000000">
        <w:rPr>
          <w:rFonts w:ascii="Arial" w:cs="Arial" w:eastAsia="Arial" w:hAnsi="Arial"/>
          <w:color w:val="000000"/>
          <w:sz w:val="22"/>
          <w:szCs w:val="22"/>
          <w:rtl w:val="0"/>
        </w:rPr>
        <w:t xml:space="preserve">We first produced a sample-level CNV callset using PennCNV v1.0.5. We used the PennCNV command ‘</w:t>
      </w:r>
      <w:hyperlink r:id="rId10">
        <w:r w:rsidDel="00000000" w:rsidR="00000000" w:rsidRPr="00000000">
          <w:rPr>
            <w:rFonts w:ascii="Arial" w:cs="Arial" w:eastAsia="Arial" w:hAnsi="Arial"/>
            <w:color w:val="000000"/>
            <w:sz w:val="22"/>
            <w:szCs w:val="22"/>
            <w:rtl w:val="0"/>
          </w:rPr>
          <w:t xml:space="preserve">cal_gc_snp.pl</w:t>
        </w:r>
      </w:hyperlink>
      <w:r w:rsidDel="00000000" w:rsidR="00000000" w:rsidRPr="00000000">
        <w:rPr>
          <w:rFonts w:ascii="Arial" w:cs="Arial" w:eastAsia="Arial" w:hAnsi="Arial"/>
          <w:color w:val="000000"/>
          <w:sz w:val="22"/>
          <w:szCs w:val="22"/>
          <w:rtl w:val="0"/>
        </w:rPr>
        <w:t xml:space="preserve">' to produce a required gcmodel file using the set of 537,278 input variants and a PennCNV-provided file ‘hg19.gc5Base_sorted.txt’. We next controlled for sample-level waviness of intensity values using the PennCNV command ‘genomic_wave.pl', and the gcmodel file as input. Wave-adjusted intensity files were then used as input for the PennCNV command ‘compile_pfb.pl’ to produce population of B allele (PFB) files per dataset, to adjust for the BAF for each marker inherent to each input dataset. Each genomic wave-adjusted sample-level file which listed BAF and LRR per marker was used as input for the PennCNV command ‘detect_cnv.pl', along with the described gcmodel and dataset-level PFB files.</w:t>
      </w:r>
      <w:r w:rsidDel="00000000" w:rsidR="00000000" w:rsidRPr="00000000">
        <w:rPr>
          <w:rtl w:val="0"/>
        </w:rPr>
      </w:r>
    </w:p>
    <w:p w:rsidR="00000000" w:rsidDel="00000000" w:rsidP="00000000" w:rsidRDefault="00000000" w:rsidRPr="00000000" w14:paraId="00000012">
      <w:pPr>
        <w:spacing w:after="120" w:line="480" w:lineRule="auto"/>
        <w:jc w:val="both"/>
        <w:rPr>
          <w:rFonts w:ascii="Times New Roman" w:cs="Times New Roman" w:eastAsia="Times New Roman" w:hAnsi="Times New Roman"/>
        </w:rPr>
      </w:pPr>
      <w:r w:rsidDel="00000000" w:rsidR="00000000" w:rsidRPr="00000000">
        <w:rPr>
          <w:rFonts w:ascii="Arial" w:cs="Arial" w:eastAsia="Arial" w:hAnsi="Arial"/>
          <w:color w:val="000000"/>
          <w:sz w:val="22"/>
          <w:szCs w:val="22"/>
          <w:rtl w:val="0"/>
        </w:rPr>
        <w:t xml:space="preserve">We next performed CNV calling on sample-level intensity files using QuantiSNP v2.2. We used the provided config file ‘levels-hd.dat’ and the provided params file ‘params.dat’ as input, along with developer-produced reference files for human reference genome build 37. Since QuantiSNP </w:t>
      </w:r>
      <w:r w:rsidDel="00000000" w:rsidR="00000000" w:rsidRPr="00000000">
        <w:rPr>
          <w:rFonts w:ascii="Arial" w:cs="Arial" w:eastAsia="Arial" w:hAnsi="Arial"/>
          <w:sz w:val="22"/>
          <w:szCs w:val="22"/>
          <w:rtl w:val="0"/>
        </w:rPr>
        <w:t xml:space="preserve">takes longer </w:t>
      </w:r>
      <w:r w:rsidDel="00000000" w:rsidR="00000000" w:rsidRPr="00000000">
        <w:rPr>
          <w:rFonts w:ascii="Arial" w:cs="Arial" w:eastAsia="Arial" w:hAnsi="Arial"/>
          <w:color w:val="000000"/>
          <w:sz w:val="22"/>
          <w:szCs w:val="22"/>
          <w:rtl w:val="0"/>
        </w:rPr>
        <w:t xml:space="preserve">to run than PennCNV, we produced ‘mock’ Illumina FinalReport-styled files directly readable by QuantiSNP for batches of 100 samples, and parallelized the running of QuantiSNP jobs across batches to decrease overall runtime.</w:t>
      </w:r>
      <w:r w:rsidDel="00000000" w:rsidR="00000000" w:rsidRPr="00000000">
        <w:rPr>
          <w:rtl w:val="0"/>
        </w:rPr>
      </w:r>
    </w:p>
    <w:p w:rsidR="00000000" w:rsidDel="00000000" w:rsidP="00000000" w:rsidRDefault="00000000" w:rsidRPr="00000000" w14:paraId="00000013">
      <w:pPr>
        <w:spacing w:after="120" w:line="480" w:lineRule="auto"/>
        <w:jc w:val="both"/>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CNV callsets used for analysis were produced by intersecting PennCNV and QuantiSNP callsets per sample at the basepair level. Individual bases were classified as being members of a copy number variant if both were part of a CNV call in PennCNV and QuantiSNP, and if the copy number aberrations were concordant (both gains, or both losses). Contiguous segments in individual samples were combined into one single CNV event using the function ‘combineseg’ within the command ‘</w:t>
      </w:r>
      <w:hyperlink r:id="rId11">
        <w:r w:rsidDel="00000000" w:rsidR="00000000" w:rsidRPr="00000000">
          <w:rPr>
            <w:rFonts w:ascii="Arial" w:cs="Arial" w:eastAsia="Arial" w:hAnsi="Arial"/>
            <w:color w:val="000000"/>
            <w:sz w:val="22"/>
            <w:szCs w:val="22"/>
            <w:rtl w:val="0"/>
          </w:rPr>
          <w:t xml:space="preserve">clean_cnv.pl</w:t>
        </w:r>
      </w:hyperlink>
      <w:r w:rsidDel="00000000" w:rsidR="00000000" w:rsidRPr="00000000">
        <w:rPr>
          <w:rFonts w:ascii="Arial" w:cs="Arial" w:eastAsia="Arial" w:hAnsi="Arial"/>
          <w:color w:val="000000"/>
          <w:sz w:val="22"/>
          <w:szCs w:val="22"/>
          <w:rtl w:val="0"/>
        </w:rPr>
        <w:t xml:space="preserve">', combining segments where &lt;20% of the total markers were found between two CNV calls. This function was called iteratively until a run resulted in no additional segment joining, yielding what we termed the ‘raw’ callset.</w:t>
      </w:r>
    </w:p>
    <w:p w:rsidR="00000000" w:rsidDel="00000000" w:rsidP="00000000" w:rsidRDefault="00000000" w:rsidRPr="00000000" w14:paraId="00000014">
      <w:pPr>
        <w:pStyle w:val="Heading4"/>
        <w:spacing w:after="120" w:line="480" w:lineRule="auto"/>
        <w:jc w:val="both"/>
        <w:rPr/>
      </w:pPr>
      <w:bookmarkStart w:colFirst="0" w:colLast="0" w:name="_heading=h.2et92p0" w:id="4"/>
      <w:bookmarkEnd w:id="4"/>
      <w:r w:rsidDel="00000000" w:rsidR="00000000" w:rsidRPr="00000000">
        <w:rPr>
          <w:rtl w:val="0"/>
        </w:rPr>
        <w:t xml:space="preserve">B allele frequency validation procedure</w:t>
      </w:r>
    </w:p>
    <w:p w:rsidR="00000000" w:rsidDel="00000000" w:rsidP="00000000" w:rsidRDefault="00000000" w:rsidRPr="00000000" w14:paraId="00000015">
      <w:pPr>
        <w:spacing w:after="120" w:line="48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The B allele frequency (BAF) validation procedure follows a workflow utilize</w:t>
      </w:r>
      <w:r w:rsidDel="00000000" w:rsidR="00000000" w:rsidRPr="00000000">
        <w:rPr>
          <w:rFonts w:ascii="Arial" w:cs="Arial" w:eastAsia="Arial" w:hAnsi="Arial"/>
          <w:sz w:val="22"/>
          <w:szCs w:val="22"/>
          <w:rtl w:val="0"/>
        </w:rPr>
        <w:t xml:space="preserve">d in </w:t>
      </w:r>
      <w:hyperlink r:id="rId12">
        <w:r w:rsidDel="00000000" w:rsidR="00000000" w:rsidRPr="00000000">
          <w:rPr>
            <w:rFonts w:ascii="Arial" w:cs="Arial" w:eastAsia="Arial" w:hAnsi="Arial"/>
            <w:sz w:val="22"/>
            <w:szCs w:val="22"/>
            <w:rtl w:val="0"/>
          </w:rPr>
          <w:t xml:space="preserve">Sánchez</w:t>
        </w:r>
      </w:hyperlink>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i w:val="1"/>
          <w:sz w:val="22"/>
          <w:szCs w:val="22"/>
          <w:rtl w:val="0"/>
        </w:rPr>
        <w:t xml:space="preserve">et al.</w:t>
      </w:r>
      <w:r w:rsidDel="00000000" w:rsidR="00000000" w:rsidRPr="00000000">
        <w:rPr>
          <w:rFonts w:ascii="Arial" w:cs="Arial" w:eastAsia="Arial" w:hAnsi="Arial"/>
          <w:sz w:val="22"/>
          <w:szCs w:val="22"/>
          <w:rtl w:val="0"/>
        </w:rPr>
        <w:t xml:space="preserve"> (</w:t>
      </w:r>
      <w:hyperlink r:id="rId13">
        <w:r w:rsidDel="00000000" w:rsidR="00000000" w:rsidRPr="00000000">
          <w:rPr>
            <w:rFonts w:ascii="Arial" w:cs="Arial" w:eastAsia="Arial" w:hAnsi="Arial"/>
            <w:color w:val="1155cc"/>
            <w:sz w:val="22"/>
            <w:szCs w:val="22"/>
            <w:highlight w:val="white"/>
            <w:u w:val="single"/>
            <w:rtl w:val="0"/>
          </w:rPr>
          <w:t xml:space="preserve">https://biopsych.dk/iPsychCNV/</w:t>
        </w:r>
      </w:hyperlink>
      <w:r w:rsidDel="00000000" w:rsidR="00000000" w:rsidRPr="00000000">
        <w:rPr>
          <w:rFonts w:ascii="Arial" w:cs="Arial" w:eastAsia="Arial" w:hAnsi="Arial"/>
          <w:color w:val="212121"/>
          <w:sz w:val="22"/>
          <w:szCs w:val="22"/>
          <w:rtl w:val="0"/>
        </w:rPr>
        <w:t xml:space="preserve">)</w:t>
      </w:r>
      <w:r w:rsidDel="00000000" w:rsidR="00000000" w:rsidRPr="00000000">
        <w:rPr>
          <w:rFonts w:ascii="Arial" w:cs="Arial" w:eastAsia="Arial" w:hAnsi="Arial"/>
          <w:color w:val="212121"/>
          <w:sz w:val="22"/>
          <w:szCs w:val="22"/>
          <w:rtl w:val="0"/>
        </w:rPr>
        <w:t xml:space="preserve">. The workflow was initially designed for particularly noisy CNV calls, and while our dataset is not nearly as noisy as that described in </w:t>
      </w:r>
      <w:hyperlink r:id="rId14">
        <w:r w:rsidDel="00000000" w:rsidR="00000000" w:rsidRPr="00000000">
          <w:rPr>
            <w:rFonts w:ascii="Arial" w:cs="Arial" w:eastAsia="Arial" w:hAnsi="Arial"/>
            <w:sz w:val="22"/>
            <w:szCs w:val="22"/>
            <w:rtl w:val="0"/>
          </w:rPr>
          <w:t xml:space="preserve">Sánchez</w:t>
        </w:r>
      </w:hyperlink>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i w:val="1"/>
          <w:sz w:val="22"/>
          <w:szCs w:val="22"/>
          <w:rtl w:val="0"/>
        </w:rPr>
        <w:t xml:space="preserve">et al.</w:t>
      </w:r>
      <w:r w:rsidDel="00000000" w:rsidR="00000000" w:rsidRPr="00000000">
        <w:rPr>
          <w:rFonts w:ascii="Arial" w:cs="Arial" w:eastAsia="Arial" w:hAnsi="Arial"/>
          <w:sz w:val="22"/>
          <w:szCs w:val="22"/>
          <w:rtl w:val="0"/>
        </w:rPr>
        <w:t xml:space="preserve"> we still found value in using this procedure to remove calls that were likely false positives due to the distribution of BAFs within call loci. For this procedure, for a given CNV called within a single sample, we first extracted the B allele frequencies for all probes within the callsite, of which there should be at least 15. We first sorted the BAF values within the call site by increasing value. The distribution of BAF values in the subsequent distribution range from 0 to 1, and are predictable given the underlying true copy state of the locus in question. For a typical autosomal locus with a copy state of 2, we expect to see 3 peaks of BAF values centered at (0, 0.5, 1). For a deletion locus with a copy state of 1, we expect to see peaks at (0, 1). For duplications with states of 3 and 4, we expect to see peaks at (0, 0.33, 0.66, 1) and (0, 0.25, 0.5, 0.75, 1) respectively. For each of these potential true copy states (</w:t>
      </w:r>
      <w:r w:rsidDel="00000000" w:rsidR="00000000" w:rsidRPr="00000000">
        <w:rPr>
          <w:rFonts w:ascii="Arial" w:cs="Arial" w:eastAsia="Arial" w:hAnsi="Arial"/>
          <w:i w:val="1"/>
          <w:sz w:val="22"/>
          <w:szCs w:val="22"/>
          <w:rtl w:val="0"/>
        </w:rPr>
        <w:t xml:space="preserve">c</w:t>
      </w:r>
      <w:r w:rsidDel="00000000" w:rsidR="00000000" w:rsidRPr="00000000">
        <w:rPr>
          <w:rFonts w:ascii="Arial" w:cs="Arial" w:eastAsia="Arial" w:hAnsi="Arial"/>
          <w:sz w:val="22"/>
          <w:szCs w:val="22"/>
          <w:rtl w:val="0"/>
        </w:rPr>
        <w:t xml:space="preserve">) for the CNV locus in question (1, 2, 3, 4) we perform K-means clustering where we set </w:t>
      </w:r>
      <w:r w:rsidDel="00000000" w:rsidR="00000000" w:rsidRPr="00000000">
        <w:rPr>
          <w:rFonts w:ascii="Arial" w:cs="Arial" w:eastAsia="Arial" w:hAnsi="Arial"/>
          <w:i w:val="1"/>
          <w:sz w:val="22"/>
          <w:szCs w:val="22"/>
          <w:rtl w:val="0"/>
        </w:rPr>
        <w:t xml:space="preserve">k</w:t>
      </w:r>
      <w:r w:rsidDel="00000000" w:rsidR="00000000" w:rsidRPr="00000000">
        <w:rPr>
          <w:rFonts w:ascii="Arial" w:cs="Arial" w:eastAsia="Arial" w:hAnsi="Arial"/>
          <w:sz w:val="22"/>
          <w:szCs w:val="22"/>
          <w:rtl w:val="0"/>
        </w:rPr>
        <w:t xml:space="preserve"> = </w:t>
      </w:r>
      <w:r w:rsidDel="00000000" w:rsidR="00000000" w:rsidRPr="00000000">
        <w:rPr>
          <w:rFonts w:ascii="Arial" w:cs="Arial" w:eastAsia="Arial" w:hAnsi="Arial"/>
          <w:i w:val="1"/>
          <w:sz w:val="22"/>
          <w:szCs w:val="22"/>
          <w:rtl w:val="0"/>
        </w:rPr>
        <w:t xml:space="preserve">c</w:t>
      </w:r>
      <w:r w:rsidDel="00000000" w:rsidR="00000000" w:rsidRPr="00000000">
        <w:rPr>
          <w:rFonts w:ascii="Arial" w:cs="Arial" w:eastAsia="Arial" w:hAnsi="Arial"/>
          <w:sz w:val="22"/>
          <w:szCs w:val="22"/>
          <w:rtl w:val="0"/>
        </w:rPr>
        <w:t xml:space="preserve"> + 1 (2, 3, 4, 5), and calculate a silhouette score for the fit of each </w:t>
      </w:r>
      <w:r w:rsidDel="00000000" w:rsidR="00000000" w:rsidRPr="00000000">
        <w:rPr>
          <w:rFonts w:ascii="Arial" w:cs="Arial" w:eastAsia="Arial" w:hAnsi="Arial"/>
          <w:i w:val="1"/>
          <w:sz w:val="22"/>
          <w:szCs w:val="22"/>
          <w:rtl w:val="0"/>
        </w:rPr>
        <w:t xml:space="preserve">k</w:t>
      </w:r>
      <w:r w:rsidDel="00000000" w:rsidR="00000000" w:rsidRPr="00000000">
        <w:rPr>
          <w:rFonts w:ascii="Arial" w:cs="Arial" w:eastAsia="Arial" w:hAnsi="Arial"/>
          <w:sz w:val="22"/>
          <w:szCs w:val="22"/>
          <w:rtl w:val="0"/>
        </w:rPr>
        <w:t xml:space="preserve"> parameter to the BAF distribution within the CNV call locus. The most likely copy state based on the BAF distribution is defined as that with the highest silhouette score for the corresponding </w:t>
      </w:r>
      <w:r w:rsidDel="00000000" w:rsidR="00000000" w:rsidRPr="00000000">
        <w:rPr>
          <w:rFonts w:ascii="Arial" w:cs="Arial" w:eastAsia="Arial" w:hAnsi="Arial"/>
          <w:i w:val="1"/>
          <w:sz w:val="22"/>
          <w:szCs w:val="22"/>
          <w:rtl w:val="0"/>
        </w:rPr>
        <w:t xml:space="preserve">k </w:t>
      </w:r>
      <w:r w:rsidDel="00000000" w:rsidR="00000000" w:rsidRPr="00000000">
        <w:rPr>
          <w:rFonts w:ascii="Arial" w:cs="Arial" w:eastAsia="Arial" w:hAnsi="Arial"/>
          <w:sz w:val="22"/>
          <w:szCs w:val="22"/>
          <w:rtl w:val="0"/>
        </w:rPr>
        <w:t xml:space="preserve">value. We kept deletion calls where the optimal </w:t>
      </w:r>
      <w:r w:rsidDel="00000000" w:rsidR="00000000" w:rsidRPr="00000000">
        <w:rPr>
          <w:rFonts w:ascii="Arial" w:cs="Arial" w:eastAsia="Arial" w:hAnsi="Arial"/>
          <w:i w:val="1"/>
          <w:sz w:val="22"/>
          <w:szCs w:val="22"/>
          <w:rtl w:val="0"/>
        </w:rPr>
        <w:t xml:space="preserve">k</w:t>
      </w:r>
      <w:r w:rsidDel="00000000" w:rsidR="00000000" w:rsidRPr="00000000">
        <w:rPr>
          <w:rFonts w:ascii="Arial" w:cs="Arial" w:eastAsia="Arial" w:hAnsi="Arial"/>
          <w:sz w:val="22"/>
          <w:szCs w:val="22"/>
          <w:rtl w:val="0"/>
        </w:rPr>
        <w:t xml:space="preserve"> was 2 (corresponding to </w:t>
      </w:r>
      <w:r w:rsidDel="00000000" w:rsidR="00000000" w:rsidRPr="00000000">
        <w:rPr>
          <w:rFonts w:ascii="Arial" w:cs="Arial" w:eastAsia="Arial" w:hAnsi="Arial"/>
          <w:i w:val="1"/>
          <w:sz w:val="22"/>
          <w:szCs w:val="22"/>
          <w:rtl w:val="0"/>
        </w:rPr>
        <w:t xml:space="preserve">c</w:t>
      </w:r>
      <w:r w:rsidDel="00000000" w:rsidR="00000000" w:rsidRPr="00000000">
        <w:rPr>
          <w:rFonts w:ascii="Arial" w:cs="Arial" w:eastAsia="Arial" w:hAnsi="Arial"/>
          <w:sz w:val="22"/>
          <w:szCs w:val="22"/>
          <w:rtl w:val="0"/>
        </w:rPr>
        <w:t xml:space="preserve"> = 1) and we kept duplication calls where the optimal </w:t>
      </w:r>
      <w:r w:rsidDel="00000000" w:rsidR="00000000" w:rsidRPr="00000000">
        <w:rPr>
          <w:rFonts w:ascii="Arial" w:cs="Arial" w:eastAsia="Arial" w:hAnsi="Arial"/>
          <w:i w:val="1"/>
          <w:sz w:val="22"/>
          <w:szCs w:val="22"/>
          <w:rtl w:val="0"/>
        </w:rPr>
        <w:t xml:space="preserve">k</w:t>
      </w:r>
      <w:r w:rsidDel="00000000" w:rsidR="00000000" w:rsidRPr="00000000">
        <w:rPr>
          <w:rFonts w:ascii="Arial" w:cs="Arial" w:eastAsia="Arial" w:hAnsi="Arial"/>
          <w:sz w:val="22"/>
          <w:szCs w:val="22"/>
          <w:rtl w:val="0"/>
        </w:rPr>
        <w:t xml:space="preserve"> was either 4 or 5 (corresponding to </w:t>
      </w:r>
      <w:r w:rsidDel="00000000" w:rsidR="00000000" w:rsidRPr="00000000">
        <w:rPr>
          <w:rFonts w:ascii="Arial" w:cs="Arial" w:eastAsia="Arial" w:hAnsi="Arial"/>
          <w:i w:val="1"/>
          <w:sz w:val="22"/>
          <w:szCs w:val="22"/>
          <w:rtl w:val="0"/>
        </w:rPr>
        <w:t xml:space="preserve">c</w:t>
      </w:r>
      <w:r w:rsidDel="00000000" w:rsidR="00000000" w:rsidRPr="00000000">
        <w:rPr>
          <w:rFonts w:ascii="Arial" w:cs="Arial" w:eastAsia="Arial" w:hAnsi="Arial"/>
          <w:sz w:val="22"/>
          <w:szCs w:val="22"/>
          <w:rtl w:val="0"/>
        </w:rPr>
        <w:t xml:space="preserve"> = 3 and </w:t>
      </w:r>
      <w:r w:rsidDel="00000000" w:rsidR="00000000" w:rsidRPr="00000000">
        <w:rPr>
          <w:rFonts w:ascii="Arial" w:cs="Arial" w:eastAsia="Arial" w:hAnsi="Arial"/>
          <w:i w:val="1"/>
          <w:sz w:val="22"/>
          <w:szCs w:val="22"/>
          <w:rtl w:val="0"/>
        </w:rPr>
        <w:t xml:space="preserve">c</w:t>
      </w:r>
      <w:r w:rsidDel="00000000" w:rsidR="00000000" w:rsidRPr="00000000">
        <w:rPr>
          <w:rFonts w:ascii="Arial" w:cs="Arial" w:eastAsia="Arial" w:hAnsi="Arial"/>
          <w:sz w:val="22"/>
          <w:szCs w:val="22"/>
          <w:rtl w:val="0"/>
        </w:rPr>
        <w:t xml:space="preserve"> = 4 respectively).  </w:t>
      </w:r>
      <w:r w:rsidDel="00000000" w:rsidR="00000000" w:rsidRPr="00000000">
        <w:rPr>
          <w:rtl w:val="0"/>
        </w:rPr>
      </w:r>
    </w:p>
    <w:p w:rsidR="00000000" w:rsidDel="00000000" w:rsidP="00000000" w:rsidRDefault="00000000" w:rsidRPr="00000000" w14:paraId="00000016">
      <w:pPr>
        <w:pStyle w:val="Heading4"/>
        <w:spacing w:after="120" w:line="480" w:lineRule="auto"/>
        <w:jc w:val="both"/>
        <w:rPr/>
      </w:pPr>
      <w:bookmarkStart w:colFirst="0" w:colLast="0" w:name="_heading=h.tyjcwt" w:id="5"/>
      <w:bookmarkEnd w:id="5"/>
      <w:r w:rsidDel="00000000" w:rsidR="00000000" w:rsidRPr="00000000">
        <w:rPr>
          <w:rtl w:val="0"/>
        </w:rPr>
        <w:t xml:space="preserve">Tests for loci harboring CNV calls that drive genomic inflation</w:t>
      </w:r>
    </w:p>
    <w:p w:rsidR="00000000" w:rsidDel="00000000" w:rsidP="00000000" w:rsidRDefault="00000000" w:rsidRPr="00000000" w14:paraId="00000017">
      <w:pPr>
        <w:spacing w:line="480" w:lineRule="auto"/>
        <w:rPr/>
      </w:pPr>
      <w:r w:rsidDel="00000000" w:rsidR="00000000" w:rsidRPr="00000000">
        <w:rPr>
          <w:rFonts w:ascii="Arial" w:cs="Arial" w:eastAsia="Arial" w:hAnsi="Arial"/>
          <w:color w:val="000000"/>
          <w:sz w:val="22"/>
          <w:szCs w:val="22"/>
          <w:rtl w:val="0"/>
        </w:rPr>
        <w:t xml:space="preserve">Before conducting formal association tests, we sought to determine if the CNV loci aggregated in a manner indicating bias in case/control CNV calling. To do this, we formed clusters of overlapping CNV loci and turned them into test units, conducting case/control tests of burden across each one. We did this for small CNVs (30kb-100kb) first, as a final CNV quality control step. Clusters of overlapping small CNVs found far more often in case or control groups are more likely to be due to technical differences rather than biological differences. For small CNVs, we noted p-value inflation for deletions specifically (lambda=1.21). We took the subset of loci in these tests that had an uncorrected p-value &lt; 0.05, of which there were 3 separate loci (chr3:4182456-4325025, chr6:162713427-162868012, chr8:30544723-30594942). We removed all CNVs 30-100kb in size that overlapped one of these 3 loci (19 total), leaving behind a total of 3446 calls for our analysis. Across these 3446 calls we found no substantial evidence for test statistic inflation for deletions (lambda=1.02) or duplications (lambda=1.01).</w:t>
      </w:r>
      <w:r w:rsidDel="00000000" w:rsidR="00000000" w:rsidRPr="00000000">
        <w:rPr>
          <w:rtl w:val="0"/>
        </w:rPr>
      </w:r>
    </w:p>
    <w:p w:rsidR="00000000" w:rsidDel="00000000" w:rsidP="00000000" w:rsidRDefault="00000000" w:rsidRPr="00000000" w14:paraId="00000018">
      <w:pPr>
        <w:rPr/>
      </w:pPr>
      <w:r w:rsidDel="00000000" w:rsidR="00000000" w:rsidRPr="00000000">
        <w:rPr>
          <w:rtl w:val="0"/>
        </w:rPr>
      </w:r>
    </w:p>
    <w:sectPr>
      <w:footerReference r:id="rId15" w:type="default"/>
      <w:footerReference r:id="rId16" w:type="even"/>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36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36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240" w:lineRule="auto"/>
    </w:pPr>
    <w:rPr>
      <w:rFonts w:ascii="Calibri" w:cs="Calibri" w:eastAsia="Calibri" w:hAnsi="Calibri"/>
      <w:color w:val="2f5496"/>
      <w:sz w:val="32"/>
      <w:szCs w:val="32"/>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http://clean_cnv.pl" TargetMode="External"/><Relationship Id="rId10" Type="http://schemas.openxmlformats.org/officeDocument/2006/relationships/hyperlink" Target="http://cal_gc_snp.pl" TargetMode="External"/><Relationship Id="rId13" Type="http://schemas.openxmlformats.org/officeDocument/2006/relationships/hyperlink" Target="https://biopsych.dk/iPsychCNV/" TargetMode="External"/><Relationship Id="rId12" Type="http://schemas.openxmlformats.org/officeDocument/2006/relationships/hyperlink" Target="https://pubmed.ncbi.nlm.nih.gov/?sort=date&amp;term=Calle+S%C3%A1nchez+X&amp;cauthor_id=34817560"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github.com/freeseek/gtc2vcf" TargetMode="External"/><Relationship Id="rId15" Type="http://schemas.openxmlformats.org/officeDocument/2006/relationships/footer" Target="footer1.xml"/><Relationship Id="rId14" Type="http://schemas.openxmlformats.org/officeDocument/2006/relationships/hyperlink" Target="https://pubmed.ncbi.nlm.nih.gov/?sort=date&amp;term=Calle+S%C3%A1nchez+X&amp;cauthor_id=34817560" TargetMode="External"/><Relationship Id="rId16" Type="http://schemas.openxmlformats.org/officeDocument/2006/relationships/footer" Target="foot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github.com/freeseek/gtc2vcf" TargetMode="External"/><Relationship Id="rId8" Type="http://schemas.openxmlformats.org/officeDocument/2006/relationships/hyperlink" Target="https://github.com/freeseek/gtc2vc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EX2GG31LWM+Ce+UBeKc6SFM0b7A==">CgMxLjAyDmgucnJuOTRuaHZxbmx3MgloLjMwajB6bGwyCWguMWZvYjl0ZTIJaC4zem55c2g3MgloLjJldDkycDAyCGgudHlqY3d0OAByITEwSERYODNVN2xQRWpZLXYtUzROUFFMSnF6a1pranBtag==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