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spacing w:after="270"/>
        <w:jc w:val="both"/>
        <w:rPr>
          <w:rFonts w:hint="default" w:ascii="Arial Bold Italic" w:hAnsi="Arial Bold Italic" w:eastAsia="宋体" w:cs="Arial Bold Italic"/>
          <w:b/>
          <w:bCs/>
          <w:i/>
          <w:iCs/>
          <w:color w:val="000000"/>
          <w:kern w:val="0"/>
          <w:sz w:val="28"/>
          <w:szCs w:val="28"/>
          <w:lang w:val="en-US" w:eastAsia="de-DE"/>
        </w:rPr>
      </w:pPr>
      <w:r>
        <w:rPr>
          <w:rFonts w:hint="default" w:ascii="Arial Bold Italic" w:hAnsi="Arial Bold Italic" w:eastAsia="宋体" w:cs="Arial Bold Italic"/>
          <w:b/>
          <w:bCs/>
          <w:i/>
          <w:iCs/>
          <w:color w:val="000000"/>
          <w:kern w:val="0"/>
          <w:sz w:val="28"/>
          <w:szCs w:val="28"/>
          <w:lang w:val="en-US" w:eastAsia="zh-CN"/>
        </w:rPr>
        <w:t>Supplementary materials of “</w:t>
      </w:r>
      <w:r>
        <w:rPr>
          <w:rFonts w:hint="default" w:ascii="Arial Bold Italic" w:hAnsi="Arial Bold Italic" w:eastAsia="宋体" w:cs="Arial Bold Italic"/>
          <w:b/>
          <w:bCs/>
          <w:i/>
          <w:iCs/>
          <w:color w:val="000000"/>
          <w:kern w:val="0"/>
          <w:sz w:val="28"/>
          <w:szCs w:val="28"/>
          <w:lang w:val="en-US" w:eastAsia="de-DE"/>
        </w:rPr>
        <w:t>A novel protocol to establish subarachnoid hemorrhage</w:t>
      </w:r>
      <w:r>
        <w:rPr>
          <w:rFonts w:hint="eastAsia" w:ascii="Arial Bold Italic" w:hAnsi="Arial Bold Italic" w:eastAsia="宋体" w:cs="Arial Bold Italic"/>
          <w:b/>
          <w:bCs/>
          <w:i/>
          <w:iCs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Arial Bold Italic" w:hAnsi="Arial Bold Italic" w:eastAsia="宋体" w:cs="Arial Bold Italic"/>
          <w:b/>
          <w:bCs/>
          <w:i/>
          <w:iCs/>
          <w:color w:val="000000"/>
          <w:kern w:val="0"/>
          <w:sz w:val="28"/>
          <w:szCs w:val="28"/>
          <w:lang w:val="en-US" w:eastAsia="zh-CN"/>
        </w:rPr>
        <w:t xml:space="preserve">mouse </w:t>
      </w:r>
      <w:r>
        <w:rPr>
          <w:rFonts w:hint="eastAsia" w:ascii="Arial Bold Italic" w:hAnsi="Arial Bold Italic" w:eastAsia="宋体" w:cs="Arial Bold Italic"/>
          <w:b/>
          <w:bCs/>
          <w:i/>
          <w:iCs/>
          <w:color w:val="000000"/>
          <w:kern w:val="0"/>
          <w:sz w:val="28"/>
          <w:szCs w:val="28"/>
          <w:lang w:val="en-US" w:eastAsia="zh-CN"/>
        </w:rPr>
        <w:t>model</w:t>
      </w:r>
      <w:r>
        <w:rPr>
          <w:rFonts w:hint="default" w:ascii="Arial Bold Italic" w:hAnsi="Arial Bold Italic" w:eastAsia="宋体" w:cs="Arial Bold Italic"/>
          <w:b/>
          <w:bCs/>
          <w:i/>
          <w:iCs/>
          <w:color w:val="000000"/>
          <w:kern w:val="0"/>
          <w:sz w:val="28"/>
          <w:szCs w:val="28"/>
          <w:lang w:val="en-US" w:eastAsia="de-DE"/>
        </w:rPr>
        <w:t xml:space="preserve"> with preserved vascular anatomy”</w:t>
      </w: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  <w:r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  <w:t>Figure. 1: Workflow of “Circle of Willis Perforation: A novel common carotid artery approach to establish subarachnoid hemorrhage model in mouse”</w:t>
      </w: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  <w:r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  <w:drawing>
          <wp:inline distT="0" distB="0" distL="114300" distR="114300">
            <wp:extent cx="5264785" cy="6992620"/>
            <wp:effectExtent l="0" t="0" r="18415" b="17780"/>
            <wp:docPr id="1" name="Picture 1" descr="puncture-workflow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uncture-workflow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699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both"/>
        <w:rPr>
          <w:rFonts w:hint="default" w:ascii="Arial" w:hAnsi="Arial" w:eastAsia="宋体" w:cs="Arial"/>
          <w:b w:val="0"/>
          <w:b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" w:hAnsi="Arial" w:eastAsia="宋体" w:cs="Arial"/>
          <w:b w:val="0"/>
          <w:bCs w:val="0"/>
          <w:color w:val="000000"/>
          <w:kern w:val="0"/>
          <w:sz w:val="20"/>
          <w:szCs w:val="20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0"/>
          <w:szCs w:val="20"/>
          <w:lang w:val="en-US" w:eastAsia="zh-CN"/>
        </w:rPr>
        <w:t xml:space="preserve">Fig. 1: </w:t>
      </w:r>
      <w:r>
        <w:rPr>
          <w:rFonts w:ascii="Arial" w:hAnsi="Arial" w:eastAsia="宋体" w:cs="Arial"/>
          <w:color w:val="000000"/>
          <w:kern w:val="0"/>
          <w:sz w:val="20"/>
          <w:szCs w:val="20"/>
        </w:rPr>
        <w:t>Experimental plan comparing currently existing model (ECA group) to compare newly establis</w:t>
      </w: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/>
        </w:rPr>
        <w:t>h</w:t>
      </w:r>
      <w:r>
        <w:rPr>
          <w:rFonts w:ascii="Arial" w:hAnsi="Arial" w:eastAsia="宋体" w:cs="Arial"/>
          <w:color w:val="000000"/>
          <w:kern w:val="0"/>
          <w:sz w:val="20"/>
          <w:szCs w:val="20"/>
        </w:rPr>
        <w:t>ed mode</w:t>
      </w: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/>
        </w:rPr>
        <w:t>l</w:t>
      </w:r>
      <w:r>
        <w:rPr>
          <w:rFonts w:ascii="Arial" w:hAnsi="Arial" w:eastAsia="宋体" w:cs="Arial"/>
          <w:color w:val="000000"/>
          <w:kern w:val="0"/>
          <w:sz w:val="20"/>
          <w:szCs w:val="20"/>
        </w:rPr>
        <w:t xml:space="preserve"> (CCA group).</w:t>
      </w: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0"/>
          <w:szCs w:val="20"/>
          <w:lang w:val="en-US" w:eastAsia="zh-CN"/>
        </w:rPr>
        <w:t>The cohort was subdivided into SHAM (n=3), ECA group (n=12), and CCA group (n=12). Two mice in the ECA group were excluded due to filament insertion failure. One mouse died from CCA group on the postoperative day 1.</w:t>
      </w: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  <w:r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  <w:t>Figure. 2: Instruments applied during the surgical procedure</w:t>
      </w: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  <w:r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27305</wp:posOffset>
            </wp:positionV>
            <wp:extent cx="5266055" cy="3964940"/>
            <wp:effectExtent l="0" t="0" r="17145" b="22860"/>
            <wp:wrapTight wrapText="bothSides">
              <wp:wrapPolygon>
                <wp:start x="0" y="0"/>
                <wp:lineTo x="0" y="21448"/>
                <wp:lineTo x="21462" y="21448"/>
                <wp:lineTo x="21462" y="0"/>
                <wp:lineTo x="0" y="0"/>
              </wp:wrapPolygon>
            </wp:wrapTight>
            <wp:docPr id="4" name="Picture 4" descr="instrument-sup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nstrument-supfi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  <w:r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  <w:t xml:space="preserve">Fig. 2: </w:t>
      </w: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0"/>
          <w:szCs w:val="20"/>
          <w:lang w:val="en-US" w:eastAsia="zh-CN"/>
        </w:rPr>
        <w:t>The yellow arrow indicates the use of a 5-0 monofilament (Prolene, Ethicon, USA), the red arrow indicates a 5-0 silk suture (Ethicon, USA), and the white arrow marks a 33-gauge insulin injection needle (Nuofan, Ningbo, China).</w:t>
      </w: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  <w:r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  <w:t>Figure. 3: Step by Step ECA approach Procedure</w:t>
      </w: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  <w:r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21590</wp:posOffset>
            </wp:positionV>
            <wp:extent cx="5269865" cy="1555115"/>
            <wp:effectExtent l="0" t="0" r="13335" b="19685"/>
            <wp:wrapTight wrapText="bothSides">
              <wp:wrapPolygon>
                <wp:start x="0" y="0"/>
                <wp:lineTo x="0" y="21168"/>
                <wp:lineTo x="21446" y="21168"/>
                <wp:lineTo x="21446" y="0"/>
                <wp:lineTo x="0" y="0"/>
              </wp:wrapPolygon>
            </wp:wrapTight>
            <wp:docPr id="17" name="Picture 17" descr="‎ECA pic-sup.1.‎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‎ECA pic-sup.1.‎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" w:hAnsi="Arial" w:eastAsia="宋体" w:cs="Arial"/>
          <w:b w:val="0"/>
          <w:bCs w:val="0"/>
          <w:color w:val="000000"/>
          <w:kern w:val="0"/>
          <w:sz w:val="20"/>
          <w:szCs w:val="20"/>
          <w:lang w:val="en-US" w:eastAsia="zh-CN"/>
        </w:rPr>
      </w:pP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0"/>
          <w:szCs w:val="20"/>
          <w:lang w:val="en-US" w:eastAsia="zh-CN"/>
        </w:rPr>
        <w:t>Fig. 3A: Whole anatomical structure of the carotid artery and its main branches in the cervical segment.</w:t>
      </w:r>
    </w:p>
    <w:p>
      <w:pPr>
        <w:widowControl/>
        <w:jc w:val="both"/>
        <w:rPr>
          <w:rFonts w:hint="default" w:ascii="Arial" w:hAnsi="Arial" w:eastAsia="宋体" w:cs="Arial"/>
          <w:b w:val="0"/>
          <w:b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" w:hAnsi="Arial" w:eastAsia="宋体" w:cs="Arial"/>
          <w:b w:val="0"/>
          <w:bCs w:val="0"/>
          <w:color w:val="000000"/>
          <w:kern w:val="0"/>
          <w:sz w:val="20"/>
          <w:szCs w:val="20"/>
          <w:lang w:val="en-US" w:eastAsia="zh-CN"/>
        </w:rPr>
      </w:pP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0"/>
          <w:szCs w:val="20"/>
          <w:lang w:val="en-US" w:eastAsia="zh-CN"/>
        </w:rPr>
        <w:t>Fig. 3B: The stump of the ECA is indicated by a yellow arrow. Exposing the PPA-ICA bifurcation for facilitating filament guidance into the ICA.</w:t>
      </w:r>
    </w:p>
    <w:p>
      <w:pPr>
        <w:widowControl/>
        <w:jc w:val="both"/>
        <w:rPr>
          <w:rFonts w:hint="default" w:ascii="Arial" w:hAnsi="Arial" w:eastAsia="宋体" w:cs="Arial"/>
          <w:b w:val="0"/>
          <w:b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" w:hAnsi="Arial" w:eastAsia="宋体" w:cs="Arial"/>
          <w:b w:val="0"/>
          <w:bCs w:val="0"/>
          <w:color w:val="000000"/>
          <w:kern w:val="0"/>
          <w:sz w:val="20"/>
          <w:szCs w:val="20"/>
          <w:lang w:val="en-US" w:eastAsia="zh-CN"/>
        </w:rPr>
      </w:pP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0"/>
          <w:szCs w:val="20"/>
          <w:lang w:val="en-US" w:eastAsia="zh-CN"/>
        </w:rPr>
        <w:t>Fig. 3C: Insertion of the nylon filament through the ECA stump, progressing into the ICA to complete the perforation. The blue arrow indicated the PPA.</w:t>
      </w:r>
    </w:p>
    <w:p>
      <w:pPr>
        <w:widowControl/>
        <w:jc w:val="both"/>
        <w:rPr>
          <w:rFonts w:hint="default" w:ascii="Arial" w:hAnsi="Arial" w:eastAsia="宋体" w:cs="Arial"/>
          <w:b w:val="0"/>
          <w:b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0"/>
          <w:szCs w:val="20"/>
          <w:lang w:val="en-US" w:eastAsia="zh-CN"/>
        </w:rPr>
        <w:t>Fig. 3D: The vascular anatomical structure after the surgery: the ECA approach results in sacrificing the ECA indicated by the yellow arrow.</w:t>
      </w: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  <w:r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  <w:t>Table. 1:Summary of Results - Intraoperative Intracranial Pressure Monitoring, Surgical Duration, Postoperative Mortality, Success Rate, and Neurological Assessment</w:t>
      </w:r>
    </w:p>
    <w:p>
      <w:pPr>
        <w:widowControl/>
        <w:jc w:val="both"/>
        <w:rPr>
          <w:rFonts w:hint="default" w:ascii="Arial Bold" w:hAnsi="Arial Bold" w:eastAsia="宋体" w:cs="Arial Bold"/>
          <w:b/>
          <w:bCs/>
          <w:color w:val="000000"/>
          <w:kern w:val="0"/>
          <w:sz w:val="20"/>
          <w:szCs w:val="20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135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DB9CA" w:themeFill="text2" w:themeFillTint="66"/>
          </w:tcPr>
          <w:p>
            <w:pPr>
              <w:widowControl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Group</w:t>
            </w:r>
          </w:p>
        </w:tc>
        <w:tc>
          <w:tcPr>
            <w:tcW w:w="21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 xml:space="preserve">CCA 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 xml:space="preserve">ECA 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SHAM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ICP Base</w:t>
            </w:r>
          </w:p>
        </w:tc>
        <w:tc>
          <w:tcPr>
            <w:tcW w:w="21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10.4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3.5 mmHg</w:t>
            </w:r>
          </w:p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n=12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9.5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3.0 mmHg</w:t>
            </w:r>
          </w:p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n=10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ICP Peak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53.5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10.6 mmHg</w:t>
            </w:r>
          </w:p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n=12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51.1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12.6 mmHg</w:t>
            </w:r>
          </w:p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n=10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ICP 15 minutes</w:t>
            </w:r>
          </w:p>
          <w:p>
            <w:pPr>
              <w:widowControl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 xml:space="preserve">post peak 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25.8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4.0 mmHg n=12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28.9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4.9 mmHg n=10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Surgical Duration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73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18 minutes</w:t>
            </w:r>
          </w:p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n=12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37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 minutes</w:t>
            </w:r>
          </w:p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n=10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 minutes</w:t>
            </w:r>
          </w:p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n=3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CFCECE" w:themeFill="background2" w:themeFillShade="E5"/>
          </w:tcPr>
          <w:p>
            <w:pPr>
              <w:widowControl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Postoperative Mortality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 xml:space="preserve">8.33%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DB9CA" w:themeFill="text2" w:themeFillTint="66"/>
          </w:tcPr>
          <w:p>
            <w:pPr>
              <w:widowControl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Success Rate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100%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83.33%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CFCECE" w:themeFill="background2" w:themeFillShade="E5"/>
          </w:tcPr>
          <w:p>
            <w:pPr>
              <w:widowControl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 xml:space="preserve">Postoperative </w:t>
            </w:r>
          </w:p>
          <w:p>
            <w:pPr>
              <w:widowControl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 xml:space="preserve">Rotarod Test 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122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78 seconds</w:t>
            </w:r>
          </w:p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n=5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158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67 seconds</w:t>
            </w:r>
          </w:p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n=5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289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 seconds</w:t>
            </w:r>
          </w:p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n=3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DB9CA" w:themeFill="text2" w:themeFillTint="66"/>
          </w:tcPr>
          <w:p>
            <w:pPr>
              <w:widowControl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Postoperative</w:t>
            </w:r>
          </w:p>
          <w:p>
            <w:pPr>
              <w:widowControl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Open-field Test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327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224</w:t>
            </w:r>
          </w:p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n=5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389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373</w:t>
            </w:r>
          </w:p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n=5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DB9CA" w:themeFill="text2" w:themeFillTint="66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1156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163</w:t>
            </w:r>
          </w:p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n=3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</w:tcPr>
          <w:p>
            <w:pPr>
              <w:widowControl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Postoperative</w:t>
            </w:r>
          </w:p>
          <w:p>
            <w:pPr>
              <w:widowControl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Body Weight Loss</w:t>
            </w:r>
          </w:p>
        </w:tc>
        <w:tc>
          <w:tcPr>
            <w:tcW w:w="21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10.05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2.47%</w:t>
            </w:r>
          </w:p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n=5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10.08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3.44%</w:t>
            </w:r>
          </w:p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n=5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1.87</w:t>
            </w:r>
            <w:r>
              <w:rPr>
                <w:rFonts w:hint="eastAsia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0.59%</w:t>
            </w:r>
          </w:p>
          <w:p>
            <w:pPr>
              <w:widowControl/>
              <w:jc w:val="righ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n=3</w:t>
            </w:r>
          </w:p>
        </w:tc>
      </w:tr>
    </w:tbl>
    <w:p>
      <w:pPr>
        <w:rPr>
          <w:rFonts w:hint="default"/>
          <w:sz w:val="20"/>
          <w:szCs w:val="20"/>
          <w:lang w:val="en-US"/>
        </w:rPr>
      </w:pPr>
      <w:bookmarkStart w:id="0" w:name="_GoBack"/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0"/>
          <w:szCs w:val="20"/>
          <w:lang w:val="en-US" w:eastAsia="zh-CN"/>
        </w:rPr>
        <w:t>* 1 mouse from the CCA died on the postoperative day 1, its intraoperative data is still valid. The open field data analysis employed absolute values without units.</w:t>
      </w:r>
    </w:p>
    <w:bookmarkEnd w:id="0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 Italic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4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E251F"/>
    <w:rsid w:val="1BE27B03"/>
    <w:rsid w:val="1BE7DA9F"/>
    <w:rsid w:val="1BFBD537"/>
    <w:rsid w:val="33BDA857"/>
    <w:rsid w:val="36DFF664"/>
    <w:rsid w:val="49AE9CD7"/>
    <w:rsid w:val="74FB57BD"/>
    <w:rsid w:val="77396806"/>
    <w:rsid w:val="779E251F"/>
    <w:rsid w:val="7B959EB8"/>
    <w:rsid w:val="7BFEA39B"/>
    <w:rsid w:val="7F63B9E1"/>
    <w:rsid w:val="7F9FDF80"/>
    <w:rsid w:val="7FE294FD"/>
    <w:rsid w:val="8F7AC0C0"/>
    <w:rsid w:val="9BB58E94"/>
    <w:rsid w:val="9DF61D7B"/>
    <w:rsid w:val="BDEB03FC"/>
    <w:rsid w:val="CB7948F1"/>
    <w:rsid w:val="CFF39481"/>
    <w:rsid w:val="DBBFAEF9"/>
    <w:rsid w:val="DBFB2BBA"/>
    <w:rsid w:val="E6F77FB3"/>
    <w:rsid w:val="ECE7FFE4"/>
    <w:rsid w:val="EFF65A94"/>
    <w:rsid w:val="F37509BD"/>
    <w:rsid w:val="F5DFAA3E"/>
    <w:rsid w:val="F77E9A0D"/>
    <w:rsid w:val="FD1F8241"/>
    <w:rsid w:val="FD77AD56"/>
    <w:rsid w:val="FDFA4E3A"/>
    <w:rsid w:val="FFDEE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uiPriority w:val="0"/>
    <w:rPr>
      <w:sz w:val="16"/>
      <w:szCs w:val="16"/>
    </w:rPr>
  </w:style>
  <w:style w:type="paragraph" w:styleId="5">
    <w:name w:val="annotation text"/>
    <w:basedOn w:val="1"/>
    <w:qFormat/>
    <w:uiPriority w:val="0"/>
    <w:rPr>
      <w:sz w:val="20"/>
      <w:szCs w:val="20"/>
    </w:r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2023-11-28T21:26:00Z</dcterms:created>
  <dc:creator>zhangrui</dc:creator>
  <cp:lastModifiedBy>zhangrui</cp:lastModifiedBy>
  <dcterms:modified xsi:type="dcterms:W3CDTF">2023-12-12T00:01:46Z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1033-6.4.0.8550</vt:lpwstr>
  </property>
  <property fmtid="{D5CDD505-2E9C-101B-9397-08002B2CF9AE}" pid="3" name="ICV">
    <vt:lpwstr>314B8333639762A78F0666657EB78D95_41</vt:lpwstr>
  </property>
</Properties>
</file>