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81484D" w14:textId="77777777" w:rsidR="00BF73A1" w:rsidRDefault="00BF73A1">
      <w:r>
        <w:rPr>
          <w:noProof/>
        </w:rPr>
        <w:drawing>
          <wp:inline distT="0" distB="0" distL="0" distR="0" wp14:anchorId="264FBA7B" wp14:editId="7AFE2887">
            <wp:extent cx="5274310" cy="74574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E75EE" w14:textId="09A615CB" w:rsidR="00BF73A1" w:rsidRDefault="00BF73A1">
      <w:r>
        <w:rPr>
          <w:noProof/>
        </w:rPr>
        <w:lastRenderedPageBreak/>
        <w:drawing>
          <wp:inline distT="0" distB="0" distL="0" distR="0" wp14:anchorId="70D8A8E4" wp14:editId="60DFBA34">
            <wp:extent cx="5274310" cy="74574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B1BF79" wp14:editId="453F981E">
            <wp:extent cx="5274310" cy="74574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EC947" w14:textId="77777777" w:rsidR="00BF73A1" w:rsidRDefault="00BF73A1">
      <w:pPr>
        <w:widowControl/>
        <w:jc w:val="left"/>
      </w:pPr>
      <w:r>
        <w:br w:type="page"/>
      </w:r>
    </w:p>
    <w:p w14:paraId="7D23799A" w14:textId="77777777" w:rsidR="00BF73A1" w:rsidRPr="00D6007C" w:rsidRDefault="00BF73A1" w:rsidP="00BF73A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07C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Pr="00D6007C">
        <w:rPr>
          <w:rFonts w:ascii="Times New Roman" w:hAnsi="Times New Roman" w:cs="Times New Roman" w:hint="eastAsia"/>
          <w:sz w:val="24"/>
          <w:szCs w:val="24"/>
        </w:rPr>
        <w:t>figure</w:t>
      </w:r>
      <w:r w:rsidRPr="00D6007C">
        <w:rPr>
          <w:rFonts w:ascii="Times New Roman" w:hAnsi="Times New Roman" w:cs="Times New Roman"/>
          <w:sz w:val="24"/>
          <w:szCs w:val="24"/>
        </w:rPr>
        <w:t xml:space="preserve">1. Mice exposed to foot-shocks developed PTSD-like behavior. </w:t>
      </w:r>
      <w:r w:rsidRPr="00561116">
        <w:rPr>
          <w:rFonts w:ascii="Times New Roman" w:hAnsi="Times New Roman" w:cs="Times New Roman"/>
          <w:sz w:val="24"/>
          <w:szCs w:val="24"/>
        </w:rPr>
        <w:t>(A) Schematic representation of treatment schedules and the order of behavior tests. As shown, foot shocks (FS) were delivered to mice at day 1 and day 2, contextual freezing paradigm were measured at day 3, day 8, day 15, and open field (OF) test were performed at day 16</w:t>
      </w:r>
      <w:r w:rsidRPr="00561116">
        <w:rPr>
          <w:rFonts w:ascii="Times New Roman" w:hAnsi="Times New Roman" w:cs="Times New Roman" w:hint="eastAsia"/>
          <w:sz w:val="24"/>
          <w:szCs w:val="24"/>
        </w:rPr>
        <w:t>.</w:t>
      </w:r>
      <w:r w:rsidRPr="00561116">
        <w:rPr>
          <w:rFonts w:ascii="Times New Roman" w:hAnsi="Times New Roman" w:cs="Times New Roman"/>
          <w:sz w:val="24"/>
          <w:szCs w:val="24"/>
        </w:rPr>
        <w:t xml:space="preserve"> FS</w:t>
      </w:r>
      <w:r w:rsidRPr="00561116">
        <w:rPr>
          <w:rFonts w:ascii="Times New Roman" w:hAnsi="Times New Roman" w:cs="Times New Roman" w:hint="eastAsia"/>
          <w:sz w:val="24"/>
          <w:szCs w:val="24"/>
        </w:rPr>
        <w:t>:</w:t>
      </w:r>
      <w:r w:rsidRPr="00561116">
        <w:rPr>
          <w:rFonts w:ascii="Times New Roman" w:hAnsi="Times New Roman" w:cs="Times New Roman"/>
          <w:sz w:val="24"/>
          <w:szCs w:val="24"/>
        </w:rPr>
        <w:t xml:space="preserve"> foot shocks, CFP: contextual freezing paradigm, OF: open field test</w:t>
      </w:r>
      <w:r w:rsidRPr="00561116">
        <w:rPr>
          <w:rFonts w:ascii="Times New Roman" w:hAnsi="Times New Roman" w:cs="Times New Roman" w:hint="eastAsia"/>
          <w:sz w:val="24"/>
          <w:szCs w:val="24"/>
        </w:rPr>
        <w:t>.</w:t>
      </w:r>
      <w:r w:rsidRPr="00561116">
        <w:rPr>
          <w:rFonts w:ascii="Times New Roman" w:hAnsi="Times New Roman" w:cs="Times New Roman"/>
          <w:sz w:val="24"/>
          <w:szCs w:val="24"/>
        </w:rPr>
        <w:t xml:space="preserve"> (B-D) Foot-</w:t>
      </w:r>
      <w:r w:rsidRPr="00D6007C">
        <w:rPr>
          <w:rFonts w:ascii="Times New Roman" w:hAnsi="Times New Roman" w:cs="Times New Roman"/>
          <w:sz w:val="24"/>
          <w:szCs w:val="24"/>
        </w:rPr>
        <w:t>shocks exposure increased mice contextual freezing, sertraline administration reduced freezing time percent. (E) Representative image of mice track plot in OF test. (F-H) Statistical analysis of mice performance in OF test. n=9, Data are expressed as means ± SEM. * p&lt;0.05, **p&lt;0.01, ***p&lt;0.001 (</w:t>
      </w:r>
      <w:r>
        <w:rPr>
          <w:rFonts w:ascii="Times New Roman" w:hAnsi="Times New Roman" w:cs="Times New Roman"/>
          <w:sz w:val="24"/>
          <w:szCs w:val="24"/>
        </w:rPr>
        <w:t>ANOVA</w:t>
      </w:r>
      <w:r w:rsidRPr="00D6007C">
        <w:rPr>
          <w:rFonts w:ascii="Times New Roman" w:hAnsi="Times New Roman" w:cs="Times New Roman"/>
          <w:sz w:val="24"/>
          <w:szCs w:val="24"/>
        </w:rPr>
        <w:t>).</w:t>
      </w:r>
    </w:p>
    <w:p w14:paraId="54FCFDE8" w14:textId="77777777" w:rsidR="00BF73A1" w:rsidRPr="00D6007C" w:rsidRDefault="00BF73A1" w:rsidP="00BF73A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07C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D6007C">
        <w:rPr>
          <w:rFonts w:ascii="Times New Roman" w:hAnsi="Times New Roman" w:cs="Times New Roman" w:hint="eastAsia"/>
          <w:sz w:val="24"/>
          <w:szCs w:val="24"/>
        </w:rPr>
        <w:t>figure</w:t>
      </w:r>
      <w:r w:rsidRPr="00D6007C">
        <w:rPr>
          <w:rFonts w:ascii="Times New Roman" w:hAnsi="Times New Roman" w:cs="Times New Roman"/>
          <w:sz w:val="24"/>
          <w:szCs w:val="24"/>
        </w:rPr>
        <w:t>2. High-dimensional characterization of brain lymphocytes. (A) viSNE plots show the expression pattern of representative markers in all brain lymphocytes.</w:t>
      </w:r>
    </w:p>
    <w:p w14:paraId="08A59BF4" w14:textId="77777777" w:rsidR="00BF73A1" w:rsidRPr="00254549" w:rsidRDefault="00BF73A1" w:rsidP="00BF73A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007C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D6007C">
        <w:rPr>
          <w:rFonts w:ascii="Times New Roman" w:hAnsi="Times New Roman" w:cs="Times New Roman" w:hint="eastAsia"/>
          <w:sz w:val="24"/>
          <w:szCs w:val="24"/>
        </w:rPr>
        <w:t>figure</w:t>
      </w:r>
      <w:r w:rsidRPr="00D6007C">
        <w:rPr>
          <w:rFonts w:ascii="Times New Roman" w:hAnsi="Times New Roman" w:cs="Times New Roman"/>
          <w:sz w:val="24"/>
          <w:szCs w:val="24"/>
        </w:rPr>
        <w:t>3. Microglia depletion alleviates foot-shocks induced PTSD-like behaviors.</w:t>
      </w:r>
      <w:r>
        <w:rPr>
          <w:rFonts w:ascii="Times New Roman" w:hAnsi="Times New Roman" w:cs="Times New Roman"/>
          <w:sz w:val="24"/>
          <w:szCs w:val="24"/>
        </w:rPr>
        <w:t xml:space="preserve"> (A)</w:t>
      </w:r>
      <w:r w:rsidRPr="00AA5EA1">
        <w:rPr>
          <w:rFonts w:ascii="Times New Roman" w:hAnsi="Times New Roman" w:cs="Times New Roman"/>
          <w:sz w:val="24"/>
          <w:szCs w:val="24"/>
        </w:rPr>
        <w:t xml:space="preserve"> </w:t>
      </w:r>
      <w:r w:rsidRPr="00D6007C">
        <w:rPr>
          <w:rFonts w:ascii="Times New Roman" w:hAnsi="Times New Roman" w:cs="Times New Roman"/>
          <w:sz w:val="24"/>
          <w:szCs w:val="24"/>
        </w:rPr>
        <w:t>IHC staining shows microglia</w:t>
      </w:r>
      <w:r>
        <w:rPr>
          <w:rFonts w:ascii="Times New Roman" w:hAnsi="Times New Roman" w:cs="Times New Roman"/>
          <w:sz w:val="24"/>
          <w:szCs w:val="24"/>
        </w:rPr>
        <w:t xml:space="preserve"> restored after DT administration. (B) Statistic data shows microglia number restored after DT administration.</w:t>
      </w:r>
      <w:r w:rsidRPr="00D6007C">
        <w:rPr>
          <w:rFonts w:ascii="Times New Roman" w:hAnsi="Times New Roman" w:cs="Times New Roman"/>
          <w:sz w:val="24"/>
          <w:szCs w:val="24"/>
        </w:rPr>
        <w:t xml:space="preserve"> **p&lt;0.01,***p&lt;0.001 (</w:t>
      </w:r>
      <w:r>
        <w:rPr>
          <w:rFonts w:ascii="Times New Roman" w:hAnsi="Times New Roman" w:cs="Times New Roman"/>
          <w:sz w:val="24"/>
          <w:szCs w:val="24"/>
        </w:rPr>
        <w:t>ANOVA</w:t>
      </w:r>
      <w:r w:rsidRPr="00D6007C">
        <w:rPr>
          <w:rFonts w:ascii="Times New Roman" w:hAnsi="Times New Roman" w:cs="Times New Roman"/>
          <w:sz w:val="24"/>
          <w:szCs w:val="24"/>
        </w:rPr>
        <w:t>)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6007C">
        <w:rPr>
          <w:rFonts w:ascii="Times New Roman" w:hAnsi="Times New Roman" w:cs="Times New Roman"/>
          <w:sz w:val="24"/>
          <w:szCs w:val="24"/>
        </w:rPr>
        <w:t>) IHC staining shows microglia depletion efficiency after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elevated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plus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maze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 w:rsidRPr="00D600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PLX3397 </w:t>
      </w:r>
      <w:r>
        <w:rPr>
          <w:rFonts w:ascii="Times New Roman" w:hAnsi="Times New Roman" w:cs="Times New Roman" w:hint="eastAsia"/>
          <w:sz w:val="24"/>
          <w:szCs w:val="24"/>
        </w:rPr>
        <w:t>treatment</w:t>
      </w:r>
      <w:r w:rsidRPr="00D6007C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D6007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Statistic data shows m</w:t>
      </w:r>
      <w:r w:rsidRPr="00D6007C">
        <w:rPr>
          <w:rFonts w:ascii="Times New Roman" w:hAnsi="Times New Roman" w:cs="Times New Roman"/>
          <w:sz w:val="24"/>
          <w:szCs w:val="24"/>
        </w:rPr>
        <w:t>icroglia number decreased after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elevated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plus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maze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 w:rsidRPr="00D600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PLX3397 </w:t>
      </w:r>
      <w:r>
        <w:rPr>
          <w:rFonts w:ascii="Times New Roman" w:hAnsi="Times New Roman" w:cs="Times New Roman" w:hint="eastAsia"/>
          <w:sz w:val="24"/>
          <w:szCs w:val="24"/>
        </w:rPr>
        <w:t>treatment</w:t>
      </w:r>
      <w:r w:rsidRPr="00D6007C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sz w:val="24"/>
          <w:szCs w:val="24"/>
        </w:rPr>
        <w:t>E-G</w:t>
      </w:r>
      <w:r w:rsidRPr="00D6007C">
        <w:rPr>
          <w:rFonts w:ascii="Times New Roman" w:hAnsi="Times New Roman" w:cs="Times New Roman"/>
          <w:sz w:val="24"/>
          <w:szCs w:val="24"/>
        </w:rPr>
        <w:t>) PLX3397 administration decreased mice freezing behavior. (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D6007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D6007C">
        <w:rPr>
          <w:rFonts w:ascii="Times New Roman" w:hAnsi="Times New Roman" w:cs="Times New Roman"/>
          <w:sz w:val="24"/>
          <w:szCs w:val="24"/>
        </w:rPr>
        <w:t>) PLX3397 administration increased mice activity in center area in OF test. (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6007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D6007C">
        <w:rPr>
          <w:rFonts w:ascii="Times New Roman" w:hAnsi="Times New Roman" w:cs="Times New Roman"/>
          <w:sz w:val="24"/>
          <w:szCs w:val="24"/>
        </w:rPr>
        <w:t>) PLX3397 administration increased mice activity in open arm in EPM test. n=8, Data are expressed as means ± SEM. * p&lt;0.05, **p&lt;0.01,***p&lt;0.001 (</w:t>
      </w:r>
      <w:r w:rsidRPr="00FA2DD7">
        <w:rPr>
          <w:rFonts w:ascii="Times New Roman" w:hAnsi="Times New Roman" w:cs="Times New Roman"/>
          <w:sz w:val="24"/>
          <w:szCs w:val="24"/>
        </w:rPr>
        <w:t>S</w:t>
      </w:r>
      <w:r w:rsidRPr="00FA2DD7">
        <w:rPr>
          <w:rFonts w:ascii="Times New Roman" w:hAnsi="Times New Roman" w:cs="Times New Roman" w:hint="eastAsia"/>
          <w:sz w:val="24"/>
          <w:szCs w:val="24"/>
        </w:rPr>
        <w:t>tudent</w:t>
      </w:r>
      <w:r w:rsidRPr="00FA2DD7">
        <w:rPr>
          <w:rFonts w:ascii="Times New Roman" w:hAnsi="Times New Roman" w:cs="Times New Roman"/>
          <w:sz w:val="24"/>
          <w:szCs w:val="24"/>
        </w:rPr>
        <w:t xml:space="preserve">’s </w:t>
      </w:r>
      <w:r w:rsidRPr="00FA2DD7">
        <w:rPr>
          <w:rFonts w:ascii="Times New Roman" w:hAnsi="Times New Roman" w:cs="Times New Roman" w:hint="eastAsia"/>
          <w:i/>
          <w:iCs/>
          <w:sz w:val="24"/>
          <w:szCs w:val="24"/>
        </w:rPr>
        <w:t>t</w:t>
      </w:r>
      <w:r w:rsidRPr="00FA2DD7">
        <w:rPr>
          <w:rFonts w:ascii="Times New Roman" w:hAnsi="Times New Roman" w:cs="Times New Roman"/>
          <w:sz w:val="24"/>
          <w:szCs w:val="24"/>
        </w:rPr>
        <w:t xml:space="preserve"> </w:t>
      </w:r>
      <w:r w:rsidRPr="00FA2DD7">
        <w:rPr>
          <w:rFonts w:ascii="Times New Roman" w:hAnsi="Times New Roman" w:cs="Times New Roman" w:hint="eastAsia"/>
          <w:sz w:val="24"/>
          <w:szCs w:val="24"/>
        </w:rPr>
        <w:t>test</w:t>
      </w:r>
      <w:r w:rsidRPr="00D6007C">
        <w:rPr>
          <w:rFonts w:ascii="Times New Roman" w:hAnsi="Times New Roman" w:cs="Times New Roman"/>
          <w:sz w:val="24"/>
          <w:szCs w:val="24"/>
        </w:rPr>
        <w:t>).</w:t>
      </w:r>
      <w:r w:rsidRPr="005A2253">
        <w:rPr>
          <w:rFonts w:ascii="Times New Roman" w:eastAsia="宋体" w:hAnsi="Times New Roman" w:cs="Times New Roman"/>
          <w:kern w:val="0"/>
          <w:sz w:val="24"/>
          <w:szCs w:val="24"/>
        </w:rPr>
        <w:fldChar w:fldCharType="begin"/>
      </w:r>
      <w:r w:rsidRPr="005A2253">
        <w:rPr>
          <w:rFonts w:ascii="Times New Roman" w:eastAsia="宋体" w:hAnsi="Times New Roman" w:cs="Times New Roman"/>
          <w:kern w:val="0"/>
          <w:sz w:val="24"/>
          <w:szCs w:val="24"/>
        </w:rPr>
        <w:instrText xml:space="preserve"> ADDIN </w:instrText>
      </w:r>
      <w:r w:rsidRPr="005A2253">
        <w:rPr>
          <w:rFonts w:ascii="Times New Roman" w:eastAsia="宋体" w:hAnsi="Times New Roman" w:cs="Times New Roman"/>
          <w:kern w:val="0"/>
          <w:sz w:val="24"/>
          <w:szCs w:val="24"/>
        </w:rPr>
        <w:fldChar w:fldCharType="end"/>
      </w:r>
    </w:p>
    <w:p w14:paraId="545C9DFB" w14:textId="77777777" w:rsidR="00BF73A1" w:rsidRDefault="00BF73A1" w:rsidP="00BF73A1"/>
    <w:p w14:paraId="075CAEAF" w14:textId="002584D2" w:rsidR="00BF73A1" w:rsidRDefault="00BF73A1">
      <w:pPr>
        <w:widowControl/>
        <w:jc w:val="left"/>
      </w:pPr>
      <w:r>
        <w:br w:type="page"/>
      </w:r>
    </w:p>
    <w:p w14:paraId="4424059C" w14:textId="77777777" w:rsidR="00BF73A1" w:rsidRPr="009B2667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2667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2667">
        <w:rPr>
          <w:rFonts w:ascii="Times New Roman" w:hAnsi="Times New Roman" w:cs="Times New Roman"/>
          <w:sz w:val="24"/>
          <w:szCs w:val="24"/>
        </w:rPr>
        <w:t>Table1. list of antibody panel used in CytoF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49"/>
        <w:gridCol w:w="3381"/>
        <w:gridCol w:w="748"/>
        <w:gridCol w:w="3418"/>
      </w:tblGrid>
      <w:tr w:rsidR="0089010B" w:rsidRPr="009B2667" w14:paraId="53D9F3A2" w14:textId="77777777" w:rsidTr="0089010B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2B5A68" w14:textId="42432C7C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010B">
              <w:rPr>
                <w:rFonts w:ascii="Times New Roman" w:hAnsi="Times New Roman" w:cs="Times New Roman"/>
                <w:sz w:val="24"/>
                <w:szCs w:val="24"/>
              </w:rPr>
              <w:t>List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3840B8" w14:textId="260E6318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010B">
              <w:rPr>
                <w:rFonts w:ascii="Times New Roman" w:hAnsi="Times New Roman" w:cs="Times New Roman"/>
                <w:sz w:val="24"/>
                <w:szCs w:val="24"/>
              </w:rPr>
              <w:t>mark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178CEA" w14:textId="10FC659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010B">
              <w:rPr>
                <w:rFonts w:ascii="Times New Roman" w:hAnsi="Times New Roman" w:cs="Times New Roman"/>
                <w:sz w:val="24"/>
                <w:szCs w:val="24"/>
              </w:rPr>
              <w:t>List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685BE16" w14:textId="3DD20B7A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010B">
              <w:rPr>
                <w:rFonts w:ascii="Times New Roman" w:hAnsi="Times New Roman" w:cs="Times New Roman"/>
                <w:sz w:val="24"/>
                <w:szCs w:val="24"/>
              </w:rPr>
              <w:t>mark</w:t>
            </w:r>
          </w:p>
        </w:tc>
      </w:tr>
      <w:tr w:rsidR="0089010B" w:rsidRPr="009B2667" w14:paraId="37AE576B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B49352" w14:textId="682F5508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78466A9" w14:textId="7ADDF3BC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CD45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D63523D" w14:textId="2FDC7FB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56B6C4" w14:textId="391C523E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F4/80</w:t>
            </w:r>
          </w:p>
        </w:tc>
      </w:tr>
      <w:tr w:rsidR="0089010B" w:rsidRPr="009B2667" w14:paraId="68FB5B41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647D0B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1DFE1E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CD3e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EAA86C2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00B3B7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CD274(PD-L1)</w:t>
            </w:r>
          </w:p>
        </w:tc>
      </w:tr>
      <w:tr w:rsidR="0089010B" w:rsidRPr="009B2667" w14:paraId="14D35E85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E8BC69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90BBEC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CD44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8613EB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B6E747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iNOS</w:t>
            </w:r>
          </w:p>
        </w:tc>
      </w:tr>
      <w:tr w:rsidR="0089010B" w:rsidRPr="009B2667" w14:paraId="7819829C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DDD1FC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CD76D4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CD24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548B65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6745624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CD69</w:t>
            </w:r>
          </w:p>
        </w:tc>
      </w:tr>
      <w:tr w:rsidR="0089010B" w:rsidRPr="009B2667" w14:paraId="5506F272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B4999B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757764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MHC II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723E59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CEC275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CD25</w:t>
            </w:r>
          </w:p>
        </w:tc>
      </w:tr>
      <w:tr w:rsidR="0089010B" w:rsidRPr="009B2667" w14:paraId="282DABE0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8FE77E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B08BB6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B220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CD45R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ECB522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7EDC865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CD103</w:t>
            </w:r>
          </w:p>
        </w:tc>
      </w:tr>
      <w:tr w:rsidR="0089010B" w:rsidRPr="009B2667" w14:paraId="164D2DA3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277A67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8FACF1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Fc</w:t>
            </w:r>
            <w:r w:rsidRPr="009B266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ε</w:t>
            </w: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RI</w:t>
            </w:r>
            <w:r w:rsidRPr="009B266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α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EA6635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5FABC2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NK1.1</w:t>
            </w:r>
          </w:p>
        </w:tc>
      </w:tr>
      <w:tr w:rsidR="0089010B" w:rsidRPr="009B2667" w14:paraId="60009E37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DC78DE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15AE66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Ly6G/C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D0390C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2971D3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Argnase I</w:t>
            </w:r>
          </w:p>
        </w:tc>
      </w:tr>
      <w:tr w:rsidR="0089010B" w:rsidRPr="009B2667" w14:paraId="2D5651C8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C299C5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91E2B9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CD38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B3A9F9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8C9C56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CD49b</w:t>
            </w:r>
          </w:p>
        </w:tc>
      </w:tr>
      <w:tr w:rsidR="0089010B" w:rsidRPr="009B2667" w14:paraId="1BB043BA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8C2485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61F6DF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Ly6G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487E0F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18F65E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</w:p>
        </w:tc>
      </w:tr>
      <w:tr w:rsidR="0089010B" w:rsidRPr="009B2667" w14:paraId="79162631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22E64C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E9E67F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Ly6C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3C7DC2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B183B3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CD115(CSF-1R)</w:t>
            </w:r>
          </w:p>
        </w:tc>
      </w:tr>
      <w:tr w:rsidR="0089010B" w:rsidRPr="009B2667" w14:paraId="581CF2FB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C4208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20EFA0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CX3CR1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95AE62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4FB699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CD49a</w:t>
            </w:r>
          </w:p>
        </w:tc>
      </w:tr>
      <w:tr w:rsidR="0089010B" w:rsidRPr="009B2667" w14:paraId="344CF80E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A27A7F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4248E2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CD14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F2CB6A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7255A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CD23</w:t>
            </w:r>
          </w:p>
        </w:tc>
      </w:tr>
      <w:tr w:rsidR="0089010B" w:rsidRPr="009B2667" w14:paraId="11B0D640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D50BC1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30965A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CD62L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04A6C1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7E0C76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CD127</w:t>
            </w:r>
          </w:p>
        </w:tc>
      </w:tr>
      <w:tr w:rsidR="0089010B" w:rsidRPr="009B2667" w14:paraId="79022BA0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17FE63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86EB16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CD11c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F5A400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A17B41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CD172a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SIRP</w:t>
            </w:r>
            <w:r w:rsidRPr="009B2667"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α</w:t>
            </w: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)</w:t>
            </w:r>
          </w:p>
        </w:tc>
      </w:tr>
      <w:tr w:rsidR="0089010B" w:rsidRPr="009B2667" w14:paraId="280ACDE4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50901C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B56D19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SiglecF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271346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1B514C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CD152(CTLA-4)</w:t>
            </w:r>
          </w:p>
        </w:tc>
      </w:tr>
      <w:tr w:rsidR="0089010B" w:rsidRPr="009B2667" w14:paraId="1683D438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897247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F1EE73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5597C1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ABA91F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TCR-b chain</w:t>
            </w:r>
          </w:p>
        </w:tc>
      </w:tr>
      <w:tr w:rsidR="0089010B" w:rsidRPr="009B2667" w14:paraId="3FF5D0E9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71268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E0267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CD80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30951F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D5A3B3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IgM</w:t>
            </w:r>
          </w:p>
        </w:tc>
      </w:tr>
      <w:tr w:rsidR="0089010B" w:rsidRPr="009B2667" w14:paraId="592DB211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5C4E0A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2AB5D6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BST2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8EDBA3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8CD0A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</w:tr>
      <w:tr w:rsidR="0089010B" w:rsidRPr="009B2667" w14:paraId="4830F33B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152BE3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418B04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7EF35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4A371B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CD8a</w:t>
            </w:r>
          </w:p>
        </w:tc>
      </w:tr>
      <w:tr w:rsidR="0089010B" w:rsidRPr="009B2667" w14:paraId="117AA77C" w14:textId="77777777" w:rsidTr="00483E59">
        <w:trPr>
          <w:trHeight w:val="166"/>
        </w:trPr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EFF1E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201218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 xml:space="preserve">CD19 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630122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2F23BC" w14:textId="77777777" w:rsidR="0089010B" w:rsidRPr="009B2667" w:rsidRDefault="0089010B" w:rsidP="008901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667">
              <w:rPr>
                <w:rFonts w:ascii="Times New Roman" w:hAnsi="Times New Roman" w:cs="Times New Roman"/>
                <w:sz w:val="24"/>
                <w:szCs w:val="24"/>
              </w:rPr>
              <w:t>CD11b</w:t>
            </w:r>
          </w:p>
        </w:tc>
      </w:tr>
    </w:tbl>
    <w:p w14:paraId="2977FEC3" w14:textId="77777777" w:rsidR="00BF73A1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7559F3" w14:textId="77777777" w:rsidR="00BF73A1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08BAAF" w14:textId="77777777" w:rsidR="00BF73A1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EEABB5" w14:textId="77777777" w:rsidR="00BF73A1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3E1A50" w14:textId="77777777" w:rsidR="00BF73A1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846DEB" w14:textId="77777777" w:rsidR="00BF73A1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7997B5" w14:textId="77777777" w:rsidR="00BF73A1" w:rsidRPr="009B2667" w:rsidRDefault="00BF73A1" w:rsidP="00BF73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2667">
        <w:rPr>
          <w:rFonts w:ascii="Times New Roman" w:hAnsi="Times New Roman" w:cs="Times New Roman"/>
          <w:sz w:val="24"/>
          <w:szCs w:val="24"/>
        </w:rPr>
        <w:lastRenderedPageBreak/>
        <w:t>Supplementary Table2: QPCR primer sequence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000"/>
        <w:gridCol w:w="1828"/>
        <w:gridCol w:w="2695"/>
        <w:gridCol w:w="2773"/>
      </w:tblGrid>
      <w:tr w:rsidR="0089010B" w:rsidRPr="009B2667" w14:paraId="74BFD650" w14:textId="77777777" w:rsidTr="0089010B">
        <w:trPr>
          <w:trHeight w:val="280"/>
        </w:trPr>
        <w:tc>
          <w:tcPr>
            <w:tcW w:w="603" w:type="pct"/>
            <w:noWrap/>
          </w:tcPr>
          <w:p w14:paraId="09A1C1C7" w14:textId="2CA88118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F73A1">
              <w:rPr>
                <w:rFonts w:ascii="Times New Roman" w:hAnsi="Times New Roman" w:cs="Times New Roman"/>
                <w:sz w:val="24"/>
                <w:szCs w:val="24"/>
              </w:rPr>
              <w:t>Gene symbol</w:t>
            </w:r>
          </w:p>
        </w:tc>
        <w:tc>
          <w:tcPr>
            <w:tcW w:w="1102" w:type="pct"/>
          </w:tcPr>
          <w:p w14:paraId="1D93A492" w14:textId="576D4D9C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F73A1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BF73A1">
              <w:rPr>
                <w:rFonts w:ascii="Times New Roman" w:hAnsi="Times New Roman" w:cs="Times New Roman"/>
                <w:sz w:val="24"/>
                <w:szCs w:val="24"/>
              </w:rPr>
              <w:t>CBI Gene ID</w:t>
            </w:r>
          </w:p>
        </w:tc>
        <w:tc>
          <w:tcPr>
            <w:tcW w:w="1624" w:type="pct"/>
            <w:noWrap/>
          </w:tcPr>
          <w:p w14:paraId="441D2E22" w14:textId="174735FD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F73A1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1671" w:type="pct"/>
            <w:noWrap/>
          </w:tcPr>
          <w:p w14:paraId="2E7FB7ED" w14:textId="21EED5FF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F73A1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</w:tr>
      <w:tr w:rsidR="0089010B" w:rsidRPr="009B2667" w14:paraId="34A3E62A" w14:textId="77777777" w:rsidTr="00483E59">
        <w:trPr>
          <w:trHeight w:val="280"/>
        </w:trPr>
        <w:tc>
          <w:tcPr>
            <w:tcW w:w="603" w:type="pct"/>
            <w:noWrap/>
          </w:tcPr>
          <w:p w14:paraId="3A3CBF06" w14:textId="62945C1F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TNF-α</w:t>
            </w:r>
          </w:p>
        </w:tc>
        <w:tc>
          <w:tcPr>
            <w:tcW w:w="1102" w:type="pct"/>
          </w:tcPr>
          <w:p w14:paraId="47792A36" w14:textId="709EEBD9" w:rsidR="0089010B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1926</w:t>
            </w:r>
          </w:p>
        </w:tc>
        <w:tc>
          <w:tcPr>
            <w:tcW w:w="1624" w:type="pct"/>
            <w:noWrap/>
          </w:tcPr>
          <w:p w14:paraId="0E553C14" w14:textId="1BCAD4D4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CAGGCGGTGCCTATGTCTC</w:t>
            </w:r>
          </w:p>
        </w:tc>
        <w:tc>
          <w:tcPr>
            <w:tcW w:w="1671" w:type="pct"/>
            <w:noWrap/>
          </w:tcPr>
          <w:p w14:paraId="76EE724D" w14:textId="4F537932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CGATCACCCCGAAGTTCAGTAG</w:t>
            </w:r>
          </w:p>
        </w:tc>
      </w:tr>
      <w:tr w:rsidR="0089010B" w:rsidRPr="009B2667" w14:paraId="44FF9F8F" w14:textId="77777777" w:rsidTr="00483E59">
        <w:trPr>
          <w:trHeight w:val="280"/>
        </w:trPr>
        <w:tc>
          <w:tcPr>
            <w:tcW w:w="603" w:type="pct"/>
            <w:noWrap/>
            <w:hideMark/>
          </w:tcPr>
          <w:p w14:paraId="7E8DA562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IL-6</w:t>
            </w:r>
          </w:p>
        </w:tc>
        <w:tc>
          <w:tcPr>
            <w:tcW w:w="1102" w:type="pct"/>
          </w:tcPr>
          <w:p w14:paraId="1B0E9737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6193</w:t>
            </w:r>
          </w:p>
        </w:tc>
        <w:tc>
          <w:tcPr>
            <w:tcW w:w="1624" w:type="pct"/>
            <w:noWrap/>
            <w:hideMark/>
          </w:tcPr>
          <w:p w14:paraId="19CBE124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GCTACCAAACTGGATATAATCAGGA</w:t>
            </w:r>
          </w:p>
        </w:tc>
        <w:tc>
          <w:tcPr>
            <w:tcW w:w="1671" w:type="pct"/>
            <w:noWrap/>
            <w:hideMark/>
          </w:tcPr>
          <w:p w14:paraId="3D88D27B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CCAGGTAGCTATGGTACTCCAGAA</w:t>
            </w:r>
          </w:p>
        </w:tc>
      </w:tr>
      <w:tr w:rsidR="0089010B" w:rsidRPr="009B2667" w14:paraId="40267CC8" w14:textId="77777777" w:rsidTr="00483E59">
        <w:trPr>
          <w:trHeight w:val="280"/>
        </w:trPr>
        <w:tc>
          <w:tcPr>
            <w:tcW w:w="603" w:type="pct"/>
            <w:noWrap/>
            <w:hideMark/>
          </w:tcPr>
          <w:p w14:paraId="1D9919DA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Il-4</w:t>
            </w:r>
          </w:p>
        </w:tc>
        <w:tc>
          <w:tcPr>
            <w:tcW w:w="1102" w:type="pct"/>
          </w:tcPr>
          <w:p w14:paraId="15817F10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6189</w:t>
            </w:r>
          </w:p>
        </w:tc>
        <w:tc>
          <w:tcPr>
            <w:tcW w:w="1624" w:type="pct"/>
            <w:noWrap/>
            <w:hideMark/>
          </w:tcPr>
          <w:p w14:paraId="23F44B80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GGTCTCAACCCCCAGCTAGT</w:t>
            </w:r>
          </w:p>
        </w:tc>
        <w:tc>
          <w:tcPr>
            <w:tcW w:w="1671" w:type="pct"/>
            <w:noWrap/>
            <w:hideMark/>
          </w:tcPr>
          <w:p w14:paraId="6E013A4D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GCCGATGATCTCTCTCAAGTGAT</w:t>
            </w:r>
          </w:p>
        </w:tc>
      </w:tr>
      <w:tr w:rsidR="0089010B" w:rsidRPr="009B2667" w14:paraId="300214DE" w14:textId="77777777" w:rsidTr="00483E59">
        <w:trPr>
          <w:trHeight w:val="280"/>
        </w:trPr>
        <w:tc>
          <w:tcPr>
            <w:tcW w:w="603" w:type="pct"/>
            <w:noWrap/>
            <w:hideMark/>
          </w:tcPr>
          <w:p w14:paraId="1F8DD236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Il-10</w:t>
            </w:r>
          </w:p>
        </w:tc>
        <w:tc>
          <w:tcPr>
            <w:tcW w:w="1102" w:type="pct"/>
          </w:tcPr>
          <w:p w14:paraId="1EC61505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6153</w:t>
            </w:r>
          </w:p>
        </w:tc>
        <w:tc>
          <w:tcPr>
            <w:tcW w:w="1624" w:type="pct"/>
            <w:noWrap/>
            <w:hideMark/>
          </w:tcPr>
          <w:p w14:paraId="30212B85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GCTCTTACTGACTGGCATGAG</w:t>
            </w:r>
          </w:p>
        </w:tc>
        <w:tc>
          <w:tcPr>
            <w:tcW w:w="1671" w:type="pct"/>
            <w:noWrap/>
            <w:hideMark/>
          </w:tcPr>
          <w:p w14:paraId="038F6AD5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CGCAGCTCTAGGAGCATGTG</w:t>
            </w:r>
          </w:p>
        </w:tc>
      </w:tr>
      <w:tr w:rsidR="0089010B" w:rsidRPr="009B2667" w14:paraId="0F6562B9" w14:textId="77777777" w:rsidTr="00483E59">
        <w:trPr>
          <w:trHeight w:val="280"/>
        </w:trPr>
        <w:tc>
          <w:tcPr>
            <w:tcW w:w="603" w:type="pct"/>
            <w:noWrap/>
            <w:hideMark/>
          </w:tcPr>
          <w:p w14:paraId="5AE757EC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CD206</w:t>
            </w:r>
          </w:p>
        </w:tc>
        <w:tc>
          <w:tcPr>
            <w:tcW w:w="1102" w:type="pct"/>
          </w:tcPr>
          <w:p w14:paraId="7824D950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7533</w:t>
            </w:r>
          </w:p>
        </w:tc>
        <w:tc>
          <w:tcPr>
            <w:tcW w:w="1624" w:type="pct"/>
            <w:noWrap/>
            <w:hideMark/>
          </w:tcPr>
          <w:p w14:paraId="38B1D770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CTCTGTTCAGCTATTGGACGC</w:t>
            </w:r>
          </w:p>
        </w:tc>
        <w:tc>
          <w:tcPr>
            <w:tcW w:w="1671" w:type="pct"/>
            <w:noWrap/>
            <w:hideMark/>
          </w:tcPr>
          <w:p w14:paraId="19A2A374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CGGAATTTCTGGGATTCAGCTTC</w:t>
            </w:r>
          </w:p>
        </w:tc>
      </w:tr>
      <w:tr w:rsidR="0089010B" w:rsidRPr="009B2667" w14:paraId="21A304AE" w14:textId="77777777" w:rsidTr="00483E59">
        <w:trPr>
          <w:trHeight w:val="280"/>
        </w:trPr>
        <w:tc>
          <w:tcPr>
            <w:tcW w:w="603" w:type="pct"/>
            <w:noWrap/>
            <w:hideMark/>
          </w:tcPr>
          <w:p w14:paraId="3F8914EB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β-actin</w:t>
            </w:r>
          </w:p>
        </w:tc>
        <w:tc>
          <w:tcPr>
            <w:tcW w:w="1102" w:type="pct"/>
          </w:tcPr>
          <w:p w14:paraId="08F460AE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1461</w:t>
            </w:r>
          </w:p>
        </w:tc>
        <w:tc>
          <w:tcPr>
            <w:tcW w:w="1624" w:type="pct"/>
            <w:noWrap/>
            <w:hideMark/>
          </w:tcPr>
          <w:p w14:paraId="222D9681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GGCTGTATTCCCCTCCATCG</w:t>
            </w:r>
          </w:p>
        </w:tc>
        <w:tc>
          <w:tcPr>
            <w:tcW w:w="1671" w:type="pct"/>
            <w:noWrap/>
            <w:hideMark/>
          </w:tcPr>
          <w:p w14:paraId="49F39B8B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CCAGTTGGTAACAATGCCATGT</w:t>
            </w:r>
          </w:p>
        </w:tc>
      </w:tr>
      <w:tr w:rsidR="0089010B" w:rsidRPr="009B2667" w14:paraId="70EB0244" w14:textId="77777777" w:rsidTr="00483E59">
        <w:trPr>
          <w:trHeight w:val="280"/>
        </w:trPr>
        <w:tc>
          <w:tcPr>
            <w:tcW w:w="603" w:type="pct"/>
            <w:noWrap/>
            <w:hideMark/>
          </w:tcPr>
          <w:p w14:paraId="05F7513E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IFN</w:t>
            </w:r>
            <w:r w:rsidRPr="009B2667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</w:t>
            </w:r>
          </w:p>
        </w:tc>
        <w:tc>
          <w:tcPr>
            <w:tcW w:w="1102" w:type="pct"/>
          </w:tcPr>
          <w:p w14:paraId="7BF47CAE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5978</w:t>
            </w:r>
          </w:p>
        </w:tc>
        <w:tc>
          <w:tcPr>
            <w:tcW w:w="1624" w:type="pct"/>
            <w:noWrap/>
            <w:hideMark/>
          </w:tcPr>
          <w:p w14:paraId="6D601226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GATGCATTCATGAGTATTGCCAAGT</w:t>
            </w:r>
          </w:p>
        </w:tc>
        <w:tc>
          <w:tcPr>
            <w:tcW w:w="1671" w:type="pct"/>
            <w:noWrap/>
            <w:hideMark/>
          </w:tcPr>
          <w:p w14:paraId="19A52E39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GTGGACCACTCGGATGAGCTC</w:t>
            </w:r>
          </w:p>
        </w:tc>
      </w:tr>
      <w:tr w:rsidR="0089010B" w:rsidRPr="009B2667" w14:paraId="0E4867C5" w14:textId="77777777" w:rsidTr="00483E59">
        <w:trPr>
          <w:trHeight w:val="280"/>
        </w:trPr>
        <w:tc>
          <w:tcPr>
            <w:tcW w:w="603" w:type="pct"/>
            <w:noWrap/>
            <w:hideMark/>
          </w:tcPr>
          <w:p w14:paraId="02C2E870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</w:t>
            </w:r>
            <w:r w:rsidRPr="009B2667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</w:t>
            </w:r>
          </w:p>
        </w:tc>
        <w:tc>
          <w:tcPr>
            <w:tcW w:w="1102" w:type="pct"/>
          </w:tcPr>
          <w:p w14:paraId="0A5BBC60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6176</w:t>
            </w:r>
          </w:p>
        </w:tc>
        <w:tc>
          <w:tcPr>
            <w:tcW w:w="1624" w:type="pct"/>
            <w:noWrap/>
            <w:hideMark/>
          </w:tcPr>
          <w:p w14:paraId="7C565E61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GCAACTGTTCCTGAACTCAACT</w:t>
            </w:r>
          </w:p>
        </w:tc>
        <w:tc>
          <w:tcPr>
            <w:tcW w:w="1671" w:type="pct"/>
            <w:noWrap/>
            <w:hideMark/>
          </w:tcPr>
          <w:p w14:paraId="186FA638" w14:textId="77777777" w:rsidR="0089010B" w:rsidRPr="009B2667" w:rsidRDefault="0089010B" w:rsidP="0089010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266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ATCTTTTGGGGTCCGTCAACT</w:t>
            </w:r>
          </w:p>
        </w:tc>
      </w:tr>
    </w:tbl>
    <w:p w14:paraId="0AC1B79A" w14:textId="77777777" w:rsidR="00BF73A1" w:rsidRDefault="00BF73A1" w:rsidP="00BF73A1"/>
    <w:p w14:paraId="3A652F93" w14:textId="77777777" w:rsidR="002B431C" w:rsidRDefault="002B431C"/>
    <w:sectPr w:rsidR="002B43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3A1"/>
    <w:rsid w:val="002B431C"/>
    <w:rsid w:val="0089010B"/>
    <w:rsid w:val="00BF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966A3"/>
  <w15:chartTrackingRefBased/>
  <w15:docId w15:val="{89FC0B31-77B4-45EB-91C5-BD2F2ABB0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73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shuoshuo</dc:creator>
  <cp:keywords/>
  <dc:description/>
  <cp:lastModifiedBy>li shuoshuo</cp:lastModifiedBy>
  <cp:revision>2</cp:revision>
  <dcterms:created xsi:type="dcterms:W3CDTF">2020-04-06T07:07:00Z</dcterms:created>
  <dcterms:modified xsi:type="dcterms:W3CDTF">2020-06-14T14:33:00Z</dcterms:modified>
</cp:coreProperties>
</file>