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S</w:t>
      </w:r>
      <w:r>
        <w:rPr>
          <w:rFonts w:ascii="Times New Roman" w:hAnsi="Times New Roman" w:eastAsia="宋体" w:cs="Times New Roman"/>
          <w:sz w:val="24"/>
        </w:rPr>
        <w:t>1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.</w:t>
      </w:r>
      <w:r>
        <w:rPr>
          <w:rFonts w:ascii="Times New Roman" w:hAnsi="Times New Roman" w:eastAsia="宋体" w:cs="Times New Roman"/>
          <w:sz w:val="24"/>
        </w:rPr>
        <w:t xml:space="preserve">  Comparisons of 5-year survival rates among NPC patient groups defined by plasma EBV DNA status at 5 time points</w:t>
      </w:r>
      <w:r>
        <w:rPr>
          <w:rFonts w:hint="eastAsia" w:ascii="Times New Roman" w:hAnsi="Times New Roman" w:cs="Times New Roman"/>
          <w:sz w:val="24"/>
        </w:rPr>
        <w:t xml:space="preserve"> </w:t>
      </w:r>
      <w:bookmarkStart w:id="0" w:name="_GoBack"/>
      <w:bookmarkEnd w:id="0"/>
    </w:p>
    <w:tbl>
      <w:tblPr>
        <w:tblStyle w:val="5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1"/>
        <w:gridCol w:w="1521"/>
        <w:gridCol w:w="1065"/>
        <w:gridCol w:w="1122"/>
        <w:gridCol w:w="1109"/>
        <w:gridCol w:w="109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exact"/>
        </w:trPr>
        <w:tc>
          <w:tcPr>
            <w:tcW w:w="1802" w:type="pct"/>
            <w:vMerge w:val="restart"/>
            <w:tcBorders>
              <w:top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Time points and groups</w:t>
            </w:r>
          </w:p>
        </w:tc>
        <w:tc>
          <w:tcPr>
            <w:tcW w:w="823" w:type="pct"/>
            <w:vMerge w:val="restart"/>
            <w:tcBorders>
              <w:top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N (%)</w:t>
            </w:r>
          </w:p>
        </w:tc>
        <w:tc>
          <w:tcPr>
            <w:tcW w:w="2375" w:type="pct"/>
            <w:gridSpan w:val="4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Survival rate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8" w:hRule="exact"/>
        </w:trPr>
        <w:tc>
          <w:tcPr>
            <w:tcW w:w="1802" w:type="pct"/>
            <w:vMerge w:val="continue"/>
            <w:tcBorders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rPr>
                <w:rFonts w:ascii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823" w:type="pct"/>
            <w:vMerge w:val="continue"/>
            <w:tcBorders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rPr>
                <w:rFonts w:ascii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576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PFS</w:t>
            </w:r>
          </w:p>
        </w:tc>
        <w:tc>
          <w:tcPr>
            <w:tcW w:w="607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DMFS</w:t>
            </w:r>
          </w:p>
        </w:tc>
        <w:tc>
          <w:tcPr>
            <w:tcW w:w="600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RFS</w:t>
            </w:r>
          </w:p>
        </w:tc>
        <w:tc>
          <w:tcPr>
            <w:tcW w:w="592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OS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pStyle w:val="9"/>
              <w:spacing w:line="280" w:lineRule="exact"/>
              <w:ind w:firstLine="0" w:firstLineChars="0"/>
              <w:rPr>
                <w:rFonts w:ascii="Times New Roma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1"/>
              </w:rPr>
              <w:t xml:space="preserve">Pre-treatment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1"/>
              </w:rPr>
              <w:t>EBV</w:t>
            </w:r>
          </w:p>
        </w:tc>
        <w:tc>
          <w:tcPr>
            <w:tcW w:w="823" w:type="pc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907 (84.2%)</w:t>
            </w:r>
          </w:p>
        </w:tc>
        <w:tc>
          <w:tcPr>
            <w:tcW w:w="576" w:type="pc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7" w:type="pc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0" w:type="pc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592" w:type="pc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&lt;1500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541 (59.6%)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79.9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87.7%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91.1%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90.5%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 xml:space="preserve">≥1500 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366 (40.4%)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49.3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64.1%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80.1%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73.3%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rPr>
                <w:rFonts w:ascii="Times New Roma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1"/>
              </w:rPr>
              <w:t xml:space="preserve">3 months post-treatment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1"/>
              </w:rPr>
              <w:t>EBV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659 (61.2%)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undetectable (0 copies/mL)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580 (88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.0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2.3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.0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89.1%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88.6%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Detectable (&gt;0 copies/mL)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79 (12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.0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0.3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27.6%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60.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42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1"/>
              </w:rPr>
              <w:t xml:space="preserve">12 months post-treatment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1"/>
              </w:rPr>
              <w:t>EBV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384 (35.7%)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undetectable (0 copies/mL)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332 (86.5%)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2.3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5.0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0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86.1%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89.4%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Detectable (&gt;0 copies/mL)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52 (13.5%)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8.4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7.4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55.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30.3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rPr>
                <w:rFonts w:ascii="Times New Roma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1"/>
              </w:rPr>
              <w:t xml:space="preserve">24 months post-treatment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1"/>
              </w:rPr>
              <w:t>EBV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373 (34.6%)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undetectable (0 copies/mL)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303 (81.2%)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6.4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87.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0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87.3%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95.5%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Detectable (&gt;0 copies/mL)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70 (18.8%)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3.5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17.5%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7.1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val="en-US" w:eastAsia="zh-CN"/>
              </w:rPr>
              <w:t>3.0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tabs>
                <w:tab w:val="left" w:pos="847"/>
              </w:tabs>
              <w:spacing w:line="280" w:lineRule="exact"/>
              <w:ind w:firstLine="0" w:firstLineChars="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1"/>
              </w:rPr>
              <w:t xml:space="preserve">36 months post-treatment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1"/>
              </w:rPr>
              <w:t>EBV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197 (18.3%)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592" w:type="pct"/>
            <w:tcBorders>
              <w:top w:val="nil"/>
              <w:bottom w:val="nil"/>
            </w:tcBorders>
          </w:tcPr>
          <w:p>
            <w:pPr>
              <w:pStyle w:val="9"/>
              <w:spacing w:line="360" w:lineRule="auto"/>
              <w:ind w:firstLine="200" w:firstLineChars="10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---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1802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200" w:firstLineChars="1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undetectable (0 copies/mL)</w:t>
            </w:r>
          </w:p>
        </w:tc>
        <w:tc>
          <w:tcPr>
            <w:tcW w:w="823" w:type="pct"/>
            <w:tcBorders>
              <w:top w:val="nil"/>
              <w:bottom w:val="nil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170 (86.3%)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81.3%</w:t>
            </w:r>
          </w:p>
        </w:tc>
        <w:tc>
          <w:tcPr>
            <w:tcW w:w="607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91.5%</w:t>
            </w:r>
          </w:p>
        </w:tc>
        <w:tc>
          <w:tcPr>
            <w:tcW w:w="600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.0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ind w:firstLine="200" w:firstLineChars="10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---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802" w:type="pct"/>
            <w:tcBorders>
              <w:top w:val="nil"/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200" w:firstLineChars="10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Detectable (&gt;0 copies/mL)</w:t>
            </w:r>
          </w:p>
        </w:tc>
        <w:tc>
          <w:tcPr>
            <w:tcW w:w="823" w:type="pct"/>
            <w:tcBorders>
              <w:top w:val="nil"/>
              <w:bottom w:val="single" w:color="auto" w:sz="12" w:space="0"/>
            </w:tcBorders>
          </w:tcPr>
          <w:p>
            <w:pPr>
              <w:pStyle w:val="9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27 (13.7%)</w:t>
            </w:r>
          </w:p>
        </w:tc>
        <w:tc>
          <w:tcPr>
            <w:tcW w:w="576" w:type="pct"/>
            <w:tcBorders>
              <w:top w:val="nil"/>
              <w:bottom w:val="single" w:color="auto" w:sz="12" w:space="0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24.1%</w:t>
            </w:r>
          </w:p>
        </w:tc>
        <w:tc>
          <w:tcPr>
            <w:tcW w:w="607" w:type="pct"/>
            <w:tcBorders>
              <w:top w:val="nil"/>
              <w:bottom w:val="single" w:color="auto" w:sz="12" w:space="0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45.6%</w:t>
            </w:r>
          </w:p>
        </w:tc>
        <w:tc>
          <w:tcPr>
            <w:tcW w:w="600" w:type="pct"/>
            <w:tcBorders>
              <w:top w:val="nil"/>
              <w:bottom w:val="single" w:color="auto" w:sz="12" w:space="0"/>
            </w:tcBorders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71.3%</w:t>
            </w:r>
          </w:p>
        </w:tc>
        <w:tc>
          <w:tcPr>
            <w:tcW w:w="592" w:type="pct"/>
            <w:tcBorders>
              <w:top w:val="nil"/>
              <w:bottom w:val="single" w:color="auto" w:sz="12" w:space="0"/>
            </w:tcBorders>
          </w:tcPr>
          <w:p>
            <w:pPr>
              <w:pStyle w:val="9"/>
              <w:spacing w:line="360" w:lineRule="auto"/>
              <w:ind w:firstLine="200" w:firstLineChars="10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---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exact"/>
        </w:trPr>
        <w:tc>
          <w:tcPr>
            <w:tcW w:w="5000" w:type="pct"/>
            <w:gridSpan w:val="6"/>
            <w:tcBorders>
              <w:top w:val="single" w:color="auto" w:sz="12" w:space="0"/>
              <w:bottom w:val="nil"/>
            </w:tcBorders>
          </w:tcPr>
          <w:p>
            <w:pPr>
              <w:pStyle w:val="9"/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Abbreviations: PFS=p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shd w:val="clear" w:color="auto" w:fill="FFFFFF"/>
              </w:rPr>
              <w:t>rogression-free survival; DMFS=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distant metastasis-free survival; LRFS=locoregional relapse-free survival; OS=Overall survival.</w:t>
            </w:r>
          </w:p>
        </w:tc>
      </w:tr>
    </w:tbl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6D0B"/>
    <w:rsid w:val="001D6D0B"/>
    <w:rsid w:val="001E483B"/>
    <w:rsid w:val="00413BE9"/>
    <w:rsid w:val="00467FA0"/>
    <w:rsid w:val="004C6F01"/>
    <w:rsid w:val="008B4D2C"/>
    <w:rsid w:val="0090322B"/>
    <w:rsid w:val="009E6A9C"/>
    <w:rsid w:val="00AC5CB9"/>
    <w:rsid w:val="00AD78DC"/>
    <w:rsid w:val="00B8253B"/>
    <w:rsid w:val="00D15A79"/>
    <w:rsid w:val="302653EB"/>
    <w:rsid w:val="6846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uiPriority w:val="99"/>
    <w:rPr>
      <w:sz w:val="18"/>
      <w:szCs w:val="18"/>
    </w:rPr>
  </w:style>
  <w:style w:type="character" w:customStyle="1" w:styleId="8">
    <w:name w:val="Footer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1118</Characters>
  <Lines>9</Lines>
  <Paragraphs>2</Paragraphs>
  <TotalTime>60</TotalTime>
  <ScaleCrop>false</ScaleCrop>
  <LinksUpToDate>false</LinksUpToDate>
  <CharactersWithSpaces>1311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2020-04-22T19:41:00Z</dcterms:created>
  <dc:creator>ENT-z</dc:creator>
  <cp:lastModifiedBy>Lwx</cp:lastModifiedBy>
  <dcterms:modified xsi:type="dcterms:W3CDTF">2020-06-20T16:37:50Z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