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Plasma EBV DNA measurements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Plasma EBV DNA measurements were completed in the Laboratory Medicine Center of Nanfang Hospital, Southern Medical University. Venous blood samples (5 ml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/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each case) were collected before treatment and 3, 12, 24, and 36 months after treatment, placed in ethylenediaminetetraacetic acid (EDTA) tubes, and centrifuged at 1500×g for 5 min at 4°C. Plasma total DNA was extracted using the QIAamp blood kit (Qiagen, Hilden, Germany). The BamH I-W region of the EBV genome was amplified by real-time quantitative PCR (RT-qPCR) using an EBV RT-qPCR kit and primers 5′-GCTGCGCTGCTGCTATCTT-3′ (forward) and 5′-CAAGCCCACTCCCCTGTCT-3′ (reverse) according to the manufacturer’s instructions (Liferiver, Shanghai, China). The GAPDH gene was amplified as an internal control using the primers 5′-GGCGACGCAAAAGAAGATG-3′ (forward) and 5′-CCGTTGACTCCGACCTTCAC-3′ (reverse). PCR conditions were as follows: initial denaturation at 95°C for 10 minutes, followed by 40 cycles of denaturation at 95°C for 15 seconds and amplification at 56°C for 1 minute. The EBV DNA copy number was calculated according to the formula C = Q × (V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DNA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/V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PCR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 × (1/V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EXT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), where C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represent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ed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the target concentration in plasma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(copies/ml), Q meant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target quantity (copies)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detected by PCR, 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DNA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meant the DNA total volume obtained after extraction, 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 xml:space="preserve">PCR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meant the volume of the DNA solution </w:t>
      </w:r>
      <w:r>
        <w:rPr>
          <w:rFonts w:hint="eastAsia" w:ascii="Times New Roman" w:hAnsi="Times New Roman" w:eastAsia="宋体" w:cs="Times New Roman"/>
          <w:sz w:val="24"/>
        </w:rPr>
        <w:t>used for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PCR amplification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and V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EXT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meant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the volume of</w:t>
      </w:r>
      <w:r>
        <w:rPr>
          <w:rFonts w:hint="eastAsia" w:ascii="Times New Roman" w:hAnsi="Times New Roman" w:eastAsia="宋体" w:cs="Times New Roman"/>
          <w:sz w:val="24"/>
        </w:rPr>
        <w:t xml:space="preserve"> plasma extracted</w:t>
      </w:r>
      <w:r>
        <w:rPr>
          <w:rFonts w:ascii="Times New Roman" w:hAnsi="Times New Roman" w:eastAsia="宋体" w:cs="Times New Roman"/>
          <w:sz w:val="24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4660F"/>
    <w:rsid w:val="0EC4660F"/>
    <w:rsid w:val="18591A7D"/>
    <w:rsid w:val="4EA5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2020-06-20T16:47:00Z</dcterms:created>
  <dc:creator>Lwx</dc:creator>
  <cp:lastModifiedBy>Lwx</cp:lastModifiedBy>
  <dcterms:modified xsi:type="dcterms:W3CDTF">2020-06-20T16:55:39Z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