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255"/>
          <w:numId w:val="0"/>
        </w:numPr>
        <w:spacing w:line="360" w:lineRule="auto"/>
        <w:rPr>
          <w:rFonts w:ascii="Times New Roman" w:hAnsi="Times New Roman" w:eastAsia="宋体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The definition of the study endpoints</w:t>
      </w:r>
      <w:bookmarkStart w:id="0" w:name="_GoBack"/>
      <w:bookmarkEnd w:id="0"/>
    </w:p>
    <w:p>
      <w:r>
        <w:rPr>
          <w:rFonts w:ascii="Times New Roman" w:hAnsi="Times New Roman" w:eastAsia="宋体" w:cs="Times New Roman"/>
          <w:sz w:val="24"/>
        </w:rPr>
        <w:t>The primary study endpoint was progression-free survival (PFS), which was defined as the time from the initial pathological diagnosis of NPC to disease progression or death from any cause, whichever occurred first, or last follow-up visit. The secondary endpoints included distant metastasis-free survival (DMFS), locoregional relapse-free survival (LRFS), and overall survival (OS). DMFS was defined as the time from pathological diagnosis to distant metastasis detection, death, or last follow-up visit. LRFS was defined as the time from pathological diagnosis to relapse in nasopharynx or neck lymph nodes, death, or last follow-up visit. OS was defined as the time between initial pathological diagnosis of NPC and all-cause death or last follow-up visit.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822E41"/>
    <w:rsid w:val="1F822E41"/>
    <w:rsid w:val="264D0046"/>
    <w:rsid w:val="28692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2020-06-20T16:48:00Z</dcterms:created>
  <dc:creator>Lwx</dc:creator>
  <cp:lastModifiedBy>Lwx</cp:lastModifiedBy>
  <dcterms:modified xsi:type="dcterms:W3CDTF">2020-06-20T16:55:06Z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