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63B" w14:textId="77777777" w:rsidR="005D60B6" w:rsidRPr="0058537E" w:rsidRDefault="00F508E4">
      <w:pPr>
        <w:spacing w:after="202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Supplemental Information for</w:t>
      </w:r>
    </w:p>
    <w:p w14:paraId="2AF1BC9D" w14:textId="77777777" w:rsidR="007140F7" w:rsidRDefault="007140F7" w:rsidP="007140F7">
      <w:pPr>
        <w:pStyle w:val="StandardWeb"/>
        <w:spacing w:before="280" w:after="280" w:line="480" w:lineRule="auto"/>
        <w:jc w:val="center"/>
        <w:rPr>
          <w:rFonts w:asciiTheme="minorHAnsi" w:hAnsiTheme="minorHAnsi" w:cstheme="minorHAnsi"/>
          <w:b/>
          <w:bCs/>
        </w:rPr>
      </w:pPr>
    </w:p>
    <w:p w14:paraId="4C2FBE15" w14:textId="77777777" w:rsidR="00F508E4" w:rsidRPr="00813703" w:rsidRDefault="00F508E4" w:rsidP="00F508E4">
      <w:pPr>
        <w:pStyle w:val="StandardWeb"/>
        <w:spacing w:before="280" w:after="280" w:line="48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813703">
        <w:rPr>
          <w:rFonts w:asciiTheme="minorHAnsi" w:hAnsiTheme="minorHAnsi" w:cstheme="minorHAnsi"/>
          <w:b/>
          <w:bCs/>
        </w:rPr>
        <w:t xml:space="preserve">Neolithic humans and dogs - transient reservoirs for </w:t>
      </w:r>
      <w:r w:rsidRPr="00813703">
        <w:rPr>
          <w:rFonts w:asciiTheme="minorHAnsi" w:hAnsiTheme="minorHAnsi" w:cstheme="minorHAnsi"/>
          <w:b/>
          <w:bCs/>
          <w:i/>
          <w:iCs/>
        </w:rPr>
        <w:t>Yersinia pestis</w:t>
      </w:r>
    </w:p>
    <w:p w14:paraId="2284DE87" w14:textId="77777777" w:rsidR="00F508E4" w:rsidRPr="00CC4CB1" w:rsidRDefault="00F508E4" w:rsidP="00F508E4">
      <w:pPr>
        <w:spacing w:line="480" w:lineRule="auto"/>
        <w:jc w:val="both"/>
        <w:rPr>
          <w:rFonts w:asciiTheme="minorHAnsi" w:hAnsiTheme="minorHAnsi" w:cstheme="minorHAnsi"/>
        </w:rPr>
      </w:pPr>
    </w:p>
    <w:p w14:paraId="5E599C4F" w14:textId="77777777" w:rsidR="00F508E4" w:rsidRPr="00324CD4" w:rsidRDefault="00F508E4" w:rsidP="00F508E4">
      <w:pPr>
        <w:spacing w:line="480" w:lineRule="auto"/>
        <w:rPr>
          <w:rFonts w:asciiTheme="minorHAnsi" w:hAnsiTheme="minorHAnsi" w:cstheme="minorHAnsi"/>
          <w:vertAlign w:val="superscript"/>
        </w:rPr>
      </w:pPr>
      <w:r w:rsidRPr="00CC4CB1">
        <w:rPr>
          <w:rFonts w:asciiTheme="minorHAnsi" w:hAnsiTheme="minorHAnsi" w:cstheme="minorHAnsi"/>
        </w:rPr>
        <w:t>Julian Susat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</w:rPr>
        <w:t>, Magdalena Haller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</w:rPr>
        <w:t>, Joanna H. Bonczarowska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</w:rPr>
        <w:t>, Nicolas da Silva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</w:rPr>
        <w:t>, Kerstin Schierhold</w:t>
      </w:r>
      <w:r>
        <w:rPr>
          <w:rFonts w:asciiTheme="minorHAnsi" w:hAnsiTheme="minorHAnsi" w:cstheme="minorHAnsi"/>
          <w:vertAlign w:val="superscript"/>
        </w:rPr>
        <w:t>2</w:t>
      </w:r>
      <w:r w:rsidRPr="00CC4CB1">
        <w:rPr>
          <w:rFonts w:asciiTheme="minorHAnsi" w:hAnsiTheme="minorHAnsi" w:cstheme="minorHAnsi"/>
        </w:rPr>
        <w:t>, Michael M. Rind</w:t>
      </w:r>
      <w:r>
        <w:rPr>
          <w:rFonts w:asciiTheme="minorHAnsi" w:hAnsiTheme="minorHAnsi" w:cstheme="minorHAnsi"/>
          <w:vertAlign w:val="superscript"/>
        </w:rPr>
        <w:t>2</w:t>
      </w:r>
      <w:r w:rsidRPr="00CC4CB1">
        <w:rPr>
          <w:rFonts w:asciiTheme="minorHAnsi" w:hAnsiTheme="minorHAnsi" w:cstheme="minorHAnsi"/>
        </w:rPr>
        <w:t>, Ulrich Schmölcke</w:t>
      </w:r>
      <w:r>
        <w:rPr>
          <w:rFonts w:asciiTheme="minorHAnsi" w:hAnsiTheme="minorHAnsi" w:cstheme="minorHAnsi"/>
          <w:vertAlign w:val="superscript"/>
        </w:rPr>
        <w:t>3</w:t>
      </w:r>
      <w:r w:rsidRPr="00CC4CB1">
        <w:rPr>
          <w:rFonts w:asciiTheme="minorHAnsi" w:hAnsiTheme="minorHAnsi" w:cstheme="minorHAnsi"/>
        </w:rPr>
        <w:t>, Wiebke Kirleis</w:t>
      </w:r>
      <w:r>
        <w:rPr>
          <w:rFonts w:asciiTheme="minorHAnsi" w:hAnsiTheme="minorHAnsi" w:cstheme="minorHAnsi"/>
          <w:vertAlign w:val="superscript"/>
        </w:rPr>
        <w:t>4</w:t>
      </w:r>
      <w:r w:rsidRPr="00CC4CB1">
        <w:rPr>
          <w:rFonts w:asciiTheme="minorHAnsi" w:hAnsiTheme="minorHAnsi" w:cstheme="minorHAnsi"/>
        </w:rPr>
        <w:t>, Christoph Rinne</w:t>
      </w:r>
      <w:r>
        <w:rPr>
          <w:rFonts w:asciiTheme="minorHAnsi" w:hAnsiTheme="minorHAnsi" w:cstheme="minorHAnsi"/>
          <w:vertAlign w:val="superscript"/>
        </w:rPr>
        <w:t>4</w:t>
      </w:r>
      <w:r w:rsidRPr="00CC4CB1">
        <w:rPr>
          <w:rFonts w:asciiTheme="minorHAnsi" w:hAnsiTheme="minorHAnsi" w:cstheme="minorHAnsi"/>
        </w:rPr>
        <w:t>, Joha</w:t>
      </w:r>
      <w:r>
        <w:rPr>
          <w:rFonts w:asciiTheme="minorHAnsi" w:hAnsiTheme="minorHAnsi" w:cstheme="minorHAnsi"/>
        </w:rPr>
        <w:t>n</w:t>
      </w:r>
      <w:r w:rsidRPr="00CC4CB1">
        <w:rPr>
          <w:rFonts w:asciiTheme="minorHAnsi" w:hAnsiTheme="minorHAnsi" w:cstheme="minorHAnsi"/>
        </w:rPr>
        <w:t>nes Müller</w:t>
      </w:r>
      <w:r>
        <w:rPr>
          <w:rFonts w:asciiTheme="minorHAnsi" w:hAnsiTheme="minorHAnsi" w:cstheme="minorHAnsi"/>
          <w:vertAlign w:val="superscript"/>
        </w:rPr>
        <w:t>4</w:t>
      </w:r>
      <w:r w:rsidRPr="00CC4CB1">
        <w:rPr>
          <w:rFonts w:asciiTheme="minorHAnsi" w:hAnsiTheme="minorHAnsi" w:cstheme="minorHAnsi"/>
        </w:rPr>
        <w:t>, Almut Nebel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</w:rPr>
        <w:t>, Ben Krause-Kyora</w:t>
      </w:r>
      <w:r>
        <w:rPr>
          <w:rFonts w:asciiTheme="minorHAnsi" w:hAnsiTheme="minorHAnsi" w:cstheme="minorHAnsi"/>
          <w:vertAlign w:val="superscript"/>
        </w:rPr>
        <w:t>1</w:t>
      </w:r>
      <w:r w:rsidRPr="00CC4CB1">
        <w:rPr>
          <w:rFonts w:asciiTheme="minorHAnsi" w:hAnsiTheme="minorHAnsi" w:cstheme="minorHAnsi"/>
          <w:vertAlign w:val="superscript"/>
        </w:rPr>
        <w:t>*</w:t>
      </w:r>
    </w:p>
    <w:p w14:paraId="19B31983" w14:textId="77777777" w:rsidR="002122B8" w:rsidRPr="00CC4CB1" w:rsidRDefault="002122B8" w:rsidP="002122B8">
      <w:pPr>
        <w:spacing w:line="480" w:lineRule="auto"/>
        <w:jc w:val="both"/>
        <w:rPr>
          <w:rFonts w:asciiTheme="minorHAnsi" w:hAnsiTheme="minorHAnsi" w:cstheme="minorHAnsi"/>
        </w:rPr>
      </w:pPr>
    </w:p>
    <w:p w14:paraId="06E6699F" w14:textId="77777777" w:rsidR="002122B8" w:rsidRPr="00CC4CB1" w:rsidRDefault="002122B8" w:rsidP="002122B8">
      <w:pPr>
        <w:spacing w:line="480" w:lineRule="auto"/>
        <w:jc w:val="both"/>
        <w:rPr>
          <w:rFonts w:asciiTheme="minorHAnsi" w:hAnsiTheme="minorHAnsi" w:cstheme="minorHAnsi"/>
        </w:rPr>
      </w:pPr>
    </w:p>
    <w:p w14:paraId="3F14E5E1" w14:textId="1AC56B57" w:rsidR="002122B8" w:rsidRPr="00CC4CB1" w:rsidRDefault="008B678F" w:rsidP="002122B8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122B8" w:rsidRPr="00CC4CB1">
        <w:rPr>
          <w:rFonts w:asciiTheme="minorHAnsi" w:hAnsiTheme="minorHAnsi" w:cstheme="minorHAnsi"/>
          <w:color w:val="000000" w:themeColor="text1"/>
        </w:rPr>
        <w:t>Institute of Clinical Molecular Biology, Kiel University, Kiel, Germany</w:t>
      </w:r>
    </w:p>
    <w:p w14:paraId="1FC3B4B8" w14:textId="63D8B0DD" w:rsidR="002122B8" w:rsidRPr="002122B8" w:rsidRDefault="008B678F" w:rsidP="002122B8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lang w:val="de-DE"/>
        </w:rPr>
      </w:pPr>
      <w:r>
        <w:rPr>
          <w:rFonts w:asciiTheme="minorHAnsi" w:hAnsiTheme="minorHAnsi" w:cstheme="minorHAnsi"/>
          <w:color w:val="000000" w:themeColor="text1"/>
          <w:vertAlign w:val="superscript"/>
          <w:lang w:val="de-DE"/>
        </w:rPr>
        <w:t>2</w:t>
      </w:r>
      <w:r w:rsidR="002122B8" w:rsidRPr="002122B8">
        <w:rPr>
          <w:rFonts w:asciiTheme="minorHAnsi" w:hAnsiTheme="minorHAnsi" w:cstheme="minorHAnsi"/>
          <w:color w:val="000000" w:themeColor="text1"/>
          <w:highlight w:val="white"/>
          <w:lang w:val="de-DE"/>
        </w:rPr>
        <w:t>LWL-Archäologie für Westfalen, Münster, Germany</w:t>
      </w:r>
    </w:p>
    <w:p w14:paraId="31F8B15D" w14:textId="4F7E5007" w:rsidR="002122B8" w:rsidRPr="00CC4CB1" w:rsidRDefault="008B678F" w:rsidP="002122B8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122B8" w:rsidRPr="00CC4CB1">
        <w:rPr>
          <w:rFonts w:asciiTheme="minorHAnsi" w:hAnsiTheme="minorHAnsi" w:cstheme="minorHAnsi"/>
          <w:color w:val="000000" w:themeColor="text1"/>
        </w:rPr>
        <w:t>Centre for Baltic and Scandinavian Archaeology (ZBSA), Schloss Gottorf, Schleswig, Germany</w:t>
      </w:r>
    </w:p>
    <w:p w14:paraId="2CB9114E" w14:textId="5135E527" w:rsidR="002122B8" w:rsidRDefault="008B678F" w:rsidP="002122B8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2122B8" w:rsidRPr="00CC4CB1">
        <w:rPr>
          <w:rFonts w:asciiTheme="minorHAnsi" w:hAnsiTheme="minorHAnsi" w:cstheme="minorHAnsi"/>
          <w:color w:val="000000" w:themeColor="text1"/>
        </w:rPr>
        <w:t>Institute of Pre- and Protohistoric Archaeology, Kiel University, Kiel, Germany</w:t>
      </w:r>
    </w:p>
    <w:p w14:paraId="4D3BE49F" w14:textId="77777777" w:rsidR="0058537E" w:rsidRPr="0058537E" w:rsidRDefault="0058537E" w:rsidP="0058537E">
      <w:pPr>
        <w:rPr>
          <w:rFonts w:asciiTheme="minorHAnsi" w:hAnsiTheme="minorHAnsi" w:cstheme="minorHAnsi"/>
        </w:rPr>
      </w:pPr>
    </w:p>
    <w:p w14:paraId="0DBE765D" w14:textId="77777777" w:rsidR="0058537E" w:rsidRPr="0058537E" w:rsidRDefault="0058537E" w:rsidP="0058537E">
      <w:pPr>
        <w:rPr>
          <w:rFonts w:asciiTheme="minorHAnsi" w:hAnsiTheme="minorHAnsi" w:cstheme="minorHAnsi"/>
        </w:rPr>
      </w:pPr>
    </w:p>
    <w:p w14:paraId="06495571" w14:textId="5ECF9604" w:rsidR="005D60B6" w:rsidRDefault="0058537E" w:rsidP="0058537E">
      <w:pPr>
        <w:rPr>
          <w:rFonts w:ascii="Arial" w:hAnsi="Arial"/>
          <w:sz w:val="20"/>
          <w:szCs w:val="20"/>
        </w:rPr>
      </w:pPr>
      <w:r w:rsidRPr="0058537E">
        <w:rPr>
          <w:rFonts w:asciiTheme="minorHAnsi" w:hAnsiTheme="minorHAnsi" w:cstheme="minorHAnsi"/>
          <w:vertAlign w:val="superscript"/>
        </w:rPr>
        <w:t>*</w:t>
      </w:r>
      <w:r w:rsidRPr="0058537E">
        <w:rPr>
          <w:rFonts w:asciiTheme="minorHAnsi" w:hAnsiTheme="minorHAnsi" w:cstheme="minorHAnsi"/>
        </w:rPr>
        <w:t>Correspondence: b.krause-kyora@ikmb.uni-kiel.de</w:t>
      </w:r>
      <w:r>
        <w:br w:type="page"/>
      </w:r>
    </w:p>
    <w:p w14:paraId="465F8F4A" w14:textId="77777777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lastRenderedPageBreak/>
        <w:t xml:space="preserve">Table S4. </w:t>
      </w:r>
      <w:r w:rsidRPr="0058537E">
        <w:rPr>
          <w:rFonts w:asciiTheme="minorHAnsi" w:hAnsiTheme="minorHAnsi" w:cstheme="minorHAnsi"/>
        </w:rPr>
        <w:t xml:space="preserve">Mapping statistics for the </w:t>
      </w:r>
      <w:r w:rsidRPr="0058537E">
        <w:rPr>
          <w:rFonts w:asciiTheme="minorHAnsi" w:hAnsiTheme="minorHAnsi" w:cstheme="minorHAnsi"/>
          <w:i/>
          <w:iCs/>
        </w:rPr>
        <w:t>Y. pestis</w:t>
      </w:r>
      <w:r w:rsidRPr="0058537E">
        <w:rPr>
          <w:rFonts w:asciiTheme="minorHAnsi" w:hAnsiTheme="minorHAnsi" w:cstheme="minorHAnsi"/>
        </w:rPr>
        <w:t>-positive samples.</w:t>
      </w:r>
      <w:r w:rsidRPr="0058537E">
        <w:rPr>
          <w:rFonts w:asciiTheme="minorHAnsi" w:hAnsiTheme="minorHAnsi" w:cstheme="minorHAnsi"/>
          <w:b/>
          <w:bCs/>
        </w:rPr>
        <w:t xml:space="preserve"> </w:t>
      </w:r>
      <w:r w:rsidRPr="0058537E">
        <w:rPr>
          <w:rFonts w:asciiTheme="minorHAnsi" w:hAnsiTheme="minorHAnsi" w:cstheme="minorHAnsi"/>
        </w:rPr>
        <w:t>Overview of</w:t>
      </w:r>
      <w:r w:rsidRPr="0058537E">
        <w:rPr>
          <w:rFonts w:asciiTheme="minorHAnsi" w:hAnsiTheme="minorHAnsi" w:cstheme="minorHAnsi"/>
          <w:i/>
          <w:iCs/>
        </w:rPr>
        <w:t xml:space="preserve"> </w:t>
      </w:r>
      <w:r w:rsidRPr="0058537E">
        <w:rPr>
          <w:rFonts w:asciiTheme="minorHAnsi" w:hAnsiTheme="minorHAnsi" w:cstheme="minorHAnsi"/>
        </w:rPr>
        <w:t xml:space="preserve">statistics after mapping to the chromosome and plasmids of the </w:t>
      </w:r>
      <w:r w:rsidRPr="0058537E">
        <w:rPr>
          <w:rFonts w:asciiTheme="minorHAnsi" w:hAnsiTheme="minorHAnsi" w:cstheme="minorHAnsi"/>
          <w:i/>
          <w:iCs/>
        </w:rPr>
        <w:t>Y. pestis</w:t>
      </w:r>
      <w:r w:rsidRPr="0058537E">
        <w:rPr>
          <w:rFonts w:asciiTheme="minorHAnsi" w:hAnsiTheme="minorHAnsi" w:cstheme="minorHAnsi"/>
        </w:rPr>
        <w:t xml:space="preserve"> reference genome.</w:t>
      </w:r>
    </w:p>
    <w:tbl>
      <w:tblPr>
        <w:tblW w:w="961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38"/>
        <w:gridCol w:w="1881"/>
        <w:gridCol w:w="1093"/>
        <w:gridCol w:w="1079"/>
        <w:gridCol w:w="1162"/>
        <w:gridCol w:w="2665"/>
      </w:tblGrid>
      <w:tr w:rsidR="005D60B6" w:rsidRPr="0058537E" w14:paraId="23B67B6F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EF6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Sample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6DB5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Mapping reads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7513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Cov 1x (%)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15D8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Cov 2x (%)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F0C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Cov 3x (%)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A4F1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Mean coverage</w:t>
            </w:r>
          </w:p>
        </w:tc>
      </w:tr>
      <w:tr w:rsidR="005D60B6" w:rsidRPr="0058537E" w14:paraId="5816B7AD" w14:textId="77777777" w:rsidTr="002122B8">
        <w:tc>
          <w:tcPr>
            <w:tcW w:w="9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088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b/>
                <w:bCs/>
                <w:color w:val="000000" w:themeColor="text1"/>
                <w:lang w:val="de-DE"/>
              </w:rPr>
              <w:t>chromosome NC_003143.1</w:t>
            </w:r>
          </w:p>
        </w:tc>
      </w:tr>
      <w:tr w:rsidR="005D60B6" w:rsidRPr="0058537E" w14:paraId="04B051FC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595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25BE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340,021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C5A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89.45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C3DB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76.32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6BC5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58.09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3BC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3.22X</w:t>
            </w:r>
          </w:p>
        </w:tc>
      </w:tr>
      <w:tr w:rsidR="005D60B6" w:rsidRPr="0058537E" w14:paraId="3F353047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DA5B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BC8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3,090,021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7C3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94.84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D56E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94.68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C4E4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94.58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0FD4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28.89X</w:t>
            </w:r>
          </w:p>
        </w:tc>
      </w:tr>
      <w:tr w:rsidR="008B678F" w:rsidRPr="0058537E" w14:paraId="7BCA4F84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DBB9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C90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306F" w14:textId="1C7E1EBA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31,549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F47" w14:textId="5C61EC2D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8.42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6F2C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D6A8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C58B" w14:textId="43929395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0.31X</w:t>
            </w:r>
          </w:p>
        </w:tc>
      </w:tr>
      <w:tr w:rsidR="005D60B6" w:rsidRPr="0058537E" w14:paraId="52F8FDBA" w14:textId="77777777" w:rsidTr="002122B8">
        <w:tc>
          <w:tcPr>
            <w:tcW w:w="9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7C0F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b/>
                <w:bCs/>
                <w:color w:val="000000" w:themeColor="text1"/>
                <w:lang w:val="de-DE"/>
              </w:rPr>
              <w:t>pMT1 NC_003134.1</w:t>
            </w:r>
          </w:p>
        </w:tc>
      </w:tr>
      <w:tr w:rsidR="005D60B6" w:rsidRPr="0058537E" w14:paraId="3B46A757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DD7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0FB5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3,081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5AFD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57.52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534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33.57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D3E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16.49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866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1.5X</w:t>
            </w:r>
          </w:p>
        </w:tc>
      </w:tr>
      <w:tr w:rsidR="005D60B6" w:rsidRPr="0058537E" w14:paraId="0AE0351E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80B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74C1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38,137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DC64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74.55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BEB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73.04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33F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72.67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B8AB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17.03X</w:t>
            </w:r>
          </w:p>
        </w:tc>
      </w:tr>
      <w:tr w:rsidR="008B678F" w:rsidRPr="0058537E" w14:paraId="529B951F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6DD4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C90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451F" w14:textId="352166AE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187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6756" w14:textId="360534A2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6.04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4D79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DEEA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AD8C" w14:textId="058AC6BF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0.07X</w:t>
            </w:r>
          </w:p>
        </w:tc>
      </w:tr>
      <w:tr w:rsidR="005D60B6" w:rsidRPr="0058537E" w14:paraId="6EA274BE" w14:textId="77777777" w:rsidTr="002122B8">
        <w:tc>
          <w:tcPr>
            <w:tcW w:w="9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A81F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b/>
                <w:bCs/>
                <w:color w:val="000000" w:themeColor="text1"/>
                <w:lang w:val="de-DE"/>
              </w:rPr>
              <w:t>pPCP1 NC_003132.1</w:t>
            </w:r>
          </w:p>
        </w:tc>
      </w:tr>
      <w:tr w:rsidR="005D60B6" w:rsidRPr="0058537E" w14:paraId="3E5C0D49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81CD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7B26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2,347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4D4D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79.85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5D6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79.80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6833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79.67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4B50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11.34X</w:t>
            </w:r>
          </w:p>
        </w:tc>
      </w:tr>
      <w:tr w:rsidR="005D60B6" w:rsidRPr="0058537E" w14:paraId="29FA22CF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7F76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B8D2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25,344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19F1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80.28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2197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80.20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567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80.19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2A86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117.31X</w:t>
            </w:r>
          </w:p>
        </w:tc>
      </w:tr>
      <w:tr w:rsidR="008B678F" w:rsidRPr="0058537E" w14:paraId="668EFF38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27A7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C90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244E" w14:textId="3D147424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63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C13D" w14:textId="411F1E63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20.92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3993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6BFB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6323" w14:textId="0D7B097E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0.26X</w:t>
            </w:r>
          </w:p>
        </w:tc>
      </w:tr>
      <w:tr w:rsidR="005D60B6" w:rsidRPr="0058537E" w14:paraId="739F6D33" w14:textId="77777777" w:rsidTr="002122B8">
        <w:tc>
          <w:tcPr>
            <w:tcW w:w="9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E874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b/>
                <w:bCs/>
                <w:color w:val="000000" w:themeColor="text1"/>
                <w:lang w:val="de-DE"/>
              </w:rPr>
              <w:t>pCD1 NC_003131.1</w:t>
            </w:r>
          </w:p>
        </w:tc>
      </w:tr>
      <w:tr w:rsidR="005D60B6" w:rsidRPr="0058537E" w14:paraId="2E6FA330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2D2C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BD56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12,718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699A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92.14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1F39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90.62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A53A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88.44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5B8B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8.38X</w:t>
            </w:r>
          </w:p>
        </w:tc>
      </w:tr>
      <w:tr w:rsidR="005D60B6" w:rsidRPr="0058537E" w14:paraId="4129814C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2B0D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Warburg_2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578E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70,082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C784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92.86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E021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92.33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2F46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92.09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6FBE" w14:textId="77777777" w:rsidR="005D60B6" w:rsidRPr="0058537E" w:rsidRDefault="00F508E4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43.96X</w:t>
            </w:r>
          </w:p>
        </w:tc>
      </w:tr>
      <w:tr w:rsidR="008B678F" w:rsidRPr="0058537E" w14:paraId="50C9306E" w14:textId="77777777" w:rsidTr="002122B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2011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C90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15C1" w14:textId="3AA800EF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263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3E0A" w14:textId="4A402CB6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12.45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F6EC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E27" w14:textId="77777777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CFA9" w14:textId="6C185060" w:rsidR="008B678F" w:rsidRPr="0058537E" w:rsidRDefault="008B678F" w:rsidP="008B678F">
            <w:pPr>
              <w:widowControl w:val="0"/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8537E">
              <w:rPr>
                <w:rFonts w:asciiTheme="minorHAnsi" w:hAnsiTheme="minorHAnsi" w:cstheme="minorHAnsi"/>
                <w:color w:val="000000" w:themeColor="text1"/>
                <w:lang w:val="de-DE"/>
              </w:rPr>
              <w:t>0.14X</w:t>
            </w:r>
          </w:p>
        </w:tc>
      </w:tr>
    </w:tbl>
    <w:p w14:paraId="5153C1FA" w14:textId="77777777" w:rsidR="005D60B6" w:rsidRPr="0058537E" w:rsidRDefault="00F508E4">
      <w:pPr>
        <w:pStyle w:val="SMText"/>
        <w:ind w:firstLine="0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</w:rPr>
        <w:br w:type="page"/>
      </w:r>
    </w:p>
    <w:p w14:paraId="154581BE" w14:textId="77777777" w:rsidR="005D60B6" w:rsidRPr="0058537E" w:rsidRDefault="00F508E4">
      <w:pPr>
        <w:spacing w:line="360" w:lineRule="auto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E8C1291" wp14:editId="7EB117EB">
            <wp:extent cx="6141085" cy="1193165"/>
            <wp:effectExtent l="0" t="0" r="0" b="0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1B69" w14:textId="01F5260F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 xml:space="preserve">Figure S1. </w:t>
      </w:r>
      <w:r w:rsidRPr="0058537E">
        <w:rPr>
          <w:rFonts w:asciiTheme="minorHAnsi" w:hAnsiTheme="minorHAnsi" w:cstheme="minorHAnsi"/>
        </w:rPr>
        <w:t>Radiocarbon dating results for Warburg_1 (KIA-55519) and Warburg_2 (KIA-56332).</w:t>
      </w:r>
      <w:r w:rsidRPr="0058537E">
        <w:rPr>
          <w:rFonts w:asciiTheme="minorHAnsi" w:hAnsiTheme="minorHAnsi" w:cstheme="minorHAnsi"/>
        </w:rPr>
        <w:br w:type="page"/>
      </w:r>
    </w:p>
    <w:p w14:paraId="5B1B4643" w14:textId="2818265E" w:rsidR="005D60B6" w:rsidRPr="0058537E" w:rsidRDefault="005D60B6">
      <w:pPr>
        <w:spacing w:line="360" w:lineRule="auto"/>
        <w:rPr>
          <w:rFonts w:asciiTheme="minorHAnsi" w:hAnsiTheme="minorHAnsi" w:cstheme="minorHAnsi"/>
        </w:rPr>
      </w:pPr>
    </w:p>
    <w:p w14:paraId="40635E3E" w14:textId="34C1B982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Figure S2.</w:t>
      </w:r>
      <w:r w:rsidRPr="0058537E">
        <w:rPr>
          <w:rFonts w:asciiTheme="minorHAnsi" w:hAnsiTheme="minorHAnsi" w:cstheme="minorHAnsi"/>
        </w:rPr>
        <w:t xml:space="preserve"> Genomic ancestry components using unsupervised ADMIXTURE. For the two Warburg individuals (red), most models indicate two major genetic components: one maximized in Western hunter-gatherers (i.e., </w:t>
      </w:r>
      <w:proofErr w:type="spellStart"/>
      <w:r w:rsidRPr="0058537E">
        <w:rPr>
          <w:rFonts w:asciiTheme="minorHAnsi" w:hAnsiTheme="minorHAnsi" w:cstheme="minorHAnsi"/>
        </w:rPr>
        <w:t>Luxembourg_Loschbour</w:t>
      </w:r>
      <w:proofErr w:type="spellEnd"/>
      <w:r w:rsidRPr="0058537E">
        <w:rPr>
          <w:rFonts w:asciiTheme="minorHAnsi" w:hAnsiTheme="minorHAnsi" w:cstheme="minorHAnsi"/>
        </w:rPr>
        <w:t xml:space="preserve">) and the other in Anatolian farmers (i.e., </w:t>
      </w:r>
      <w:proofErr w:type="spellStart"/>
      <w:r w:rsidRPr="0058537E">
        <w:rPr>
          <w:rFonts w:asciiTheme="minorHAnsi" w:hAnsiTheme="minorHAnsi" w:cstheme="minorHAnsi"/>
        </w:rPr>
        <w:t>Turkey_N</w:t>
      </w:r>
      <w:proofErr w:type="spellEnd"/>
      <w:r w:rsidRPr="0058537E">
        <w:rPr>
          <w:rFonts w:asciiTheme="minorHAnsi" w:hAnsiTheme="minorHAnsi" w:cstheme="minorHAnsi"/>
        </w:rPr>
        <w:t>).</w:t>
      </w:r>
      <w:r w:rsidRPr="0058537E">
        <w:rPr>
          <w:rFonts w:asciiTheme="minorHAnsi" w:hAnsiTheme="minorHAnsi" w:cstheme="minorHAnsi"/>
        </w:rPr>
        <w:br w:type="page"/>
      </w:r>
    </w:p>
    <w:p w14:paraId="3F234B90" w14:textId="77777777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4102226" wp14:editId="59FAFFA5">
            <wp:extent cx="6118225" cy="5348605"/>
            <wp:effectExtent l="0" t="0" r="0" b="0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53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A163" w14:textId="5589097C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Figure S3.</w:t>
      </w:r>
      <w:r w:rsidRPr="0058537E">
        <w:rPr>
          <w:rFonts w:asciiTheme="minorHAnsi" w:hAnsiTheme="minorHAnsi" w:cstheme="minorHAnsi"/>
        </w:rPr>
        <w:t xml:space="preserve"> Principal component analysis of the individuals Warburg_1 and Warburg_2 buried in the WBC gallery graves of Warburg (red) in the context of 150 prehistoric populations, including </w:t>
      </w:r>
      <w:r>
        <w:rPr>
          <w:rFonts w:asciiTheme="minorHAnsi" w:hAnsiTheme="minorHAnsi" w:cstheme="minorHAnsi"/>
        </w:rPr>
        <w:t>individuals</w:t>
      </w:r>
      <w:r w:rsidRPr="0058537E">
        <w:rPr>
          <w:rFonts w:asciiTheme="minorHAnsi" w:hAnsiTheme="minorHAnsi" w:cstheme="minorHAnsi"/>
        </w:rPr>
        <w:t xml:space="preserve"> from the WBC gallery grave of </w:t>
      </w:r>
      <w:proofErr w:type="spellStart"/>
      <w:r w:rsidRPr="0058537E">
        <w:rPr>
          <w:rFonts w:asciiTheme="minorHAnsi" w:hAnsiTheme="minorHAnsi" w:cstheme="minorHAnsi"/>
        </w:rPr>
        <w:t>Niedertiefenbach</w:t>
      </w:r>
      <w:proofErr w:type="spellEnd"/>
      <w:r w:rsidRPr="0058537E">
        <w:rPr>
          <w:rFonts w:asciiTheme="minorHAnsi" w:hAnsiTheme="minorHAnsi" w:cstheme="minorHAnsi"/>
        </w:rPr>
        <w:t xml:space="preserve"> (blue stars).</w:t>
      </w:r>
      <w:r w:rsidRPr="0058537E">
        <w:rPr>
          <w:rFonts w:asciiTheme="minorHAnsi" w:hAnsiTheme="minorHAnsi" w:cstheme="minorHAnsi"/>
        </w:rPr>
        <w:br w:type="page"/>
      </w:r>
    </w:p>
    <w:p w14:paraId="273A3725" w14:textId="77777777" w:rsidR="005D60B6" w:rsidRPr="0058537E" w:rsidRDefault="00F508E4">
      <w:pPr>
        <w:spacing w:line="360" w:lineRule="auto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D2E46BE" wp14:editId="435CACC8">
            <wp:extent cx="6121400" cy="5685155"/>
            <wp:effectExtent l="0" t="0" r="0" b="0"/>
            <wp:docPr id="4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68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5AA8" w14:textId="39FC23C9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Figure S4.</w:t>
      </w:r>
      <w:r w:rsidRPr="0058537E">
        <w:rPr>
          <w:rFonts w:asciiTheme="minorHAnsi" w:hAnsiTheme="minorHAnsi" w:cstheme="minorHAnsi"/>
        </w:rPr>
        <w:t xml:space="preserve"> Damage plots supporting the ancient origin of</w:t>
      </w:r>
      <w:r w:rsidRPr="0058537E">
        <w:rPr>
          <w:rFonts w:asciiTheme="minorHAnsi" w:hAnsiTheme="minorHAnsi" w:cstheme="minorHAnsi"/>
          <w:i/>
          <w:iCs/>
        </w:rPr>
        <w:t xml:space="preserve"> Y. pestis</w:t>
      </w:r>
      <w:r w:rsidRPr="0058537E">
        <w:rPr>
          <w:rFonts w:asciiTheme="minorHAnsi" w:hAnsiTheme="minorHAnsi" w:cstheme="minorHAnsi"/>
        </w:rPr>
        <w:t xml:space="preserve"> reads for Warburg_1.</w:t>
      </w:r>
      <w:r w:rsidRPr="0058537E">
        <w:rPr>
          <w:rFonts w:asciiTheme="minorHAnsi" w:hAnsiTheme="minorHAnsi" w:cstheme="minorHAnsi"/>
        </w:rPr>
        <w:br w:type="page"/>
      </w:r>
    </w:p>
    <w:p w14:paraId="7B3CE586" w14:textId="18F59C74" w:rsidR="005D60B6" w:rsidRPr="0058537E" w:rsidRDefault="00F508E4">
      <w:pPr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555D529E" wp14:editId="783748B1">
            <wp:extent cx="6114415" cy="5671820"/>
            <wp:effectExtent l="0" t="0" r="0" b="0"/>
            <wp:docPr id="5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67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37E">
        <w:rPr>
          <w:rFonts w:asciiTheme="minorHAnsi" w:hAnsiTheme="minorHAnsi" w:cstheme="minorHAnsi"/>
          <w:b/>
          <w:bCs/>
        </w:rPr>
        <w:t xml:space="preserve">Figure S5. </w:t>
      </w:r>
      <w:r w:rsidRPr="0058537E">
        <w:rPr>
          <w:rFonts w:asciiTheme="minorHAnsi" w:hAnsiTheme="minorHAnsi" w:cstheme="minorHAnsi"/>
        </w:rPr>
        <w:t>Damage plots supporting the ancient origin of</w:t>
      </w:r>
      <w:r w:rsidRPr="0058537E">
        <w:rPr>
          <w:rFonts w:asciiTheme="minorHAnsi" w:hAnsiTheme="minorHAnsi" w:cstheme="minorHAnsi"/>
          <w:i/>
          <w:iCs/>
        </w:rPr>
        <w:t xml:space="preserve"> Y. pestis</w:t>
      </w:r>
      <w:r w:rsidRPr="0058537E">
        <w:rPr>
          <w:rFonts w:asciiTheme="minorHAnsi" w:hAnsiTheme="minorHAnsi" w:cstheme="minorHAnsi"/>
        </w:rPr>
        <w:t xml:space="preserve"> reads for Warburg_2.</w:t>
      </w:r>
    </w:p>
    <w:p w14:paraId="6A3E47AE" w14:textId="17ED38F6" w:rsidR="00C35930" w:rsidRDefault="00C359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AEFBCE" w14:textId="77777777" w:rsidR="005D60B6" w:rsidRPr="0058537E" w:rsidRDefault="005D60B6">
      <w:pPr>
        <w:spacing w:line="360" w:lineRule="auto"/>
        <w:jc w:val="both"/>
        <w:rPr>
          <w:rFonts w:asciiTheme="minorHAnsi" w:hAnsiTheme="minorHAnsi" w:cstheme="minorHAnsi"/>
        </w:rPr>
      </w:pPr>
    </w:p>
    <w:p w14:paraId="7250BDBE" w14:textId="640D33C5" w:rsidR="005D60B6" w:rsidRDefault="00F508E4">
      <w:pPr>
        <w:tabs>
          <w:tab w:val="left" w:pos="3323"/>
        </w:tabs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Figure S6.</w:t>
      </w:r>
      <w:r w:rsidRPr="0058537E">
        <w:rPr>
          <w:rFonts w:asciiTheme="minorHAnsi" w:hAnsiTheme="minorHAnsi" w:cstheme="minorHAnsi"/>
        </w:rPr>
        <w:t xml:space="preserve"> Visualization of virulence factors in ancient </w:t>
      </w:r>
      <w:r w:rsidRPr="0058537E">
        <w:rPr>
          <w:rFonts w:asciiTheme="minorHAnsi" w:hAnsiTheme="minorHAnsi" w:cstheme="minorHAnsi"/>
          <w:i/>
          <w:iCs/>
        </w:rPr>
        <w:t>Y. pestis</w:t>
      </w:r>
      <w:r w:rsidRPr="0058537E">
        <w:rPr>
          <w:rFonts w:asciiTheme="minorHAnsi" w:hAnsiTheme="minorHAnsi" w:cstheme="minorHAnsi"/>
        </w:rPr>
        <w:t xml:space="preserve"> strains. Heatmap shows the presence or absence of 159 virulence factors on the chromosome (n=115) and the plasmids pCD1 (n=37), pMT1 (n=6) and pPCP1 (n=1). Genomes are sorted according to their placement in the phylogenetic tree.</w:t>
      </w:r>
    </w:p>
    <w:p w14:paraId="6987FBFC" w14:textId="20DAD036" w:rsidR="00C35930" w:rsidRDefault="00C35930">
      <w:pPr>
        <w:tabs>
          <w:tab w:val="left" w:pos="3323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5725D0C" w14:textId="0F683608" w:rsidR="00C35930" w:rsidRDefault="00C359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983A21B" w14:textId="0B36385F" w:rsidR="00C35930" w:rsidRDefault="007140F7">
      <w:pPr>
        <w:tabs>
          <w:tab w:val="left" w:pos="3323"/>
        </w:tabs>
        <w:spacing w:line="360" w:lineRule="auto"/>
        <w:jc w:val="both"/>
        <w:rPr>
          <w:rFonts w:asciiTheme="minorHAnsi" w:hAnsiTheme="minorHAnsi" w:cstheme="minorHAnsi"/>
        </w:rPr>
      </w:pPr>
      <w:r w:rsidRPr="007140F7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3A1D45BE" wp14:editId="7D046B62">
            <wp:extent cx="6004560" cy="5596189"/>
            <wp:effectExtent l="0" t="0" r="254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3136" cy="560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F19C" w14:textId="50338D72" w:rsidR="00C35930" w:rsidRDefault="00C35930">
      <w:pPr>
        <w:tabs>
          <w:tab w:val="left" w:pos="3323"/>
        </w:tabs>
        <w:spacing w:line="360" w:lineRule="auto"/>
        <w:jc w:val="both"/>
        <w:rPr>
          <w:rFonts w:asciiTheme="minorHAnsi" w:hAnsiTheme="minorHAnsi" w:cstheme="minorHAnsi"/>
        </w:rPr>
      </w:pPr>
      <w:r w:rsidRPr="0058537E">
        <w:rPr>
          <w:rFonts w:asciiTheme="minorHAnsi" w:hAnsiTheme="minorHAnsi" w:cstheme="minorHAnsi"/>
          <w:b/>
          <w:bCs/>
        </w:rPr>
        <w:t>Figure S</w:t>
      </w:r>
      <w:r>
        <w:rPr>
          <w:rFonts w:asciiTheme="minorHAnsi" w:hAnsiTheme="minorHAnsi" w:cstheme="minorHAnsi"/>
          <w:b/>
          <w:bCs/>
        </w:rPr>
        <w:t>7</w:t>
      </w:r>
      <w:r w:rsidRPr="0058537E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C35930">
        <w:rPr>
          <w:rFonts w:asciiTheme="minorHAnsi" w:hAnsiTheme="minorHAnsi" w:cstheme="minorHAnsi"/>
        </w:rPr>
        <w:t xml:space="preserve">SNP distance matrix of LNBA and LN strains based on the </w:t>
      </w:r>
      <w:proofErr w:type="spellStart"/>
      <w:r w:rsidRPr="00C35930">
        <w:rPr>
          <w:rFonts w:asciiTheme="minorHAnsi" w:hAnsiTheme="minorHAnsi" w:cstheme="minorHAnsi"/>
        </w:rPr>
        <w:t>Fasta</w:t>
      </w:r>
      <w:proofErr w:type="spellEnd"/>
      <w:r w:rsidRPr="00C35930">
        <w:rPr>
          <w:rFonts w:asciiTheme="minorHAnsi" w:hAnsiTheme="minorHAnsi" w:cstheme="minorHAnsi"/>
        </w:rPr>
        <w:t xml:space="preserve"> alignments.</w:t>
      </w:r>
    </w:p>
    <w:p w14:paraId="453B882D" w14:textId="60EF0E34" w:rsidR="00817856" w:rsidRPr="0058537E" w:rsidRDefault="00817856" w:rsidP="008B678F">
      <w:pPr>
        <w:rPr>
          <w:rFonts w:asciiTheme="minorHAnsi" w:hAnsiTheme="minorHAnsi" w:cstheme="minorHAnsi"/>
        </w:rPr>
      </w:pPr>
    </w:p>
    <w:sectPr w:rsidR="00817856" w:rsidRPr="0058537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B6"/>
    <w:rsid w:val="002122B8"/>
    <w:rsid w:val="00366BF2"/>
    <w:rsid w:val="0058537E"/>
    <w:rsid w:val="005D60B6"/>
    <w:rsid w:val="00700A07"/>
    <w:rsid w:val="007140F7"/>
    <w:rsid w:val="00813703"/>
    <w:rsid w:val="00817856"/>
    <w:rsid w:val="008B678F"/>
    <w:rsid w:val="00BB19C0"/>
    <w:rsid w:val="00C35930"/>
    <w:rsid w:val="00F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244F"/>
  <w15:docId w15:val="{40F58D24-63BA-B24F-BB93-FD6A75FD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oto Serif CJK SC" w:hAnsi="Calibri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neNumbering">
    <w:name w:val="Line Numbering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MText">
    <w:name w:val="SM Text"/>
    <w:basedOn w:val="Standard"/>
    <w:qFormat/>
    <w:pPr>
      <w:ind w:firstLine="480"/>
    </w:pPr>
  </w:style>
  <w:style w:type="paragraph" w:styleId="StandardWeb">
    <w:name w:val="Normal (Web)"/>
    <w:basedOn w:val="Standard"/>
    <w:uiPriority w:val="99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Haller</dc:creator>
  <dc:description/>
  <cp:lastModifiedBy>Ben Krause-Kyora</cp:lastModifiedBy>
  <cp:revision>2</cp:revision>
  <dcterms:created xsi:type="dcterms:W3CDTF">2023-12-11T13:56:00Z</dcterms:created>
  <dcterms:modified xsi:type="dcterms:W3CDTF">2023-12-11T13:56:00Z</dcterms:modified>
  <dc:language>en-US</dc:language>
</cp:coreProperties>
</file>