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4A82" w:rsidRDefault="00CE416E">
      <w:pPr>
        <w:shd w:val="clear" w:color="auto" w:fill="FFFFFF"/>
        <w:spacing w:after="288"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Mapping the race between crop's phenology and climate risks; a case-study for wheat in France under climate change conditions.</w:t>
      </w:r>
    </w:p>
    <w:p w:rsidR="00954A82" w:rsidRDefault="00CE416E">
      <w:pPr>
        <w:shd w:val="clear" w:color="auto" w:fill="FFFFFF"/>
        <w:spacing w:after="288"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Author list:</w:t>
      </w:r>
    </w:p>
    <w:p w:rsidR="00954A82" w:rsidRDefault="00CE416E">
      <w:pPr>
        <w:shd w:val="clear" w:color="auto" w:fill="FFFFFF"/>
        <w:spacing w:after="288"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Renan Le Roux</w:t>
      </w:r>
      <w:r>
        <w:rPr>
          <w:rFonts w:ascii="Times New Roman" w:eastAsia="Times New Roman" w:hAnsi="Times New Roman" w:cs="Times New Roman"/>
          <w:color w:val="000000"/>
          <w:vertAlign w:val="superscript"/>
        </w:rPr>
        <w:footnoteReference w:id="1"/>
      </w:r>
      <w:r>
        <w:rPr>
          <w:rFonts w:ascii="Times New Roman" w:eastAsia="Times New Roman" w:hAnsi="Times New Roman" w:cs="Times New Roman"/>
          <w:color w:val="000000"/>
        </w:rPr>
        <w:t>*, Alexis Durand</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Jean-Charles </w:t>
      </w:r>
      <w:proofErr w:type="spellStart"/>
      <w:r>
        <w:rPr>
          <w:rFonts w:ascii="Times New Roman" w:eastAsia="Times New Roman" w:hAnsi="Times New Roman" w:cs="Times New Roman"/>
          <w:color w:val="000000"/>
        </w:rPr>
        <w:t>Deswarte</w:t>
      </w:r>
      <w:proofErr w:type="spellEnd"/>
      <w:r>
        <w:rPr>
          <w:rFonts w:ascii="Times New Roman" w:eastAsia="Times New Roman" w:hAnsi="Times New Roman" w:cs="Times New Roman"/>
          <w:color w:val="000000"/>
          <w:vertAlign w:val="superscript"/>
        </w:rPr>
        <w:footnoteReference w:id="2"/>
      </w:r>
      <w:r>
        <w:rPr>
          <w:rFonts w:ascii="Times New Roman" w:eastAsia="Times New Roman" w:hAnsi="Times New Roman" w:cs="Times New Roman"/>
          <w:color w:val="000000"/>
        </w:rPr>
        <w:t>, Marie-Odile Bancal</w:t>
      </w:r>
      <w:r>
        <w:rPr>
          <w:rFonts w:ascii="Times New Roman" w:eastAsia="Times New Roman" w:hAnsi="Times New Roman" w:cs="Times New Roman"/>
          <w:color w:val="000000"/>
          <w:vertAlign w:val="superscript"/>
        </w:rPr>
        <w:footnoteReference w:id="3"/>
      </w:r>
      <w:r>
        <w:rPr>
          <w:rFonts w:ascii="Times New Roman" w:eastAsia="Times New Roman" w:hAnsi="Times New Roman" w:cs="Times New Roman"/>
          <w:color w:val="000000"/>
        </w:rPr>
        <w:t>, Karine Chenu</w:t>
      </w:r>
      <w:r>
        <w:rPr>
          <w:rFonts w:ascii="Times New Roman" w:eastAsia="Times New Roman" w:hAnsi="Times New Roman" w:cs="Times New Roman"/>
          <w:color w:val="000000"/>
          <w:vertAlign w:val="superscript"/>
        </w:rPr>
        <w:footnoteReference w:id="4"/>
      </w:r>
      <w:r>
        <w:rPr>
          <w:rFonts w:ascii="Times New Roman" w:eastAsia="Times New Roman" w:hAnsi="Times New Roman" w:cs="Times New Roman"/>
          <w:color w:val="000000"/>
        </w:rPr>
        <w:t>, Nathalie de Noblet-Ducoudré</w:t>
      </w:r>
      <w:r>
        <w:rPr>
          <w:rFonts w:ascii="Times New Roman" w:eastAsia="Times New Roman" w:hAnsi="Times New Roman" w:cs="Times New Roman"/>
          <w:color w:val="000000"/>
          <w:vertAlign w:val="superscript"/>
        </w:rPr>
        <w:footnoteReference w:id="5"/>
      </w:r>
      <w:r>
        <w:rPr>
          <w:rFonts w:ascii="Times New Roman" w:eastAsia="Times New Roman" w:hAnsi="Times New Roman" w:cs="Times New Roman"/>
          <w:color w:val="000000"/>
        </w:rPr>
        <w:t>, Burak Bulut</w:t>
      </w:r>
      <w:r>
        <w:rPr>
          <w:rFonts w:ascii="Times New Roman" w:eastAsia="Times New Roman" w:hAnsi="Times New Roman" w:cs="Times New Roman"/>
          <w:color w:val="000000"/>
          <w:vertAlign w:val="superscript"/>
        </w:rPr>
        <w:t>5</w:t>
      </w:r>
      <w:r>
        <w:rPr>
          <w:rFonts w:ascii="Times New Roman" w:eastAsia="Times New Roman" w:hAnsi="Times New Roman" w:cs="Times New Roman"/>
          <w:color w:val="000000"/>
        </w:rPr>
        <w:t>, Carina Furusho-Percot</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Iñaki</w:t>
      </w:r>
      <w:proofErr w:type="spellEnd"/>
      <w:r>
        <w:rPr>
          <w:rFonts w:ascii="Times New Roman" w:eastAsia="Times New Roman" w:hAnsi="Times New Roman" w:cs="Times New Roman"/>
          <w:color w:val="000000"/>
        </w:rPr>
        <w:t xml:space="preserve"> García de </w:t>
      </w:r>
      <w:r>
        <w:rPr>
          <w:rFonts w:ascii="Times New Roman" w:eastAsia="Times New Roman" w:hAnsi="Times New Roman" w:cs="Times New Roman"/>
        </w:rPr>
        <w:t>Cortázar</w:t>
      </w:r>
      <w:r>
        <w:rPr>
          <w:rFonts w:ascii="Times New Roman" w:eastAsia="Times New Roman" w:hAnsi="Times New Roman" w:cs="Times New Roman"/>
          <w:color w:val="000000"/>
        </w:rPr>
        <w:t>-Atauri</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Olivier Maury</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Jérémie</w:t>
      </w:r>
      <w:proofErr w:type="spellEnd"/>
      <w:r>
        <w:rPr>
          <w:rFonts w:ascii="Times New Roman" w:eastAsia="Times New Roman" w:hAnsi="Times New Roman" w:cs="Times New Roman"/>
          <w:color w:val="000000"/>
        </w:rPr>
        <w:t xml:space="preserve"> Décome</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Marie Launay</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w:t>
      </w:r>
    </w:p>
    <w:p w:rsidR="000D7AC3" w:rsidRDefault="00CE416E">
      <w:pPr>
        <w:shd w:val="clear" w:color="auto" w:fill="FFFFFF"/>
        <w:spacing w:after="288" w:line="480" w:lineRule="auto"/>
        <w:rPr>
          <w:rFonts w:ascii="Times New Roman" w:eastAsia="Times New Roman" w:hAnsi="Times New Roman" w:cs="Times New Roman"/>
          <w:color w:val="000000"/>
        </w:rPr>
      </w:pPr>
      <w:bookmarkStart w:id="0" w:name="_heading=h.gjdgxs" w:colFirst="0" w:colLast="0"/>
      <w:bookmarkEnd w:id="0"/>
      <w:r>
        <w:rPr>
          <w:rFonts w:ascii="Times New Roman" w:eastAsia="Times New Roman" w:hAnsi="Times New Roman" w:cs="Times New Roman"/>
          <w:color w:val="000000"/>
        </w:rPr>
        <w:t>* Corresponding authors: Le Roux, R. (</w:t>
      </w:r>
      <w:hyperlink r:id="rId7">
        <w:r>
          <w:rPr>
            <w:rFonts w:ascii="Times New Roman" w:eastAsia="Times New Roman" w:hAnsi="Times New Roman" w:cs="Times New Roman"/>
            <w:color w:val="1155CC"/>
            <w:u w:val="single"/>
          </w:rPr>
          <w:t>renan.le-roux@inrae.fr</w:t>
        </w:r>
      </w:hyperlink>
      <w:r>
        <w:rPr>
          <w:rFonts w:ascii="Times New Roman" w:eastAsia="Times New Roman" w:hAnsi="Times New Roman" w:cs="Times New Roman"/>
          <w:color w:val="000000"/>
        </w:rPr>
        <w:t>,</w:t>
      </w:r>
      <w:r>
        <w:rPr>
          <w:rFonts w:ascii="Times New Roman" w:eastAsia="Times New Roman" w:hAnsi="Times New Roman" w:cs="Times New Roman"/>
        </w:rPr>
        <w:t xml:space="preserve">ORCID </w:t>
      </w:r>
      <w:proofErr w:type="spellStart"/>
      <w:r>
        <w:rPr>
          <w:rFonts w:ascii="Times New Roman" w:eastAsia="Times New Roman" w:hAnsi="Times New Roman" w:cs="Times New Roman"/>
        </w:rPr>
        <w:t>iD</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0000-0001-7778-1878</w:t>
      </w:r>
      <w:r>
        <w:rPr>
          <w:rFonts w:ascii="Times New Roman" w:eastAsia="Times New Roman" w:hAnsi="Times New Roman" w:cs="Times New Roman"/>
          <w:color w:val="000000"/>
        </w:rPr>
        <w:t>)  &amp; Launay M. (</w:t>
      </w:r>
      <w:hyperlink r:id="rId8">
        <w:r>
          <w:rPr>
            <w:rFonts w:ascii="Times New Roman" w:eastAsia="Times New Roman" w:hAnsi="Times New Roman" w:cs="Times New Roman"/>
            <w:color w:val="0563C1"/>
            <w:u w:val="single"/>
          </w:rPr>
          <w:t>marie.launay@inrae.fr</w:t>
        </w:r>
      </w:hyperlink>
      <w:r>
        <w:rPr>
          <w:rFonts w:ascii="Times New Roman" w:eastAsia="Times New Roman" w:hAnsi="Times New Roman" w:cs="Times New Roman"/>
        </w:rPr>
        <w:t xml:space="preserve">; ORCID </w:t>
      </w:r>
      <w:proofErr w:type="spellStart"/>
      <w:r>
        <w:rPr>
          <w:rFonts w:ascii="Times New Roman" w:eastAsia="Times New Roman" w:hAnsi="Times New Roman" w:cs="Times New Roman"/>
        </w:rPr>
        <w:t>iD</w:t>
      </w:r>
      <w:proofErr w:type="spellEnd"/>
      <w:r>
        <w:rPr>
          <w:rFonts w:ascii="Times New Roman" w:eastAsia="Times New Roman" w:hAnsi="Times New Roman" w:cs="Times New Roman"/>
        </w:rPr>
        <w:t xml:space="preserve"> 0000-0003-4067-3907</w:t>
      </w:r>
      <w:r>
        <w:rPr>
          <w:rFonts w:ascii="Times New Roman" w:eastAsia="Times New Roman" w:hAnsi="Times New Roman" w:cs="Times New Roman"/>
          <w:color w:val="000000"/>
        </w:rPr>
        <w:t>)</w:t>
      </w:r>
    </w:p>
    <w:p w:rsidR="00954A82" w:rsidRDefault="00CE416E">
      <w:pPr>
        <w:shd w:val="clear" w:color="auto" w:fill="FFFFFF"/>
        <w:spacing w:after="288" w:line="480" w:lineRule="auto"/>
        <w:rPr>
          <w:rFonts w:ascii="Times New Roman" w:eastAsia="Times New Roman" w:hAnsi="Times New Roman" w:cs="Times New Roman"/>
          <w:color w:val="000000"/>
        </w:rPr>
      </w:pPr>
      <w:r>
        <w:br w:type="page"/>
      </w:r>
    </w:p>
    <w:p w:rsidR="008C7DA7" w:rsidRDefault="008C7DA7" w:rsidP="008C7DA7">
      <w:pP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b/>
        </w:rPr>
        <w:lastRenderedPageBreak/>
        <w:t xml:space="preserve">Figure </w:t>
      </w:r>
      <w:r w:rsidR="00DF3FAD">
        <w:rPr>
          <w:rFonts w:ascii="Times New Roman" w:eastAsia="Times New Roman" w:hAnsi="Times New Roman" w:cs="Times New Roman"/>
          <w:b/>
        </w:rPr>
        <w:t>S</w:t>
      </w:r>
      <w:r>
        <w:rPr>
          <w:rFonts w:ascii="Times New Roman" w:eastAsia="Times New Roman" w:hAnsi="Times New Roman" w:cs="Times New Roman"/>
          <w:b/>
        </w:rPr>
        <w:t xml:space="preserve">1. </w:t>
      </w:r>
      <w:r>
        <w:rPr>
          <w:rFonts w:ascii="Times New Roman" w:eastAsia="Times New Roman" w:hAnsi="Times New Roman" w:cs="Times New Roman"/>
        </w:rPr>
        <w:t>Normalization functions</w:t>
      </w:r>
      <w:r>
        <w:rPr>
          <w:rFonts w:ascii="Times New Roman" w:eastAsia="Times New Roman" w:hAnsi="Times New Roman" w:cs="Times New Roman"/>
          <w:color w:val="000000"/>
        </w:rPr>
        <w:t>: (a) Modified exponential (shown here with the specific coefficients applied for the indicator of the number of days with very cold temperatures leading to mortality between emergence and ear 1 cm stages), (b) Inverse sigmoid (shown here with the specific coefficients applied for the indicator of heat days damaging grain filling between anthesis and grain maturity), (c) Sigmoid (shown here with the specific coefficients applied for the indicator of vernalizing days between emergence and ear 1 cm stages)</w:t>
      </w:r>
    </w:p>
    <w:p w:rsidR="00954A82" w:rsidRDefault="00CE416E">
      <w:pP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954A82" w:rsidRDefault="00CE416E">
      <w:pP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extent cx="5868000" cy="1432800"/>
            <wp:effectExtent l="0" t="0" r="0" b="0"/>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868000" cy="1432800"/>
                    </a:xfrm>
                    <a:prstGeom prst="rect">
                      <a:avLst/>
                    </a:prstGeom>
                    <a:ln/>
                  </pic:spPr>
                </pic:pic>
              </a:graphicData>
            </a:graphic>
          </wp:inline>
        </w:drawing>
      </w:r>
    </w:p>
    <w:p w:rsidR="00954A82" w:rsidRDefault="00954A82">
      <w:pPr>
        <w:spacing w:line="480" w:lineRule="auto"/>
        <w:jc w:val="both"/>
        <w:rPr>
          <w:rFonts w:ascii="Times New Roman" w:eastAsia="Times New Roman" w:hAnsi="Times New Roman" w:cs="Times New Roman"/>
          <w:color w:val="000000"/>
        </w:rPr>
      </w:pPr>
    </w:p>
    <w:p w:rsidR="00954A82" w:rsidRDefault="00CE416E">
      <w:pP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Sigmoid function:</w:t>
      </w:r>
    </w:p>
    <w:p w:rsidR="00954A82" w:rsidRDefault="00CE416E">
      <w:pPr>
        <w:jc w:val="center"/>
        <w:rPr>
          <w:rFonts w:ascii="Times New Roman" w:eastAsia="Times New Roman" w:hAnsi="Times New Roman" w:cs="Times New Roman"/>
          <w:color w:val="000000"/>
        </w:rPr>
      </w:pPr>
      <m:oMathPara>
        <m:oMath>
          <m:r>
            <w:rPr>
              <w:rFonts w:ascii="Times New Roman" w:eastAsia="Times New Roman" w:hAnsi="Times New Roman" w:cs="Times New Roman"/>
              <w:color w:val="000000"/>
            </w:rPr>
            <m:t>y=</m:t>
          </m:r>
          <m:f>
            <m:fPr>
              <m:ctrlPr>
                <w:rPr>
                  <w:rFonts w:ascii="Times New Roman" w:eastAsia="Times New Roman" w:hAnsi="Times New Roman" w:cs="Times New Roman"/>
                  <w:color w:val="000000"/>
                </w:rPr>
              </m:ctrlPr>
            </m:fPr>
            <m:num>
              <m:r>
                <w:rPr>
                  <w:rFonts w:ascii="Times New Roman" w:eastAsia="Times New Roman" w:hAnsi="Times New Roman" w:cs="Times New Roman"/>
                  <w:color w:val="000000"/>
                </w:rPr>
                <m:t>1</m:t>
              </m:r>
            </m:num>
            <m:den>
              <m:r>
                <w:rPr>
                  <w:rFonts w:ascii="Times New Roman" w:eastAsia="Times New Roman" w:hAnsi="Times New Roman" w:cs="Times New Roman"/>
                  <w:color w:val="000000"/>
                </w:rPr>
                <m:t>1+</m:t>
              </m:r>
              <m:sSup>
                <m:sSupPr>
                  <m:ctrlPr>
                    <w:rPr>
                      <w:rFonts w:ascii="Times New Roman" w:eastAsia="Times New Roman" w:hAnsi="Times New Roman" w:cs="Times New Roman"/>
                      <w:color w:val="000000"/>
                    </w:rPr>
                  </m:ctrlPr>
                </m:sSupPr>
                <m:e>
                  <m:r>
                    <w:rPr>
                      <w:rFonts w:ascii="Times New Roman" w:eastAsia="Times New Roman" w:hAnsi="Times New Roman" w:cs="Times New Roman"/>
                      <w:color w:val="000000"/>
                    </w:rPr>
                    <m:t>e</m:t>
                  </m:r>
                </m:e>
                <m:sup>
                  <m:f>
                    <m:fPr>
                      <m:ctrlPr>
                        <w:rPr>
                          <w:rFonts w:ascii="Times New Roman" w:eastAsia="Times New Roman" w:hAnsi="Times New Roman" w:cs="Times New Roman"/>
                          <w:color w:val="000000"/>
                        </w:rPr>
                      </m:ctrlPr>
                    </m:fPr>
                    <m:num>
                      <m:d>
                        <m:dPr>
                          <m:ctrlPr>
                            <w:rPr>
                              <w:rFonts w:ascii="Times New Roman" w:eastAsia="Times New Roman" w:hAnsi="Times New Roman" w:cs="Times New Roman"/>
                              <w:color w:val="000000"/>
                            </w:rPr>
                          </m:ctrlPr>
                        </m:dPr>
                        <m:e>
                          <m:r>
                            <w:rPr>
                              <w:rFonts w:ascii="Times New Roman" w:eastAsia="Times New Roman" w:hAnsi="Times New Roman" w:cs="Times New Roman"/>
                              <w:color w:val="000000"/>
                            </w:rPr>
                            <m:t>a-x</m:t>
                          </m:r>
                        </m:e>
                      </m:d>
                    </m:num>
                    <m:den>
                      <m:r>
                        <w:rPr>
                          <w:rFonts w:ascii="Times New Roman" w:eastAsia="Times New Roman" w:hAnsi="Times New Roman" w:cs="Times New Roman"/>
                          <w:color w:val="000000"/>
                        </w:rPr>
                        <m:t>b</m:t>
                      </m:r>
                    </m:den>
                  </m:f>
                </m:sup>
              </m:sSup>
              <m:r>
                <w:rPr>
                  <w:rFonts w:ascii="Times New Roman" w:eastAsia="Times New Roman" w:hAnsi="Times New Roman" w:cs="Times New Roman"/>
                  <w:color w:val="000000"/>
                </w:rPr>
                <m:t>⁡</m:t>
              </m:r>
            </m:den>
          </m:f>
        </m:oMath>
      </m:oMathPara>
    </w:p>
    <w:p w:rsidR="00954A82" w:rsidRDefault="00954A82">
      <w:pPr>
        <w:spacing w:line="480" w:lineRule="auto"/>
        <w:jc w:val="both"/>
        <w:rPr>
          <w:rFonts w:ascii="Times New Roman" w:eastAsia="Times New Roman" w:hAnsi="Times New Roman" w:cs="Times New Roman"/>
          <w:color w:val="000000"/>
        </w:rPr>
      </w:pPr>
    </w:p>
    <w:p w:rsidR="00954A82" w:rsidRDefault="00CE416E">
      <w:pP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Modified exponential function:</w:t>
      </w:r>
    </w:p>
    <w:p w:rsidR="00954A82" w:rsidRDefault="00CE416E">
      <w:pPr>
        <w:jc w:val="center"/>
        <w:rPr>
          <w:rFonts w:ascii="Times New Roman" w:eastAsia="Times New Roman" w:hAnsi="Times New Roman" w:cs="Times New Roman"/>
          <w:color w:val="000000"/>
        </w:rPr>
      </w:pPr>
      <m:oMathPara>
        <m:oMath>
          <m:r>
            <w:rPr>
              <w:rFonts w:ascii="Times New Roman" w:eastAsia="Times New Roman" w:hAnsi="Times New Roman" w:cs="Times New Roman"/>
              <w:color w:val="000000"/>
            </w:rPr>
            <m:t>y=min</m:t>
          </m:r>
          <m:d>
            <m:dPr>
              <m:ctrlPr>
                <w:rPr>
                  <w:rFonts w:ascii="Times New Roman" w:eastAsia="Times New Roman" w:hAnsi="Times New Roman" w:cs="Times New Roman"/>
                  <w:color w:val="000000"/>
                </w:rPr>
              </m:ctrlPr>
            </m:dPr>
            <m:e>
              <m:r>
                <w:rPr>
                  <w:rFonts w:ascii="Times New Roman" w:eastAsia="Times New Roman" w:hAnsi="Times New Roman" w:cs="Times New Roman"/>
                  <w:color w:val="000000"/>
                </w:rPr>
                <m:t>a×</m:t>
              </m:r>
              <m:sSup>
                <m:sSupPr>
                  <m:ctrlPr>
                    <w:rPr>
                      <w:rFonts w:ascii="Times New Roman" w:eastAsia="Times New Roman" w:hAnsi="Times New Roman" w:cs="Times New Roman"/>
                      <w:color w:val="000000"/>
                    </w:rPr>
                  </m:ctrlPr>
                </m:sSupPr>
                <m:e>
                  <m:r>
                    <w:rPr>
                      <w:rFonts w:ascii="Times New Roman" w:eastAsia="Times New Roman" w:hAnsi="Times New Roman" w:cs="Times New Roman"/>
                      <w:color w:val="000000"/>
                    </w:rPr>
                    <m:t>e</m:t>
                  </m:r>
                </m:e>
                <m:sup>
                  <m:f>
                    <m:fPr>
                      <m:ctrlPr>
                        <w:rPr>
                          <w:rFonts w:ascii="Times New Roman" w:eastAsia="Times New Roman" w:hAnsi="Times New Roman" w:cs="Times New Roman"/>
                          <w:color w:val="000000"/>
                        </w:rPr>
                      </m:ctrlPr>
                    </m:fPr>
                    <m:num>
                      <m:r>
                        <w:rPr>
                          <w:rFonts w:ascii="Times New Roman" w:eastAsia="Times New Roman" w:hAnsi="Times New Roman" w:cs="Times New Roman"/>
                          <w:color w:val="000000"/>
                        </w:rPr>
                        <m:t>b</m:t>
                      </m:r>
                    </m:num>
                    <m:den>
                      <m:r>
                        <w:rPr>
                          <w:rFonts w:ascii="Times New Roman" w:eastAsia="Times New Roman" w:hAnsi="Times New Roman" w:cs="Times New Roman"/>
                          <w:color w:val="000000"/>
                        </w:rPr>
                        <m:t>x</m:t>
                      </m:r>
                    </m:den>
                  </m:f>
                </m:sup>
              </m:sSup>
              <m:r>
                <w:rPr>
                  <w:rFonts w:ascii="Times New Roman" w:eastAsia="Times New Roman" w:hAnsi="Times New Roman" w:cs="Times New Roman"/>
                  <w:color w:val="000000"/>
                </w:rPr>
                <m:t>,1</m:t>
              </m:r>
            </m:e>
          </m:d>
        </m:oMath>
      </m:oMathPara>
    </w:p>
    <w:p w:rsidR="00954A82" w:rsidRDefault="00954A82">
      <w:pPr>
        <w:spacing w:line="480" w:lineRule="auto"/>
        <w:jc w:val="both"/>
        <w:rPr>
          <w:rFonts w:ascii="Times New Roman" w:eastAsia="Times New Roman" w:hAnsi="Times New Roman" w:cs="Times New Roman"/>
          <w:color w:val="000000"/>
        </w:rPr>
      </w:pPr>
    </w:p>
    <w:p w:rsidR="00954A82" w:rsidRDefault="00CE416E">
      <w:pPr>
        <w:rPr>
          <w:rFonts w:ascii="Times New Roman" w:eastAsia="Times New Roman" w:hAnsi="Times New Roman" w:cs="Times New Roman"/>
          <w:b/>
        </w:rPr>
      </w:pPr>
      <w:r>
        <w:br w:type="page"/>
      </w:r>
    </w:p>
    <w:p w:rsidR="008C7DA7" w:rsidRDefault="008C7DA7" w:rsidP="008C7DA7">
      <w:pP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b/>
        </w:rPr>
        <w:lastRenderedPageBreak/>
        <w:t xml:space="preserve">Figure </w:t>
      </w:r>
      <w:r w:rsidR="00DF3FAD">
        <w:rPr>
          <w:rFonts w:ascii="Times New Roman" w:eastAsia="Times New Roman" w:hAnsi="Times New Roman" w:cs="Times New Roman"/>
          <w:b/>
        </w:rPr>
        <w:t>S</w:t>
      </w:r>
      <w:r w:rsidR="00CE416E">
        <w:rPr>
          <w:rFonts w:ascii="Times New Roman" w:eastAsia="Times New Roman" w:hAnsi="Times New Roman" w:cs="Times New Roman"/>
          <w:b/>
        </w:rPr>
        <w:t>2:</w:t>
      </w:r>
      <w:r w:rsidR="00CE416E">
        <w:rPr>
          <w:rFonts w:ascii="Times New Roman" w:eastAsia="Times New Roman" w:hAnsi="Times New Roman" w:cs="Times New Roman"/>
        </w:rPr>
        <w:t xml:space="preserve"> </w:t>
      </w:r>
      <w:r>
        <w:rPr>
          <w:rFonts w:ascii="Times New Roman" w:eastAsia="Times New Roman" w:hAnsi="Times New Roman" w:cs="Times New Roman"/>
        </w:rPr>
        <w:t>S</w:t>
      </w:r>
      <w:r>
        <w:rPr>
          <w:rFonts w:ascii="Times New Roman" w:eastAsia="Times New Roman" w:hAnsi="Times New Roman" w:cs="Times New Roman"/>
          <w:color w:val="000000"/>
        </w:rPr>
        <w:t>imulated vs. observed dates of phenological stages ear 1 cm (green dots), flag leaf (orange dots) and anthesis (purple dots). Each point represents a site x year observation from the EPIPHYT database (</w:t>
      </w:r>
      <w:hyperlink r:id="rId10">
        <w:r>
          <w:rPr>
            <w:rFonts w:ascii="Times New Roman" w:eastAsia="Times New Roman" w:hAnsi="Times New Roman" w:cs="Times New Roman"/>
            <w:color w:val="000000"/>
            <w:u w:val="single"/>
          </w:rPr>
          <w:t>https://data.pheno.fr/</w:t>
        </w:r>
      </w:hyperlink>
      <w:r>
        <w:rPr>
          <w:rFonts w:ascii="Times New Roman" w:eastAsia="Times New Roman" w:hAnsi="Times New Roman" w:cs="Times New Roman"/>
        </w:rPr>
        <w:t xml:space="preserve">). </w:t>
      </w:r>
      <w:r>
        <w:rPr>
          <w:rFonts w:ascii="Times New Roman" w:eastAsia="Times New Roman" w:hAnsi="Times New Roman" w:cs="Times New Roman"/>
          <w:color w:val="000000"/>
        </w:rPr>
        <w:t>Black continue line represents the 1:1 relationship.</w:t>
      </w:r>
    </w:p>
    <w:p w:rsidR="00954A82" w:rsidRDefault="00954A82">
      <w:pPr>
        <w:spacing w:line="480" w:lineRule="auto"/>
        <w:jc w:val="both"/>
        <w:rPr>
          <w:rFonts w:ascii="Times New Roman" w:eastAsia="Times New Roman" w:hAnsi="Times New Roman" w:cs="Times New Roman"/>
        </w:rPr>
      </w:pPr>
    </w:p>
    <w:p w:rsidR="00954A82" w:rsidRDefault="00954A82">
      <w:pPr>
        <w:spacing w:line="480" w:lineRule="auto"/>
        <w:jc w:val="both"/>
        <w:rPr>
          <w:rFonts w:ascii="Times New Roman" w:eastAsia="Times New Roman" w:hAnsi="Times New Roman" w:cs="Times New Roman"/>
        </w:rPr>
      </w:pPr>
    </w:p>
    <w:p w:rsidR="00954A82" w:rsidRDefault="00CE416E">
      <w:pPr>
        <w:spacing w:line="480" w:lineRule="auto"/>
        <w:jc w:val="both"/>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5731200" cy="4318000"/>
            <wp:effectExtent l="0" t="0" r="0" b="0"/>
            <wp:docPr id="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731200" cy="4318000"/>
                    </a:xfrm>
                    <a:prstGeom prst="rect">
                      <a:avLst/>
                    </a:prstGeom>
                    <a:ln/>
                  </pic:spPr>
                </pic:pic>
              </a:graphicData>
            </a:graphic>
          </wp:inline>
        </w:drawing>
      </w:r>
    </w:p>
    <w:p w:rsidR="008C7DA7" w:rsidRDefault="008C7DA7">
      <w:pPr>
        <w:rPr>
          <w:rFonts w:ascii="Times New Roman" w:eastAsia="Times New Roman" w:hAnsi="Times New Roman" w:cs="Times New Roman"/>
          <w:b/>
        </w:rPr>
      </w:pPr>
      <w:r>
        <w:rPr>
          <w:rFonts w:ascii="Times New Roman" w:eastAsia="Times New Roman" w:hAnsi="Times New Roman" w:cs="Times New Roman"/>
          <w:b/>
        </w:rPr>
        <w:br w:type="page"/>
      </w:r>
    </w:p>
    <w:p w:rsidR="00954A82" w:rsidRDefault="008C7DA7">
      <w:pPr>
        <w:spacing w:line="480" w:lineRule="auto"/>
        <w:jc w:val="both"/>
        <w:rPr>
          <w:rFonts w:ascii="Times New Roman" w:eastAsia="Times New Roman" w:hAnsi="Times New Roman" w:cs="Times New Roman"/>
        </w:rPr>
      </w:pPr>
      <w:r>
        <w:rPr>
          <w:rFonts w:ascii="Times New Roman" w:eastAsia="Times New Roman" w:hAnsi="Times New Roman" w:cs="Times New Roman"/>
          <w:b/>
        </w:rPr>
        <w:lastRenderedPageBreak/>
        <w:t xml:space="preserve">Figure </w:t>
      </w:r>
      <w:r w:rsidR="00DF3FAD">
        <w:rPr>
          <w:rFonts w:ascii="Times New Roman" w:eastAsia="Times New Roman" w:hAnsi="Times New Roman" w:cs="Times New Roman"/>
          <w:b/>
        </w:rPr>
        <w:t>S</w:t>
      </w:r>
      <w:r>
        <w:rPr>
          <w:rFonts w:ascii="Times New Roman" w:eastAsia="Times New Roman" w:hAnsi="Times New Roman" w:cs="Times New Roman"/>
          <w:b/>
        </w:rPr>
        <w:t>3</w:t>
      </w:r>
      <w:r w:rsidR="00CE416E">
        <w:rPr>
          <w:rFonts w:ascii="Times New Roman" w:eastAsia="Times New Roman" w:hAnsi="Times New Roman" w:cs="Times New Roman"/>
          <w:b/>
        </w:rPr>
        <w:t>:</w:t>
      </w:r>
      <w:r w:rsidR="00CE416E">
        <w:rPr>
          <w:rFonts w:ascii="Times New Roman" w:eastAsia="Times New Roman" w:hAnsi="Times New Roman" w:cs="Times New Roman"/>
        </w:rPr>
        <w:t xml:space="preserve"> </w:t>
      </w:r>
      <w:r>
        <w:rPr>
          <w:rFonts w:ascii="Times New Roman" w:eastAsia="Times New Roman" w:hAnsi="Times New Roman" w:cs="Times New Roman"/>
        </w:rPr>
        <w:t>Historical (1991-2020), near (2041-2070) and far (2071-2100) futures’ distribution of wheat main phenological phases (EM-E1: emergence to ear 1 cm; E1-FL: ear 1 cm to flag leaf; FL-AN: flag leaf to anthesis; AN-GM: anthesis to grain maturity) under RCP 4.5 scenario in the 7 French wheat ecoclimatic zones (WEZs A to G). DOY: day of the year.</w:t>
      </w:r>
    </w:p>
    <w:p w:rsidR="009345F5" w:rsidRDefault="009345F5">
      <w:pPr>
        <w:spacing w:line="480" w:lineRule="auto"/>
        <w:jc w:val="both"/>
        <w:rPr>
          <w:rFonts w:ascii="Times New Roman" w:eastAsia="Times New Roman" w:hAnsi="Times New Roman" w:cs="Times New Roman"/>
        </w:rPr>
      </w:pPr>
    </w:p>
    <w:p w:rsidR="009345F5" w:rsidRDefault="009345F5">
      <w:pPr>
        <w:spacing w:line="480" w:lineRule="auto"/>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5731510" cy="364744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GridgePhenoAllModelrcp4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647440"/>
                    </a:xfrm>
                    <a:prstGeom prst="rect">
                      <a:avLst/>
                    </a:prstGeom>
                  </pic:spPr>
                </pic:pic>
              </a:graphicData>
            </a:graphic>
          </wp:inline>
        </w:drawing>
      </w:r>
    </w:p>
    <w:p w:rsidR="008C7DA7" w:rsidRDefault="008C7DA7">
      <w:pPr>
        <w:spacing w:line="480" w:lineRule="auto"/>
        <w:jc w:val="both"/>
        <w:rPr>
          <w:rFonts w:ascii="Times New Roman" w:eastAsia="Times New Roman" w:hAnsi="Times New Roman" w:cs="Times New Roman"/>
        </w:rPr>
      </w:pPr>
    </w:p>
    <w:p w:rsidR="00954A82" w:rsidRDefault="00954A82">
      <w:pPr>
        <w:spacing w:line="480" w:lineRule="auto"/>
        <w:jc w:val="both"/>
        <w:rPr>
          <w:rFonts w:ascii="Times New Roman" w:eastAsia="Times New Roman" w:hAnsi="Times New Roman" w:cs="Times New Roman"/>
        </w:rPr>
      </w:pPr>
    </w:p>
    <w:p w:rsidR="00954A82" w:rsidRDefault="00CE416E">
      <w:pPr>
        <w:spacing w:line="480" w:lineRule="auto"/>
        <w:jc w:val="both"/>
        <w:rPr>
          <w:rFonts w:ascii="Times New Roman" w:eastAsia="Times New Roman" w:hAnsi="Times New Roman" w:cs="Times New Roman"/>
          <w:b/>
        </w:rPr>
      </w:pPr>
      <w:r>
        <w:br w:type="page"/>
      </w:r>
    </w:p>
    <w:p w:rsidR="00954A82" w:rsidRDefault="008C7DA7">
      <w:pPr>
        <w:spacing w:line="480" w:lineRule="auto"/>
        <w:jc w:val="both"/>
        <w:rPr>
          <w:rFonts w:ascii="Times New Roman" w:eastAsia="Times New Roman" w:hAnsi="Times New Roman" w:cs="Times New Roman"/>
        </w:rPr>
      </w:pPr>
      <w:r>
        <w:rPr>
          <w:rFonts w:ascii="Times New Roman" w:eastAsia="Times New Roman" w:hAnsi="Times New Roman" w:cs="Times New Roman"/>
          <w:b/>
        </w:rPr>
        <w:lastRenderedPageBreak/>
        <w:t xml:space="preserve">Table </w:t>
      </w:r>
      <w:r w:rsidR="00DF3FAD">
        <w:rPr>
          <w:rFonts w:ascii="Times New Roman" w:eastAsia="Times New Roman" w:hAnsi="Times New Roman" w:cs="Times New Roman"/>
          <w:b/>
        </w:rPr>
        <w:t>S</w:t>
      </w:r>
      <w:r>
        <w:rPr>
          <w:rFonts w:ascii="Times New Roman" w:eastAsia="Times New Roman" w:hAnsi="Times New Roman" w:cs="Times New Roman"/>
          <w:b/>
        </w:rPr>
        <w:t>1</w:t>
      </w:r>
      <w:r w:rsidR="00CE416E">
        <w:rPr>
          <w:rFonts w:ascii="Times New Roman" w:eastAsia="Times New Roman" w:hAnsi="Times New Roman" w:cs="Times New Roman"/>
          <w:b/>
        </w:rPr>
        <w:t>:</w:t>
      </w:r>
      <w:r w:rsidR="00CE416E">
        <w:rPr>
          <w:rFonts w:ascii="Times New Roman" w:eastAsia="Times New Roman" w:hAnsi="Times New Roman" w:cs="Times New Roman"/>
        </w:rPr>
        <w:t xml:space="preserve"> Median of the simulated dates of phenological stages per Wheat Ecoclimatic Zone in France, for RCP 4.5 and 8.5 scenarios, and historical (1991-2020), near future (2041-2070) and far future (2071-2100) periods.</w:t>
      </w:r>
    </w:p>
    <w:p w:rsidR="00954A82" w:rsidRDefault="009141E1" w:rsidP="00825BE9">
      <w:pPr>
        <w:spacing w:line="480" w:lineRule="auto"/>
        <w:jc w:val="both"/>
        <w:rPr>
          <w:rFonts w:ascii="Times New Roman" w:eastAsia="Times New Roman" w:hAnsi="Times New Roman" w:cs="Times New Roman"/>
          <w:b/>
        </w:rPr>
      </w:pPr>
      <w:r w:rsidRPr="009141E1">
        <w:rPr>
          <w:noProof/>
        </w:rPr>
        <w:drawing>
          <wp:inline distT="0" distB="0" distL="0" distR="0">
            <wp:extent cx="4990465" cy="7740311"/>
            <wp:effectExtent l="0" t="0" r="63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9462" cy="7769775"/>
                    </a:xfrm>
                    <a:prstGeom prst="rect">
                      <a:avLst/>
                    </a:prstGeom>
                    <a:noFill/>
                    <a:ln>
                      <a:noFill/>
                    </a:ln>
                  </pic:spPr>
                </pic:pic>
              </a:graphicData>
            </a:graphic>
          </wp:inline>
        </w:drawing>
      </w:r>
      <w:r w:rsidR="00CE416E">
        <w:br w:type="page"/>
      </w:r>
    </w:p>
    <w:p w:rsidR="00B96493" w:rsidRDefault="00B96493" w:rsidP="00B96493">
      <w:pPr>
        <w:spacing w:line="480" w:lineRule="auto"/>
        <w:jc w:val="both"/>
        <w:rPr>
          <w:rFonts w:ascii="Times New Roman" w:eastAsia="Times New Roman" w:hAnsi="Times New Roman" w:cs="Times New Roman"/>
          <w:b/>
          <w:highlight w:val="yellow"/>
        </w:rPr>
      </w:pPr>
      <w:r>
        <w:rPr>
          <w:rFonts w:ascii="Times New Roman" w:eastAsia="Times New Roman" w:hAnsi="Times New Roman" w:cs="Times New Roman"/>
          <w:b/>
        </w:rPr>
        <w:lastRenderedPageBreak/>
        <w:t>Figure S4.</w:t>
      </w:r>
      <w:r>
        <w:rPr>
          <w:rFonts w:ascii="Times New Roman" w:eastAsia="Times New Roman" w:hAnsi="Times New Roman" w:cs="Times New Roman"/>
        </w:rPr>
        <w:t xml:space="preserve"> Evolution of the frequency (number of years over a 30-year period) of the different types of climatic risks since historical (1991-2020), near (2041-2070) and far (2071-2100) futures in the 7 French wheat ecoclimatic zones (WEZs A to G) under RCP 4.5 scenario. The different types of climatic risks concern cold temperatures, excess water, heat and drought. The size of the circles corresponds to the percentage of the area of the WEZ affected by the risk. The transparent area delimited by the dotted lines represents the 95 and 5 quantiles of the distribution.</w:t>
      </w:r>
    </w:p>
    <w:p w:rsidR="00B96493" w:rsidRDefault="00B96493" w:rsidP="00B96493">
      <w:pPr>
        <w:spacing w:line="480" w:lineRule="auto"/>
        <w:jc w:val="both"/>
        <w:rPr>
          <w:rFonts w:ascii="Times New Roman" w:eastAsia="Times New Roman" w:hAnsi="Times New Roman" w:cs="Times New Roman"/>
        </w:rPr>
      </w:pPr>
    </w:p>
    <w:p w:rsidR="00B96493" w:rsidRDefault="00C86CA0" w:rsidP="00B96493">
      <w:pPr>
        <w:spacing w:line="480" w:lineRule="auto"/>
        <w:jc w:val="both"/>
        <w:rPr>
          <w:rFonts w:ascii="Times New Roman" w:eastAsia="Times New Roman" w:hAnsi="Times New Roman" w:cs="Times New Roman"/>
          <w:b/>
          <w:highlight w:val="yellow"/>
        </w:rPr>
      </w:pPr>
      <w:r w:rsidRPr="00C86CA0">
        <w:rPr>
          <w:rFonts w:ascii="Times New Roman" w:eastAsia="Times New Roman" w:hAnsi="Times New Roman" w:cs="Times New Roman"/>
          <w:b/>
          <w:highlight w:val="yellow"/>
        </w:rPr>
        <w:drawing>
          <wp:inline distT="0" distB="0" distL="0" distR="0" wp14:anchorId="72EDA17C" wp14:editId="17D1C187">
            <wp:extent cx="5731510" cy="3921760"/>
            <wp:effectExtent l="0" t="0" r="2540" b="2540"/>
            <wp:docPr id="7" name="Image 1">
              <a:extLst xmlns:a="http://schemas.openxmlformats.org/drawingml/2006/main">
                <a:ext uri="{FF2B5EF4-FFF2-40B4-BE49-F238E27FC236}">
                  <a16:creationId xmlns:a16="http://schemas.microsoft.com/office/drawing/2014/main" id="{12A0BE42-E98A-437C-A06F-6F85CAF10A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12A0BE42-E98A-437C-A06F-6F85CAF10A6B}"/>
                        </a:ext>
                      </a:extLst>
                    </pic:cNvPr>
                    <pic:cNvPicPr>
                      <a:picLocks noChangeAspect="1"/>
                    </pic:cNvPicPr>
                  </pic:nvPicPr>
                  <pic:blipFill>
                    <a:blip r:embed="rId14"/>
                    <a:stretch>
                      <a:fillRect/>
                    </a:stretch>
                  </pic:blipFill>
                  <pic:spPr>
                    <a:xfrm>
                      <a:off x="0" y="0"/>
                      <a:ext cx="5731510" cy="3921760"/>
                    </a:xfrm>
                    <a:prstGeom prst="rect">
                      <a:avLst/>
                    </a:prstGeom>
                    <a:solidFill>
                      <a:schemeClr val="bg1"/>
                    </a:solidFill>
                  </pic:spPr>
                </pic:pic>
              </a:graphicData>
            </a:graphic>
          </wp:inline>
        </w:drawing>
      </w:r>
    </w:p>
    <w:p w:rsidR="00C86CA0" w:rsidRDefault="00C86CA0" w:rsidP="00B96493">
      <w:pPr>
        <w:spacing w:line="480" w:lineRule="auto"/>
        <w:jc w:val="both"/>
        <w:rPr>
          <w:rFonts w:ascii="Times New Roman" w:eastAsia="Times New Roman" w:hAnsi="Times New Roman" w:cs="Times New Roman"/>
          <w:b/>
          <w:highlight w:val="yellow"/>
        </w:rPr>
      </w:pPr>
    </w:p>
    <w:p w:rsidR="00B96493" w:rsidRDefault="00B96493" w:rsidP="00B96493">
      <w:pPr>
        <w:rPr>
          <w:rFonts w:ascii="Times New Roman" w:eastAsia="Times New Roman" w:hAnsi="Times New Roman" w:cs="Times New Roman"/>
          <w:b/>
        </w:rPr>
      </w:pPr>
      <w:r>
        <w:rPr>
          <w:rFonts w:ascii="Times New Roman" w:eastAsia="Times New Roman" w:hAnsi="Times New Roman" w:cs="Times New Roman"/>
          <w:b/>
        </w:rPr>
        <w:br w:type="page"/>
      </w:r>
    </w:p>
    <w:p w:rsidR="00954A82" w:rsidRDefault="008C7DA7">
      <w:pPr>
        <w:spacing w:line="480" w:lineRule="auto"/>
        <w:jc w:val="both"/>
        <w:rPr>
          <w:rFonts w:ascii="Times New Roman" w:eastAsia="Times New Roman" w:hAnsi="Times New Roman" w:cs="Times New Roman"/>
        </w:rPr>
      </w:pPr>
      <w:r>
        <w:rPr>
          <w:rFonts w:ascii="Times New Roman" w:eastAsia="Times New Roman" w:hAnsi="Times New Roman" w:cs="Times New Roman"/>
          <w:b/>
        </w:rPr>
        <w:lastRenderedPageBreak/>
        <w:t xml:space="preserve">Figures </w:t>
      </w:r>
      <w:r w:rsidR="00DF3FAD">
        <w:rPr>
          <w:rFonts w:ascii="Times New Roman" w:eastAsia="Times New Roman" w:hAnsi="Times New Roman" w:cs="Times New Roman"/>
          <w:b/>
        </w:rPr>
        <w:t>S</w:t>
      </w:r>
      <w:r w:rsidR="00B96493">
        <w:rPr>
          <w:rFonts w:ascii="Times New Roman" w:eastAsia="Times New Roman" w:hAnsi="Times New Roman" w:cs="Times New Roman"/>
          <w:b/>
        </w:rPr>
        <w:t>5</w:t>
      </w:r>
      <w:r w:rsidR="00CE416E">
        <w:rPr>
          <w:rFonts w:ascii="Times New Roman" w:eastAsia="Times New Roman" w:hAnsi="Times New Roman" w:cs="Times New Roman"/>
          <w:b/>
        </w:rPr>
        <w:t>:</w:t>
      </w:r>
      <w:r w:rsidR="00CE416E">
        <w:rPr>
          <w:rFonts w:ascii="Times New Roman" w:eastAsia="Times New Roman" w:hAnsi="Times New Roman" w:cs="Times New Roman"/>
        </w:rPr>
        <w:t xml:space="preserve"> Bivariate maps of heat and water deficit indicators per phenological phase</w:t>
      </w:r>
    </w:p>
    <w:p w:rsidR="00433067" w:rsidRDefault="00433067">
      <w:pPr>
        <w:spacing w:line="480" w:lineRule="auto"/>
        <w:jc w:val="both"/>
        <w:rPr>
          <w:rFonts w:ascii="Times New Roman" w:eastAsia="Times New Roman" w:hAnsi="Times New Roman" w:cs="Times New Roman"/>
          <w:u w:val="single"/>
        </w:rPr>
      </w:pPr>
    </w:p>
    <w:p w:rsidR="008C7DA7" w:rsidRDefault="008C7DA7">
      <w:pPr>
        <w:spacing w:line="480" w:lineRule="auto"/>
        <w:jc w:val="both"/>
        <w:rPr>
          <w:rFonts w:ascii="Times New Roman" w:eastAsia="Times New Roman" w:hAnsi="Times New Roman" w:cs="Times New Roman"/>
        </w:rPr>
      </w:pPr>
      <w:r w:rsidRPr="008C7DA7">
        <w:rPr>
          <w:rFonts w:ascii="Times New Roman" w:eastAsia="Times New Roman" w:hAnsi="Times New Roman" w:cs="Times New Roman"/>
          <w:u w:val="single"/>
        </w:rPr>
        <w:t xml:space="preserve">Figure </w:t>
      </w:r>
      <w:r w:rsidR="00DF3FAD">
        <w:rPr>
          <w:rFonts w:ascii="Times New Roman" w:eastAsia="Times New Roman" w:hAnsi="Times New Roman" w:cs="Times New Roman"/>
          <w:u w:val="single"/>
        </w:rPr>
        <w:t>S</w:t>
      </w:r>
      <w:r w:rsidR="00B96493">
        <w:rPr>
          <w:rFonts w:ascii="Times New Roman" w:eastAsia="Times New Roman" w:hAnsi="Times New Roman" w:cs="Times New Roman"/>
          <w:u w:val="single"/>
        </w:rPr>
        <w:t>5</w:t>
      </w:r>
      <w:r w:rsidRPr="008C7DA7">
        <w:rPr>
          <w:rFonts w:ascii="Times New Roman" w:eastAsia="Times New Roman" w:hAnsi="Times New Roman" w:cs="Times New Roman"/>
          <w:u w:val="single"/>
        </w:rPr>
        <w:t>.1</w:t>
      </w:r>
      <w:r>
        <w:rPr>
          <w:rFonts w:ascii="Times New Roman" w:eastAsia="Times New Roman" w:hAnsi="Times New Roman" w:cs="Times New Roman"/>
        </w:rPr>
        <w:t xml:space="preserve">. Bivariate maps of heat and water deficit indicators per </w:t>
      </w:r>
      <w:proofErr w:type="spellStart"/>
      <w:r>
        <w:rPr>
          <w:rFonts w:ascii="Times New Roman" w:eastAsia="Times New Roman" w:hAnsi="Times New Roman" w:cs="Times New Roman"/>
        </w:rPr>
        <w:t>phenophase</w:t>
      </w:r>
      <w:proofErr w:type="spellEnd"/>
      <w:r>
        <w:rPr>
          <w:rFonts w:ascii="Times New Roman" w:eastAsia="Times New Roman" w:hAnsi="Times New Roman" w:cs="Times New Roman"/>
        </w:rPr>
        <w:t xml:space="preserve"> for different periods for RCP 8.5. A) represents historical (1991-2020), B) near future (2041-2071) and C) far future (2071-2100). </w:t>
      </w:r>
      <w:r w:rsidR="00CB2BEF">
        <w:rPr>
          <w:rFonts w:ascii="Times New Roman" w:eastAsia="Times New Roman" w:hAnsi="Times New Roman" w:cs="Times New Roman"/>
        </w:rPr>
        <w:t>EM-E1</w:t>
      </w:r>
      <w:r>
        <w:rPr>
          <w:rFonts w:ascii="Times New Roman" w:eastAsia="Times New Roman" w:hAnsi="Times New Roman" w:cs="Times New Roman"/>
        </w:rPr>
        <w:t xml:space="preserve">: emergence to ear 1cm stage; </w:t>
      </w:r>
      <w:r w:rsidR="00CB2BEF">
        <w:rPr>
          <w:rFonts w:ascii="Times New Roman" w:eastAsia="Times New Roman" w:hAnsi="Times New Roman" w:cs="Times New Roman"/>
        </w:rPr>
        <w:t>E1-FL</w:t>
      </w:r>
      <w:r>
        <w:rPr>
          <w:rFonts w:ascii="Times New Roman" w:eastAsia="Times New Roman" w:hAnsi="Times New Roman" w:cs="Times New Roman"/>
        </w:rPr>
        <w:t xml:space="preserve">: ear 1cm to flag leaf stage; </w:t>
      </w:r>
      <w:r w:rsidR="00CB2BEF">
        <w:rPr>
          <w:rFonts w:ascii="Times New Roman" w:eastAsia="Times New Roman" w:hAnsi="Times New Roman" w:cs="Times New Roman"/>
        </w:rPr>
        <w:t>FL-AN</w:t>
      </w:r>
      <w:r>
        <w:rPr>
          <w:rFonts w:ascii="Times New Roman" w:eastAsia="Times New Roman" w:hAnsi="Times New Roman" w:cs="Times New Roman"/>
        </w:rPr>
        <w:t xml:space="preserve">: flag leaf to anthesis stage; </w:t>
      </w:r>
      <w:r w:rsidR="00CB2BEF">
        <w:rPr>
          <w:rFonts w:ascii="Times New Roman" w:eastAsia="Times New Roman" w:hAnsi="Times New Roman" w:cs="Times New Roman"/>
        </w:rPr>
        <w:t>AN-GM</w:t>
      </w:r>
      <w:bookmarkStart w:id="1" w:name="_GoBack"/>
      <w:bookmarkEnd w:id="1"/>
      <w:r>
        <w:rPr>
          <w:rFonts w:ascii="Times New Roman" w:eastAsia="Times New Roman" w:hAnsi="Times New Roman" w:cs="Times New Roman"/>
        </w:rPr>
        <w:t>: anthesis to grain maturity stage. Each cell of the legend corresponds to a class of heat and water deficit combined risk and corresponds to the median of the three models.</w:t>
      </w:r>
    </w:p>
    <w:p w:rsidR="001F5987" w:rsidRDefault="001F5987">
      <w:pPr>
        <w:spacing w:line="480" w:lineRule="auto"/>
        <w:jc w:val="both"/>
        <w:rPr>
          <w:rFonts w:ascii="Times New Roman" w:eastAsia="Times New Roman" w:hAnsi="Times New Roman" w:cs="Times New Roman"/>
        </w:rPr>
      </w:pPr>
      <w:r w:rsidRPr="001F5987">
        <w:rPr>
          <w:rFonts w:ascii="Times New Roman" w:eastAsia="Times New Roman" w:hAnsi="Times New Roman" w:cs="Times New Roman"/>
        </w:rPr>
        <w:drawing>
          <wp:inline distT="0" distB="0" distL="0" distR="0" wp14:anchorId="52E5C47C" wp14:editId="13EBF16F">
            <wp:extent cx="5731510" cy="4580890"/>
            <wp:effectExtent l="0" t="0" r="0" b="0"/>
            <wp:docPr id="8" name="Image 2">
              <a:extLst xmlns:a="http://schemas.openxmlformats.org/drawingml/2006/main">
                <a:ext uri="{FF2B5EF4-FFF2-40B4-BE49-F238E27FC236}">
                  <a16:creationId xmlns:a16="http://schemas.microsoft.com/office/drawing/2014/main" id="{49233BD9-3BD4-462A-A4F4-80F4B80A6F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49233BD9-3BD4-462A-A4F4-80F4B80A6F05}"/>
                        </a:ext>
                      </a:extLst>
                    </pic:cNvPr>
                    <pic:cNvPicPr>
                      <a:picLocks noChangeAspect="1"/>
                    </pic:cNvPicPr>
                  </pic:nvPicPr>
                  <pic:blipFill>
                    <a:blip r:embed="rId15"/>
                    <a:stretch>
                      <a:fillRect/>
                    </a:stretch>
                  </pic:blipFill>
                  <pic:spPr>
                    <a:xfrm>
                      <a:off x="0" y="0"/>
                      <a:ext cx="5731510" cy="4580890"/>
                    </a:xfrm>
                    <a:prstGeom prst="rect">
                      <a:avLst/>
                    </a:prstGeom>
                  </pic:spPr>
                </pic:pic>
              </a:graphicData>
            </a:graphic>
          </wp:inline>
        </w:drawing>
      </w:r>
    </w:p>
    <w:p w:rsidR="00030E7E" w:rsidRDefault="00030E7E">
      <w:pPr>
        <w:spacing w:line="480" w:lineRule="auto"/>
        <w:jc w:val="both"/>
        <w:rPr>
          <w:rFonts w:ascii="Times New Roman" w:eastAsia="Times New Roman" w:hAnsi="Times New Roman" w:cs="Times New Roman"/>
        </w:rPr>
      </w:pPr>
    </w:p>
    <w:p w:rsidR="00954A82" w:rsidRDefault="00954A82">
      <w:pPr>
        <w:spacing w:line="480" w:lineRule="auto"/>
        <w:jc w:val="both"/>
        <w:rPr>
          <w:rFonts w:ascii="Times New Roman" w:eastAsia="Times New Roman" w:hAnsi="Times New Roman" w:cs="Times New Roman"/>
        </w:rPr>
      </w:pPr>
    </w:p>
    <w:p w:rsidR="00954A82" w:rsidRDefault="00954A82">
      <w:pPr>
        <w:spacing w:line="480" w:lineRule="auto"/>
        <w:jc w:val="both"/>
        <w:rPr>
          <w:rFonts w:ascii="Times New Roman" w:eastAsia="Times New Roman" w:hAnsi="Times New Roman" w:cs="Times New Roman"/>
          <w:b/>
        </w:rPr>
      </w:pPr>
    </w:p>
    <w:p w:rsidR="00433067" w:rsidRDefault="00433067">
      <w:pPr>
        <w:rPr>
          <w:rFonts w:ascii="Times New Roman" w:eastAsia="Times New Roman" w:hAnsi="Times New Roman" w:cs="Times New Roman"/>
          <w:u w:val="single"/>
        </w:rPr>
      </w:pPr>
      <w:r>
        <w:rPr>
          <w:rFonts w:ascii="Times New Roman" w:eastAsia="Times New Roman" w:hAnsi="Times New Roman" w:cs="Times New Roman"/>
          <w:u w:val="single"/>
        </w:rPr>
        <w:br w:type="page"/>
      </w:r>
    </w:p>
    <w:p w:rsidR="00433067" w:rsidRDefault="00433067" w:rsidP="00433067">
      <w:pPr>
        <w:spacing w:line="480" w:lineRule="auto"/>
        <w:jc w:val="both"/>
        <w:rPr>
          <w:rFonts w:ascii="Times New Roman" w:eastAsia="Times New Roman" w:hAnsi="Times New Roman" w:cs="Times New Roman"/>
        </w:rPr>
      </w:pPr>
      <w:r w:rsidRPr="008C7DA7">
        <w:rPr>
          <w:rFonts w:ascii="Times New Roman" w:eastAsia="Times New Roman" w:hAnsi="Times New Roman" w:cs="Times New Roman"/>
          <w:u w:val="single"/>
        </w:rPr>
        <w:lastRenderedPageBreak/>
        <w:t xml:space="preserve">Figure </w:t>
      </w:r>
      <w:r w:rsidR="00DF3FAD">
        <w:rPr>
          <w:rFonts w:ascii="Times New Roman" w:eastAsia="Times New Roman" w:hAnsi="Times New Roman" w:cs="Times New Roman"/>
          <w:u w:val="single"/>
        </w:rPr>
        <w:t>S</w:t>
      </w:r>
      <w:r w:rsidR="00B96493">
        <w:rPr>
          <w:rFonts w:ascii="Times New Roman" w:eastAsia="Times New Roman" w:hAnsi="Times New Roman" w:cs="Times New Roman"/>
          <w:u w:val="single"/>
        </w:rPr>
        <w:t>5</w:t>
      </w:r>
      <w:r w:rsidRPr="008C7DA7">
        <w:rPr>
          <w:rFonts w:ascii="Times New Roman" w:eastAsia="Times New Roman" w:hAnsi="Times New Roman" w:cs="Times New Roman"/>
          <w:u w:val="single"/>
        </w:rPr>
        <w:t>.</w:t>
      </w:r>
      <w:r>
        <w:rPr>
          <w:rFonts w:ascii="Times New Roman" w:eastAsia="Times New Roman" w:hAnsi="Times New Roman" w:cs="Times New Roman"/>
          <w:u w:val="single"/>
        </w:rPr>
        <w:t>2.</w:t>
      </w:r>
      <w:r w:rsidRPr="008C7DA7">
        <w:rPr>
          <w:rFonts w:ascii="Times New Roman" w:eastAsia="Times New Roman" w:hAnsi="Times New Roman" w:cs="Times New Roman"/>
        </w:rPr>
        <w:t xml:space="preserve"> </w:t>
      </w:r>
      <w:r>
        <w:rPr>
          <w:rFonts w:ascii="Times New Roman" w:eastAsia="Times New Roman" w:hAnsi="Times New Roman" w:cs="Times New Roman"/>
        </w:rPr>
        <w:t xml:space="preserve">Bivariate maps of heat and water deficit indicators per </w:t>
      </w:r>
      <w:proofErr w:type="spellStart"/>
      <w:r>
        <w:rPr>
          <w:rFonts w:ascii="Times New Roman" w:eastAsia="Times New Roman" w:hAnsi="Times New Roman" w:cs="Times New Roman"/>
        </w:rPr>
        <w:t>phenophase</w:t>
      </w:r>
      <w:proofErr w:type="spellEnd"/>
      <w:r>
        <w:rPr>
          <w:rFonts w:ascii="Times New Roman" w:eastAsia="Times New Roman" w:hAnsi="Times New Roman" w:cs="Times New Roman"/>
        </w:rPr>
        <w:t xml:space="preserve"> for different periods for RCP 4.5. A) represents historical (1991-2020), B) near future (2041-2071) and C) far future (2071-2100). </w:t>
      </w:r>
      <w:r w:rsidR="00CB2BEF">
        <w:rPr>
          <w:rFonts w:ascii="Times New Roman" w:eastAsia="Times New Roman" w:hAnsi="Times New Roman" w:cs="Times New Roman"/>
        </w:rPr>
        <w:t>EM-E1</w:t>
      </w:r>
      <w:r>
        <w:rPr>
          <w:rFonts w:ascii="Times New Roman" w:eastAsia="Times New Roman" w:hAnsi="Times New Roman" w:cs="Times New Roman"/>
        </w:rPr>
        <w:t xml:space="preserve">: emergence to ear 1cm stage; </w:t>
      </w:r>
      <w:r w:rsidR="00CB2BEF">
        <w:rPr>
          <w:rFonts w:ascii="Times New Roman" w:eastAsia="Times New Roman" w:hAnsi="Times New Roman" w:cs="Times New Roman"/>
        </w:rPr>
        <w:t>E1-FL</w:t>
      </w:r>
      <w:r>
        <w:rPr>
          <w:rFonts w:ascii="Times New Roman" w:eastAsia="Times New Roman" w:hAnsi="Times New Roman" w:cs="Times New Roman"/>
        </w:rPr>
        <w:t xml:space="preserve">: ear 1cm to flag leaf stage; </w:t>
      </w:r>
      <w:r w:rsidR="00CB2BEF">
        <w:rPr>
          <w:rFonts w:ascii="Times New Roman" w:eastAsia="Times New Roman" w:hAnsi="Times New Roman" w:cs="Times New Roman"/>
        </w:rPr>
        <w:t>FL-AN</w:t>
      </w:r>
      <w:r>
        <w:rPr>
          <w:rFonts w:ascii="Times New Roman" w:eastAsia="Times New Roman" w:hAnsi="Times New Roman" w:cs="Times New Roman"/>
        </w:rPr>
        <w:t xml:space="preserve">: flag leaf to anthesis stage; </w:t>
      </w:r>
      <w:r w:rsidR="00CB2BEF">
        <w:rPr>
          <w:rFonts w:ascii="Times New Roman" w:eastAsia="Times New Roman" w:hAnsi="Times New Roman" w:cs="Times New Roman"/>
        </w:rPr>
        <w:t>AN-GM</w:t>
      </w:r>
      <w:r>
        <w:rPr>
          <w:rFonts w:ascii="Times New Roman" w:eastAsia="Times New Roman" w:hAnsi="Times New Roman" w:cs="Times New Roman"/>
        </w:rPr>
        <w:t>: anthesis to grain maturity stage. Each cell of the legend corresponds to a class of heat and water deficit combined risk and corresponds to the median of the three models.</w:t>
      </w:r>
    </w:p>
    <w:p w:rsidR="00CB2BEF" w:rsidRDefault="00CB2BEF" w:rsidP="00433067">
      <w:pPr>
        <w:spacing w:line="480" w:lineRule="auto"/>
        <w:jc w:val="both"/>
        <w:rPr>
          <w:rFonts w:ascii="Times New Roman" w:eastAsia="Times New Roman" w:hAnsi="Times New Roman" w:cs="Times New Roman"/>
        </w:rPr>
      </w:pPr>
      <w:r w:rsidRPr="00CB2BEF">
        <w:rPr>
          <w:rFonts w:ascii="Times New Roman" w:eastAsia="Times New Roman" w:hAnsi="Times New Roman" w:cs="Times New Roman"/>
        </w:rPr>
        <w:drawing>
          <wp:inline distT="0" distB="0" distL="0" distR="0" wp14:anchorId="3409BEEE" wp14:editId="7BCCB9B4">
            <wp:extent cx="5731510" cy="4576445"/>
            <wp:effectExtent l="0" t="0" r="0" b="0"/>
            <wp:docPr id="9" name="Image 1">
              <a:extLst xmlns:a="http://schemas.openxmlformats.org/drawingml/2006/main">
                <a:ext uri="{FF2B5EF4-FFF2-40B4-BE49-F238E27FC236}">
                  <a16:creationId xmlns:a16="http://schemas.microsoft.com/office/drawing/2014/main" id="{DD41F375-BF24-45CB-AFC7-374AE6A3E5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DD41F375-BF24-45CB-AFC7-374AE6A3E5DB}"/>
                        </a:ext>
                      </a:extLst>
                    </pic:cNvPr>
                    <pic:cNvPicPr>
                      <a:picLocks noChangeAspect="1"/>
                    </pic:cNvPicPr>
                  </pic:nvPicPr>
                  <pic:blipFill>
                    <a:blip r:embed="rId16"/>
                    <a:stretch>
                      <a:fillRect/>
                    </a:stretch>
                  </pic:blipFill>
                  <pic:spPr>
                    <a:xfrm>
                      <a:off x="0" y="0"/>
                      <a:ext cx="5731510" cy="4576445"/>
                    </a:xfrm>
                    <a:prstGeom prst="rect">
                      <a:avLst/>
                    </a:prstGeom>
                  </pic:spPr>
                </pic:pic>
              </a:graphicData>
            </a:graphic>
          </wp:inline>
        </w:drawing>
      </w:r>
    </w:p>
    <w:p w:rsidR="00030E7E" w:rsidRDefault="00030E7E" w:rsidP="00433067">
      <w:pPr>
        <w:spacing w:line="480" w:lineRule="auto"/>
        <w:jc w:val="both"/>
        <w:rPr>
          <w:rFonts w:ascii="Times New Roman" w:eastAsia="Times New Roman" w:hAnsi="Times New Roman" w:cs="Times New Roman"/>
        </w:rPr>
      </w:pPr>
    </w:p>
    <w:p w:rsidR="00954A82" w:rsidRDefault="00954A82">
      <w:pPr>
        <w:spacing w:line="480" w:lineRule="auto"/>
        <w:jc w:val="both"/>
        <w:rPr>
          <w:rFonts w:ascii="Times New Roman" w:eastAsia="Times New Roman" w:hAnsi="Times New Roman" w:cs="Times New Roman"/>
        </w:rPr>
      </w:pPr>
    </w:p>
    <w:p w:rsidR="00954A82" w:rsidRDefault="00954A82">
      <w:pPr>
        <w:spacing w:line="480" w:lineRule="auto"/>
        <w:jc w:val="both"/>
        <w:rPr>
          <w:rFonts w:ascii="Times New Roman" w:eastAsia="Times New Roman" w:hAnsi="Times New Roman" w:cs="Times New Roman"/>
        </w:rPr>
      </w:pPr>
    </w:p>
    <w:p w:rsidR="00954A82" w:rsidRDefault="00954A82">
      <w:pPr>
        <w:spacing w:line="480" w:lineRule="auto"/>
        <w:jc w:val="both"/>
        <w:rPr>
          <w:rFonts w:ascii="Times New Roman" w:eastAsia="Times New Roman" w:hAnsi="Times New Roman" w:cs="Times New Roman"/>
        </w:rPr>
      </w:pPr>
    </w:p>
    <w:p w:rsidR="00954A82" w:rsidRDefault="00954A82">
      <w:pPr>
        <w:spacing w:line="480" w:lineRule="auto"/>
        <w:jc w:val="both"/>
        <w:rPr>
          <w:rFonts w:ascii="Times New Roman" w:eastAsia="Times New Roman" w:hAnsi="Times New Roman" w:cs="Times New Roman"/>
        </w:rPr>
      </w:pPr>
    </w:p>
    <w:p w:rsidR="00954A82" w:rsidRDefault="00CE416E">
      <w:pPr>
        <w:spacing w:line="480" w:lineRule="auto"/>
        <w:jc w:val="both"/>
        <w:rPr>
          <w:rFonts w:ascii="Times New Roman" w:eastAsia="Times New Roman" w:hAnsi="Times New Roman" w:cs="Times New Roman"/>
          <w:sz w:val="22"/>
          <w:szCs w:val="22"/>
        </w:rPr>
      </w:pPr>
      <w:r>
        <w:br w:type="page"/>
      </w:r>
    </w:p>
    <w:p w:rsidR="00433067" w:rsidRDefault="00433067" w:rsidP="00433067">
      <w:pPr>
        <w:spacing w:line="480" w:lineRule="auto"/>
        <w:jc w:val="both"/>
        <w:rPr>
          <w:rFonts w:ascii="Times New Roman" w:eastAsia="Times New Roman" w:hAnsi="Times New Roman" w:cs="Times New Roman"/>
        </w:rPr>
      </w:pPr>
      <w:r>
        <w:rPr>
          <w:rFonts w:ascii="Times New Roman" w:eastAsia="Times New Roman" w:hAnsi="Times New Roman" w:cs="Times New Roman"/>
          <w:b/>
        </w:rPr>
        <w:lastRenderedPageBreak/>
        <w:t xml:space="preserve">Figure </w:t>
      </w:r>
      <w:r w:rsidR="00DF3FAD">
        <w:rPr>
          <w:rFonts w:ascii="Times New Roman" w:eastAsia="Times New Roman" w:hAnsi="Times New Roman" w:cs="Times New Roman"/>
          <w:b/>
        </w:rPr>
        <w:t>S</w:t>
      </w:r>
      <w:r>
        <w:rPr>
          <w:rFonts w:ascii="Times New Roman" w:eastAsia="Times New Roman" w:hAnsi="Times New Roman" w:cs="Times New Roman"/>
          <w:b/>
        </w:rPr>
        <w:t xml:space="preserve">6. </w:t>
      </w:r>
      <w:r>
        <w:rPr>
          <w:rFonts w:ascii="Times New Roman" w:eastAsia="Times New Roman" w:hAnsi="Times New Roman" w:cs="Times New Roman"/>
        </w:rPr>
        <w:t xml:space="preserve">Bivariate maps of heat and water deficit indicators for different periods for RCP 4.5. A) represents historical (1991-2020), B) near future (2041-2071) and C) far future (2071-2100). Each cell of the legend corresponds to a class of heat and water deficit combined risk. Large maps (on the left) correspond to the median of the three models while Q5 and Q95 maps are associated with quantiles 0.05 and 95 of the three models. </w:t>
      </w:r>
    </w:p>
    <w:p w:rsidR="00030E7E" w:rsidRDefault="00030E7E" w:rsidP="00433067">
      <w:pPr>
        <w:spacing w:line="480" w:lineRule="auto"/>
        <w:jc w:val="both"/>
        <w:rPr>
          <w:rFonts w:ascii="Times New Roman" w:eastAsia="Times New Roman" w:hAnsi="Times New Roman" w:cs="Times New Roman"/>
        </w:rPr>
      </w:pPr>
    </w:p>
    <w:p w:rsidR="005A454D" w:rsidRPr="00F4771A" w:rsidRDefault="005A454D" w:rsidP="00433067">
      <w:pPr>
        <w:spacing w:line="480" w:lineRule="auto"/>
        <w:jc w:val="both"/>
        <w:rPr>
          <w:rFonts w:ascii="Times New Roman" w:eastAsia="Times New Roman" w:hAnsi="Times New Roman" w:cs="Times New Roman"/>
        </w:rPr>
      </w:pPr>
      <w:r w:rsidRPr="005A454D">
        <w:rPr>
          <w:rFonts w:ascii="Times New Roman" w:eastAsia="Times New Roman" w:hAnsi="Times New Roman" w:cs="Times New Roman"/>
        </w:rPr>
        <w:drawing>
          <wp:inline distT="0" distB="0" distL="0" distR="0" wp14:anchorId="5EC7ECF8" wp14:editId="74763720">
            <wp:extent cx="5731510" cy="4523740"/>
            <wp:effectExtent l="0" t="0" r="2540" b="0"/>
            <wp:docPr id="20" name="Image 19">
              <a:extLst xmlns:a="http://schemas.openxmlformats.org/drawingml/2006/main">
                <a:ext uri="{FF2B5EF4-FFF2-40B4-BE49-F238E27FC236}">
                  <a16:creationId xmlns:a16="http://schemas.microsoft.com/office/drawing/2014/main" id="{18E7E5C0-3370-4430-A967-EFD06E751E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19">
                      <a:extLst>
                        <a:ext uri="{FF2B5EF4-FFF2-40B4-BE49-F238E27FC236}">
                          <a16:creationId xmlns:a16="http://schemas.microsoft.com/office/drawing/2014/main" id="{18E7E5C0-3370-4430-A967-EFD06E751EAA}"/>
                        </a:ext>
                      </a:extLst>
                    </pic:cNvPr>
                    <pic:cNvPicPr>
                      <a:picLocks noChangeAspect="1"/>
                    </pic:cNvPicPr>
                  </pic:nvPicPr>
                  <pic:blipFill>
                    <a:blip r:embed="rId17"/>
                    <a:stretch>
                      <a:fillRect/>
                    </a:stretch>
                  </pic:blipFill>
                  <pic:spPr>
                    <a:xfrm>
                      <a:off x="0" y="0"/>
                      <a:ext cx="5731510" cy="4523740"/>
                    </a:xfrm>
                    <a:prstGeom prst="rect">
                      <a:avLst/>
                    </a:prstGeom>
                    <a:solidFill>
                      <a:schemeClr val="bg1"/>
                    </a:solidFill>
                  </pic:spPr>
                </pic:pic>
              </a:graphicData>
            </a:graphic>
          </wp:inline>
        </w:drawing>
      </w:r>
    </w:p>
    <w:p w:rsidR="00954A82" w:rsidRDefault="00954A82">
      <w:pPr>
        <w:spacing w:line="480" w:lineRule="auto"/>
        <w:jc w:val="both"/>
        <w:rPr>
          <w:rFonts w:ascii="Times New Roman" w:eastAsia="Times New Roman" w:hAnsi="Times New Roman" w:cs="Times New Roman"/>
        </w:rPr>
      </w:pPr>
    </w:p>
    <w:p w:rsidR="00954A82" w:rsidRDefault="00954A82">
      <w:pPr>
        <w:spacing w:line="480" w:lineRule="auto"/>
        <w:jc w:val="both"/>
        <w:rPr>
          <w:rFonts w:ascii="Times New Roman" w:eastAsia="Times New Roman" w:hAnsi="Times New Roman" w:cs="Times New Roman"/>
        </w:rPr>
      </w:pPr>
    </w:p>
    <w:p w:rsidR="00954A82" w:rsidRDefault="00954A82">
      <w:pPr>
        <w:spacing w:line="480" w:lineRule="auto"/>
        <w:jc w:val="both"/>
        <w:rPr>
          <w:rFonts w:ascii="Times New Roman" w:eastAsia="Times New Roman" w:hAnsi="Times New Roman" w:cs="Times New Roman"/>
          <w:b/>
        </w:rPr>
      </w:pPr>
    </w:p>
    <w:sectPr w:rsidR="00954A8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411A" w:rsidRDefault="00FE411A">
      <w:r>
        <w:separator/>
      </w:r>
    </w:p>
  </w:endnote>
  <w:endnote w:type="continuationSeparator" w:id="0">
    <w:p w:rsidR="00FE411A" w:rsidRDefault="00FE4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411A" w:rsidRDefault="00FE411A">
      <w:r>
        <w:separator/>
      </w:r>
    </w:p>
  </w:footnote>
  <w:footnote w:type="continuationSeparator" w:id="0">
    <w:p w:rsidR="00FE411A" w:rsidRDefault="00FE411A">
      <w:r>
        <w:continuationSeparator/>
      </w:r>
    </w:p>
  </w:footnote>
  <w:footnote w:id="1">
    <w:p w:rsidR="00954A82" w:rsidRPr="000D7AC3" w:rsidRDefault="00CE416E">
      <w:pPr>
        <w:pBdr>
          <w:top w:val="nil"/>
          <w:left w:val="nil"/>
          <w:bottom w:val="nil"/>
          <w:right w:val="nil"/>
          <w:between w:val="nil"/>
        </w:pBdr>
        <w:spacing w:line="480" w:lineRule="auto"/>
        <w:rPr>
          <w:rFonts w:ascii="Times New Roman" w:eastAsia="Times New Roman" w:hAnsi="Times New Roman" w:cs="Times New Roman"/>
          <w:color w:val="000000"/>
          <w:sz w:val="22"/>
          <w:szCs w:val="22"/>
          <w:lang w:val="fr-FR"/>
        </w:rPr>
      </w:pPr>
      <w:r>
        <w:rPr>
          <w:vertAlign w:val="superscript"/>
        </w:rPr>
        <w:footnoteRef/>
      </w:r>
      <w:r w:rsidRPr="000D7AC3">
        <w:rPr>
          <w:rFonts w:ascii="Times New Roman" w:eastAsia="Times New Roman" w:hAnsi="Times New Roman" w:cs="Times New Roman"/>
          <w:color w:val="000000"/>
          <w:sz w:val="22"/>
          <w:szCs w:val="22"/>
          <w:lang w:val="fr-FR"/>
        </w:rPr>
        <w:t xml:space="preserve"> INRAE, US AgroClim, F-84914, Avignon, France</w:t>
      </w:r>
    </w:p>
  </w:footnote>
  <w:footnote w:id="2">
    <w:p w:rsidR="00954A82" w:rsidRPr="000D7AC3" w:rsidRDefault="00CE416E">
      <w:pPr>
        <w:pBdr>
          <w:top w:val="nil"/>
          <w:left w:val="nil"/>
          <w:bottom w:val="nil"/>
          <w:right w:val="nil"/>
          <w:between w:val="nil"/>
        </w:pBdr>
        <w:spacing w:line="480" w:lineRule="auto"/>
        <w:rPr>
          <w:rFonts w:ascii="Times New Roman" w:eastAsia="Times New Roman" w:hAnsi="Times New Roman" w:cs="Times New Roman"/>
          <w:color w:val="000000"/>
          <w:sz w:val="22"/>
          <w:szCs w:val="22"/>
          <w:lang w:val="fr-FR"/>
        </w:rPr>
      </w:pPr>
      <w:r>
        <w:rPr>
          <w:vertAlign w:val="superscript"/>
        </w:rPr>
        <w:footnoteRef/>
      </w:r>
      <w:r w:rsidRPr="000D7AC3">
        <w:rPr>
          <w:rFonts w:ascii="Times New Roman" w:eastAsia="Times New Roman" w:hAnsi="Times New Roman" w:cs="Times New Roman"/>
          <w:color w:val="000000"/>
          <w:sz w:val="22"/>
          <w:szCs w:val="22"/>
          <w:lang w:val="fr-FR"/>
        </w:rPr>
        <w:t xml:space="preserve"> ARVALIS -  Institut du Végétal, Villiers-le- Bâcle, France</w:t>
      </w:r>
    </w:p>
  </w:footnote>
  <w:footnote w:id="3">
    <w:p w:rsidR="00954A82" w:rsidRDefault="00CE416E">
      <w:pPr>
        <w:pBdr>
          <w:top w:val="nil"/>
          <w:left w:val="nil"/>
          <w:bottom w:val="nil"/>
          <w:right w:val="nil"/>
          <w:between w:val="nil"/>
        </w:pBdr>
        <w:spacing w:line="480" w:lineRule="auto"/>
        <w:rPr>
          <w:rFonts w:ascii="Times New Roman" w:eastAsia="Times New Roman" w:hAnsi="Times New Roman" w:cs="Times New Roman"/>
          <w:color w:val="000000"/>
          <w:sz w:val="22"/>
          <w:szCs w:val="22"/>
        </w:rPr>
      </w:pPr>
      <w:r>
        <w:rPr>
          <w:vertAlign w:val="superscript"/>
        </w:rPr>
        <w:footnoteRef/>
      </w:r>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Université</w:t>
      </w:r>
      <w:proofErr w:type="spellEnd"/>
      <w:r>
        <w:rPr>
          <w:rFonts w:ascii="Times New Roman" w:eastAsia="Times New Roman" w:hAnsi="Times New Roman" w:cs="Times New Roman"/>
          <w:color w:val="000000"/>
          <w:sz w:val="22"/>
          <w:szCs w:val="22"/>
        </w:rPr>
        <w:t xml:space="preserve"> Paris-</w:t>
      </w:r>
      <w:proofErr w:type="spellStart"/>
      <w:r>
        <w:rPr>
          <w:rFonts w:ascii="Times New Roman" w:eastAsia="Times New Roman" w:hAnsi="Times New Roman" w:cs="Times New Roman"/>
          <w:color w:val="000000"/>
          <w:sz w:val="22"/>
          <w:szCs w:val="22"/>
        </w:rPr>
        <w:t>Saclay</w:t>
      </w:r>
      <w:proofErr w:type="spellEnd"/>
      <w:r>
        <w:rPr>
          <w:rFonts w:ascii="Times New Roman" w:eastAsia="Times New Roman" w:hAnsi="Times New Roman" w:cs="Times New Roman"/>
          <w:color w:val="000000"/>
          <w:sz w:val="22"/>
          <w:szCs w:val="22"/>
        </w:rPr>
        <w:t xml:space="preserve">, INRAE, UMR </w:t>
      </w:r>
      <w:proofErr w:type="spellStart"/>
      <w:r>
        <w:rPr>
          <w:rFonts w:ascii="Times New Roman" w:eastAsia="Times New Roman" w:hAnsi="Times New Roman" w:cs="Times New Roman"/>
          <w:color w:val="000000"/>
          <w:sz w:val="22"/>
          <w:szCs w:val="22"/>
        </w:rPr>
        <w:t>Ecosys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Agroparistech</w:t>
      </w:r>
      <w:proofErr w:type="spellEnd"/>
      <w:r>
        <w:rPr>
          <w:rFonts w:ascii="Times New Roman" w:eastAsia="Times New Roman" w:hAnsi="Times New Roman" w:cs="Times New Roman"/>
          <w:color w:val="000000"/>
          <w:sz w:val="22"/>
          <w:szCs w:val="22"/>
        </w:rPr>
        <w:t xml:space="preserve">, F-78850, </w:t>
      </w:r>
      <w:proofErr w:type="spellStart"/>
      <w:r>
        <w:rPr>
          <w:rFonts w:ascii="Times New Roman" w:eastAsia="Times New Roman" w:hAnsi="Times New Roman" w:cs="Times New Roman"/>
          <w:color w:val="000000"/>
          <w:sz w:val="22"/>
          <w:szCs w:val="22"/>
        </w:rPr>
        <w:t>Thiverval-Grignon</w:t>
      </w:r>
      <w:proofErr w:type="spellEnd"/>
      <w:r>
        <w:rPr>
          <w:rFonts w:ascii="Times New Roman" w:eastAsia="Times New Roman" w:hAnsi="Times New Roman" w:cs="Times New Roman"/>
          <w:color w:val="000000"/>
          <w:sz w:val="22"/>
          <w:szCs w:val="22"/>
        </w:rPr>
        <w:t>, France</w:t>
      </w:r>
    </w:p>
  </w:footnote>
  <w:footnote w:id="4">
    <w:p w:rsidR="00954A82" w:rsidRDefault="00CE416E">
      <w:pPr>
        <w:pBdr>
          <w:top w:val="nil"/>
          <w:left w:val="nil"/>
          <w:bottom w:val="nil"/>
          <w:right w:val="nil"/>
          <w:between w:val="nil"/>
        </w:pBdr>
        <w:spacing w:line="480" w:lineRule="auto"/>
        <w:rPr>
          <w:rFonts w:ascii="Times New Roman" w:eastAsia="Times New Roman" w:hAnsi="Times New Roman" w:cs="Times New Roman"/>
          <w:color w:val="000000"/>
          <w:sz w:val="22"/>
          <w:szCs w:val="22"/>
        </w:rPr>
      </w:pPr>
      <w:r>
        <w:rPr>
          <w:vertAlign w:val="superscript"/>
        </w:rPr>
        <w:footnoteRef/>
      </w:r>
      <w:r>
        <w:rPr>
          <w:rFonts w:ascii="Times New Roman" w:eastAsia="Times New Roman" w:hAnsi="Times New Roman" w:cs="Times New Roman"/>
          <w:color w:val="000000"/>
          <w:sz w:val="22"/>
          <w:szCs w:val="22"/>
        </w:rPr>
        <w:t xml:space="preserve"> The University of Queensland, Queensland Alliance for Agriculture and Food Innovation (QAAFI), Leslie Research Facility, 13 </w:t>
      </w:r>
      <w:proofErr w:type="spellStart"/>
      <w:r>
        <w:rPr>
          <w:rFonts w:ascii="Times New Roman" w:eastAsia="Times New Roman" w:hAnsi="Times New Roman" w:cs="Times New Roman"/>
          <w:color w:val="000000"/>
          <w:sz w:val="22"/>
          <w:szCs w:val="22"/>
        </w:rPr>
        <w:t>Holberton</w:t>
      </w:r>
      <w:proofErr w:type="spellEnd"/>
      <w:r>
        <w:rPr>
          <w:rFonts w:ascii="Times New Roman" w:eastAsia="Times New Roman" w:hAnsi="Times New Roman" w:cs="Times New Roman"/>
          <w:color w:val="000000"/>
          <w:sz w:val="22"/>
          <w:szCs w:val="22"/>
        </w:rPr>
        <w:t xml:space="preserve"> street, Toowoomba, QLD 4350, Australia</w:t>
      </w:r>
    </w:p>
  </w:footnote>
  <w:footnote w:id="5">
    <w:p w:rsidR="00954A82" w:rsidRPr="000D7AC3" w:rsidRDefault="00CE416E">
      <w:pPr>
        <w:pBdr>
          <w:top w:val="nil"/>
          <w:left w:val="nil"/>
          <w:bottom w:val="nil"/>
          <w:right w:val="nil"/>
          <w:between w:val="nil"/>
        </w:pBdr>
        <w:spacing w:line="480" w:lineRule="auto"/>
        <w:rPr>
          <w:rFonts w:ascii="Times New Roman" w:eastAsia="Times New Roman" w:hAnsi="Times New Roman" w:cs="Times New Roman"/>
          <w:color w:val="000000"/>
          <w:sz w:val="22"/>
          <w:szCs w:val="22"/>
          <w:lang w:val="fr-FR"/>
        </w:rPr>
      </w:pPr>
      <w:r>
        <w:rPr>
          <w:vertAlign w:val="superscript"/>
        </w:rPr>
        <w:footnoteRef/>
      </w:r>
      <w:r w:rsidRPr="000D7AC3">
        <w:rPr>
          <w:rFonts w:ascii="Times New Roman" w:eastAsia="Times New Roman" w:hAnsi="Times New Roman" w:cs="Times New Roman"/>
          <w:color w:val="000000"/>
          <w:sz w:val="22"/>
          <w:szCs w:val="22"/>
          <w:lang w:val="fr-FR"/>
        </w:rPr>
        <w:t xml:space="preserve"> Laboratoire des Sciences du Climat et de l`Environnement LSCE/IPSL, Unité Mixte CEA-CNRS-UVSQ, Université Paris-Saclay, 91191 Gif-Sur-Yvette, France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A82"/>
    <w:rsid w:val="00030E7E"/>
    <w:rsid w:val="000A326D"/>
    <w:rsid w:val="000D7AC3"/>
    <w:rsid w:val="00131C1C"/>
    <w:rsid w:val="001A4433"/>
    <w:rsid w:val="001F5987"/>
    <w:rsid w:val="003C375F"/>
    <w:rsid w:val="003C7C88"/>
    <w:rsid w:val="00433067"/>
    <w:rsid w:val="005A454D"/>
    <w:rsid w:val="00825BE9"/>
    <w:rsid w:val="00870803"/>
    <w:rsid w:val="008C7DA7"/>
    <w:rsid w:val="009141E1"/>
    <w:rsid w:val="009345F5"/>
    <w:rsid w:val="00954A82"/>
    <w:rsid w:val="00B96493"/>
    <w:rsid w:val="00C75877"/>
    <w:rsid w:val="00C86CA0"/>
    <w:rsid w:val="00CB2BEF"/>
    <w:rsid w:val="00CE416E"/>
    <w:rsid w:val="00DF1D6E"/>
    <w:rsid w:val="00DF3FAD"/>
    <w:rsid w:val="00E2013C"/>
    <w:rsid w:val="00F4771A"/>
    <w:rsid w:val="00F63200"/>
    <w:rsid w:val="00FE41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D05C0"/>
  <w15:docId w15:val="{218A79C3-53F9-474B-85BE-5FE74C18C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ormalWeb">
    <w:name w:val="Normal (Web)"/>
    <w:basedOn w:val="Normal"/>
    <w:uiPriority w:val="99"/>
    <w:semiHidden/>
    <w:unhideWhenUsed/>
    <w:rsid w:val="00133845"/>
    <w:pPr>
      <w:spacing w:before="100" w:beforeAutospacing="1" w:after="100" w:afterAutospacing="1"/>
    </w:pPr>
    <w:rPr>
      <w:rFonts w:ascii="Times New Roman" w:eastAsia="Times New Roman" w:hAnsi="Times New Roman" w:cs="Times New Roman"/>
      <w:lang w:eastAsia="en-GB"/>
    </w:rPr>
  </w:style>
  <w:style w:type="character" w:styleId="Lienhypertexte">
    <w:name w:val="Hyperlink"/>
    <w:basedOn w:val="Policepardfaut"/>
    <w:uiPriority w:val="99"/>
    <w:unhideWhenUsed/>
    <w:rsid w:val="004F5DD0"/>
    <w:rPr>
      <w:color w:val="0563C1" w:themeColor="hyperlink"/>
      <w:u w:val="single"/>
    </w:rPr>
  </w:style>
  <w:style w:type="character" w:styleId="Mentionnonrsolue">
    <w:name w:val="Unresolved Mention"/>
    <w:basedOn w:val="Policepardfaut"/>
    <w:uiPriority w:val="99"/>
    <w:semiHidden/>
    <w:unhideWhenUsed/>
    <w:rsid w:val="004F5DD0"/>
    <w:rPr>
      <w:color w:val="605E5C"/>
      <w:shd w:val="clear" w:color="auto" w:fill="E1DFDD"/>
    </w:rPr>
  </w:style>
  <w:style w:type="paragraph" w:styleId="Paragraphedeliste">
    <w:name w:val="List Paragraph"/>
    <w:basedOn w:val="Normal"/>
    <w:uiPriority w:val="34"/>
    <w:qFormat/>
    <w:rsid w:val="00CD3161"/>
    <w:pPr>
      <w:ind w:left="720"/>
      <w:contextualSpacing/>
    </w:pPr>
  </w:style>
  <w:style w:type="paragraph" w:styleId="Notedebasdepage">
    <w:name w:val="footnote text"/>
    <w:basedOn w:val="Normal"/>
    <w:link w:val="NotedebasdepageCar"/>
    <w:uiPriority w:val="99"/>
    <w:semiHidden/>
    <w:unhideWhenUsed/>
    <w:rsid w:val="00BF1FA8"/>
    <w:rPr>
      <w:sz w:val="20"/>
      <w:szCs w:val="20"/>
    </w:rPr>
  </w:style>
  <w:style w:type="character" w:customStyle="1" w:styleId="NotedebasdepageCar">
    <w:name w:val="Note de bas de page Car"/>
    <w:basedOn w:val="Policepardfaut"/>
    <w:link w:val="Notedebasdepage"/>
    <w:uiPriority w:val="99"/>
    <w:semiHidden/>
    <w:rsid w:val="00BF1FA8"/>
    <w:rPr>
      <w:sz w:val="20"/>
      <w:szCs w:val="20"/>
    </w:rPr>
  </w:style>
  <w:style w:type="character" w:styleId="Appelnotedebasdep">
    <w:name w:val="footnote reference"/>
    <w:basedOn w:val="Policepardfaut"/>
    <w:uiPriority w:val="99"/>
    <w:semiHidden/>
    <w:unhideWhenUsed/>
    <w:rsid w:val="00BF1FA8"/>
    <w:rPr>
      <w:vertAlign w:val="superscript"/>
    </w:rPr>
  </w:style>
  <w:style w:type="character" w:styleId="Numrodeligne">
    <w:name w:val="line number"/>
    <w:basedOn w:val="Policepardfaut"/>
    <w:uiPriority w:val="99"/>
    <w:semiHidden/>
    <w:unhideWhenUsed/>
    <w:rsid w:val="00BF1FA8"/>
  </w:style>
  <w:style w:type="character" w:styleId="Textedelespacerserv">
    <w:name w:val="Placeholder Text"/>
    <w:basedOn w:val="Policepardfaut"/>
    <w:uiPriority w:val="99"/>
    <w:semiHidden/>
    <w:rsid w:val="00E21706"/>
    <w:rPr>
      <w:color w:val="808080"/>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7014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ie.launay@inrae.fr" TargetMode="Externa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nan.le-roux@inrae.fr"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https://data.pheno.f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m7Sc7ayvE0OSEKOLNmn9r2Carg==">CgMxLjAyCGguZ2pkZ3hzOAByITE5QnRIZkZvLWRYak11Rl9ibjFscVNmTUdSRnJnc2Zaaw==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9</Pages>
  <Words>668</Words>
  <Characters>3676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Chloé Delmas</dc:creator>
  <cp:lastModifiedBy>marie.launay</cp:lastModifiedBy>
  <cp:revision>10</cp:revision>
  <cp:lastPrinted>2023-12-04T10:14:00Z</cp:lastPrinted>
  <dcterms:created xsi:type="dcterms:W3CDTF">2023-11-30T15:42:00Z</dcterms:created>
  <dcterms:modified xsi:type="dcterms:W3CDTF">2023-12-05T17:38:00Z</dcterms:modified>
</cp:coreProperties>
</file>