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DA3" w:rsidRPr="00681627" w:rsidRDefault="00B83DA3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5457"/>
      </w:tblGrid>
      <w:tr w:rsidR="00690EEC" w:rsidRPr="00C62C44" w:rsidTr="003723C8"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36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color w:val="FFFFFF" w:themeColor="background1"/>
              </w:rPr>
            </w:pPr>
            <w:r w:rsidRPr="00681627">
              <w:rPr>
                <w:b/>
                <w:bCs/>
                <w:color w:val="FFFFFF" w:themeColor="background1"/>
              </w:rPr>
              <w:t>Établissement</w:t>
            </w:r>
          </w:p>
        </w:tc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36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color w:val="FFFFFF" w:themeColor="background1"/>
              </w:rPr>
            </w:pPr>
            <w:r w:rsidRPr="00681627">
              <w:rPr>
                <w:b/>
                <w:bCs/>
                <w:color w:val="FFFFFF" w:themeColor="background1"/>
              </w:rPr>
              <w:t>Lauréat</w:t>
            </w:r>
          </w:p>
        </w:tc>
        <w:tc>
          <w:tcPr>
            <w:tcW w:w="233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36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color w:val="FFFFFF" w:themeColor="background1"/>
              </w:rPr>
            </w:pPr>
            <w:r w:rsidRPr="00681627">
              <w:rPr>
                <w:b/>
                <w:bCs/>
                <w:color w:val="FFFFFF" w:themeColor="background1"/>
              </w:rPr>
              <w:t>Acronyme</w:t>
            </w:r>
          </w:p>
        </w:tc>
        <w:tc>
          <w:tcPr>
            <w:tcW w:w="54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36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color w:val="FFFFFF" w:themeColor="background1"/>
                <w:lang w:val="fr-FR"/>
              </w:rPr>
            </w:pPr>
            <w:r w:rsidRPr="00681627">
              <w:rPr>
                <w:b/>
                <w:bCs/>
                <w:color w:val="FFFFFF" w:themeColor="background1"/>
                <w:lang w:val="fr-FR"/>
              </w:rPr>
              <w:t>Titre du projet de recherche</w:t>
            </w:r>
          </w:p>
        </w:tc>
      </w:tr>
      <w:tr w:rsidR="00690EEC" w:rsidRPr="00C62C44" w:rsidTr="003723C8">
        <w:trPr>
          <w:trHeight w:val="884"/>
        </w:trPr>
        <w:tc>
          <w:tcPr>
            <w:tcW w:w="2337" w:type="dxa"/>
            <w:tcBorders>
              <w:top w:val="single" w:sz="36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CHRU de NANCY</w:t>
            </w:r>
          </w:p>
        </w:tc>
        <w:tc>
          <w:tcPr>
            <w:tcW w:w="2337" w:type="dxa"/>
            <w:tcBorders>
              <w:top w:val="single" w:sz="36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AC2EC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lang w:val="fr-FR"/>
              </w:rPr>
            </w:pPr>
            <w:r w:rsidRPr="00681627">
              <w:rPr>
                <w:b/>
                <w:bCs/>
                <w:lang w:val="fr-FR"/>
              </w:rPr>
              <w:t>Stéphane ZUILY</w:t>
            </w:r>
          </w:p>
        </w:tc>
        <w:tc>
          <w:tcPr>
            <w:tcW w:w="2338" w:type="dxa"/>
            <w:tcBorders>
              <w:top w:val="single" w:sz="36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AC2EC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COVI-DOSE</w:t>
            </w:r>
          </w:p>
        </w:tc>
        <w:tc>
          <w:tcPr>
            <w:tcW w:w="5457" w:type="dxa"/>
            <w:tcBorders>
              <w:top w:val="single" w:sz="36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AC2EC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Efficacité d’une posologie d’héparine de bas poids moléculaire intermédiaire ajustée au poids, comparativement à une posologie prophylactique conventionnelle, sur la survenue d’événements thromboemboliques veineux chez les patients atteints de COVID-19 hospitalisés : Essai contrôlé randomisé en ouvert -</w:t>
            </w:r>
          </w:p>
        </w:tc>
      </w:tr>
      <w:tr w:rsidR="00690EEC" w:rsidRPr="00681627" w:rsidTr="003723C8">
        <w:trPr>
          <w:trHeight w:val="1279"/>
        </w:trPr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Hôpitaux Universitaires de Strasbourg</w:t>
            </w:r>
          </w:p>
        </w:tc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CDFF5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lang w:val="fr-FR"/>
              </w:rPr>
            </w:pPr>
            <w:r w:rsidRPr="00681627">
              <w:rPr>
                <w:b/>
                <w:bCs/>
                <w:lang w:val="fr-FR"/>
              </w:rPr>
              <w:t>Luisa WEINER</w:t>
            </w:r>
          </w:p>
        </w:tc>
        <w:tc>
          <w:tcPr>
            <w:tcW w:w="233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CDFF5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REST</w:t>
            </w:r>
          </w:p>
        </w:tc>
        <w:tc>
          <w:tcPr>
            <w:tcW w:w="54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CDFF5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Évaluation de l’efficacité d’un programme de psychothérapie cognitive en ligne visant à diminuer le stress et des professionnels de santé impliqués dans la lutte contre l’épidémie de COVID-19</w:t>
            </w:r>
          </w:p>
        </w:tc>
      </w:tr>
      <w:tr w:rsidR="00690EEC" w:rsidRPr="00681627" w:rsidTr="003723C8">
        <w:trPr>
          <w:trHeight w:val="1255"/>
        </w:trPr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Institut de cancérologie Strasbourg Europe</w:t>
            </w:r>
          </w:p>
        </w:tc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AC2EC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lang w:val="fr-FR"/>
              </w:rPr>
            </w:pPr>
            <w:r w:rsidRPr="00681627">
              <w:rPr>
                <w:b/>
                <w:bCs/>
                <w:lang w:val="fr-FR"/>
              </w:rPr>
              <w:t>Jean-Luc FORNECKER</w:t>
            </w:r>
          </w:p>
        </w:tc>
        <w:tc>
          <w:tcPr>
            <w:tcW w:w="233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AC2EC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HYACINTHE</w:t>
            </w:r>
          </w:p>
        </w:tc>
        <w:tc>
          <w:tcPr>
            <w:tcW w:w="54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AC2EC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Essai de phase 2, multicentrique, randomisé contre placebo, évaluant l’efficacité d’un traitement par hydroxychloroquine et azithromycine chez des patients atteints de COVID-19 et porteurs d’une hémopathie maligne</w:t>
            </w:r>
          </w:p>
        </w:tc>
      </w:tr>
      <w:tr w:rsidR="00690EEC" w:rsidRPr="00681627" w:rsidTr="003723C8">
        <w:trPr>
          <w:trHeight w:val="1132"/>
        </w:trPr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B381D9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CHU de Besançon</w:t>
            </w:r>
          </w:p>
        </w:tc>
        <w:tc>
          <w:tcPr>
            <w:tcW w:w="233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CDFF5"/>
            <w:vAlign w:val="center"/>
          </w:tcPr>
          <w:p w:rsidR="003723C8" w:rsidRPr="00681627" w:rsidRDefault="00681627" w:rsidP="003723C8">
            <w:pPr>
              <w:jc w:val="center"/>
              <w:rPr>
                <w:b/>
                <w:bCs/>
                <w:lang w:val="fr-FR"/>
              </w:rPr>
            </w:pPr>
            <w:r w:rsidRPr="00681627">
              <w:rPr>
                <w:b/>
                <w:bCs/>
                <w:lang w:val="fr-FR"/>
              </w:rPr>
              <w:t>Nicolas MOTTET</w:t>
            </w:r>
          </w:p>
        </w:tc>
        <w:tc>
          <w:tcPr>
            <w:tcW w:w="233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CDFF5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TRANSCOVID</w:t>
            </w:r>
          </w:p>
        </w:tc>
        <w:tc>
          <w:tcPr>
            <w:tcW w:w="54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CDFF5"/>
            <w:vAlign w:val="center"/>
          </w:tcPr>
          <w:p w:rsidR="003723C8" w:rsidRPr="00681627" w:rsidRDefault="00681627" w:rsidP="003723C8">
            <w:pPr>
              <w:jc w:val="center"/>
              <w:rPr>
                <w:lang w:val="fr-FR"/>
              </w:rPr>
            </w:pPr>
            <w:r w:rsidRPr="00681627">
              <w:rPr>
                <w:lang w:val="fr-FR"/>
              </w:rPr>
              <w:t>Etude de la charge virale et de la sérologie maternofoetale dans l’interprétation de la transmision verticale du Covid-19 pendant la grossesse</w:t>
            </w:r>
          </w:p>
        </w:tc>
      </w:tr>
    </w:tbl>
    <w:p w:rsidR="003723C8" w:rsidRPr="00681627" w:rsidRDefault="003723C8" w:rsidP="003723C8">
      <w:pPr>
        <w:pStyle w:val="Default"/>
        <w:rPr>
          <w:lang w:val="fr-FR"/>
        </w:rPr>
      </w:pPr>
    </w:p>
    <w:p w:rsidR="003723C8" w:rsidRPr="00681627" w:rsidRDefault="003723C8" w:rsidP="003723C8">
      <w:pPr>
        <w:pStyle w:val="Default"/>
        <w:rPr>
          <w:color w:val="auto"/>
          <w:lang w:val="fr-FR"/>
        </w:rPr>
      </w:pPr>
    </w:p>
    <w:p w:rsidR="003723C8" w:rsidRPr="003723C8" w:rsidRDefault="00681627" w:rsidP="003723C8">
      <w:pPr>
        <w:jc w:val="center"/>
        <w:rPr>
          <w:lang w:val="fr-FR"/>
        </w:rPr>
      </w:pPr>
      <w:r w:rsidRPr="00681627">
        <w:rPr>
          <w:lang w:val="fr-FR"/>
        </w:rPr>
        <w:t xml:space="preserve"> </w:t>
      </w:r>
      <w:r w:rsidRPr="00681627">
        <w:rPr>
          <w:sz w:val="23"/>
          <w:szCs w:val="23"/>
          <w:lang w:val="fr-FR"/>
        </w:rPr>
        <w:t>Liste validée en date du 28/04/2020</w:t>
      </w:r>
    </w:p>
    <w:sectPr w:rsidR="003723C8" w:rsidRPr="003723C8" w:rsidSect="003723C8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6A5" w:rsidRDefault="00681627">
      <w:pPr>
        <w:spacing w:after="0" w:line="240" w:lineRule="auto"/>
      </w:pPr>
      <w:r>
        <w:separator/>
      </w:r>
    </w:p>
  </w:endnote>
  <w:endnote w:type="continuationSeparator" w:id="0">
    <w:p w:rsidR="00E446A5" w:rsidRDefault="00681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6A5" w:rsidRDefault="00681627">
      <w:pPr>
        <w:spacing w:after="0" w:line="240" w:lineRule="auto"/>
      </w:pPr>
      <w:r>
        <w:separator/>
      </w:r>
    </w:p>
  </w:footnote>
  <w:footnote w:type="continuationSeparator" w:id="0">
    <w:p w:rsidR="00E446A5" w:rsidRDefault="00681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3C8" w:rsidRPr="00681627" w:rsidRDefault="00681627">
    <w:pPr>
      <w:pStyle w:val="Header"/>
      <w:rPr>
        <w:lang w:val="fi-FI"/>
      </w:rPr>
    </w:pPr>
    <w:r w:rsidRPr="00681627">
      <w:rPr>
        <w:lang w:val="fi-FI"/>
      </w:rPr>
      <w:t>[logo]</w:t>
    </w:r>
  </w:p>
  <w:p w:rsidR="003723C8" w:rsidRDefault="003723C8" w:rsidP="003723C8">
    <w:pPr>
      <w:pStyle w:val="Default"/>
    </w:pPr>
  </w:p>
  <w:p w:rsidR="003723C8" w:rsidRDefault="003723C8" w:rsidP="003723C8">
    <w:pPr>
      <w:pStyle w:val="Default"/>
      <w:rPr>
        <w:color w:val="auto"/>
      </w:rPr>
    </w:pPr>
  </w:p>
  <w:p w:rsidR="003723C8" w:rsidRPr="00681627" w:rsidRDefault="00681627" w:rsidP="003723C8">
    <w:pPr>
      <w:pStyle w:val="Header"/>
      <w:ind w:left="1276"/>
      <w:jc w:val="center"/>
      <w:rPr>
        <w:sz w:val="16"/>
        <w:szCs w:val="16"/>
      </w:rPr>
    </w:pPr>
    <w:r w:rsidRPr="00681627">
      <w:rPr>
        <w:rFonts w:ascii="Calibri" w:eastAsia="Calibri" w:hAnsi="Calibri" w:cs="Arial"/>
        <w:b/>
        <w:bCs/>
        <w:sz w:val="36"/>
        <w:szCs w:val="36"/>
      </w:rPr>
      <w:t>Final list of recipients of PHRCI (</w:t>
    </w:r>
    <w:r w:rsidRPr="00681627">
      <w:rPr>
        <w:rFonts w:ascii="Calibri" w:eastAsia="Calibri" w:hAnsi="Calibri" w:cs="Arial"/>
        <w:b/>
        <w:bCs/>
        <w:i/>
        <w:iCs/>
        <w:sz w:val="36"/>
        <w:szCs w:val="36"/>
      </w:rPr>
      <w:t>Programme Hospitalier de Recherche Clinique Interregional</w:t>
    </w:r>
    <w:r w:rsidRPr="00681627">
      <w:rPr>
        <w:rFonts w:ascii="Calibri" w:eastAsia="Calibri" w:hAnsi="Calibri" w:cs="Arial"/>
        <w:b/>
        <w:bCs/>
        <w:sz w:val="36"/>
        <w:szCs w:val="36"/>
      </w:rPr>
      <w:t xml:space="preserve"> [Inter-regional Hospital Clinical Research Program]) 2020 – Covid-19 approved by the DGOS (</w:t>
    </w:r>
    <w:r w:rsidRPr="00681627">
      <w:rPr>
        <w:rFonts w:ascii="Calibri" w:eastAsia="Calibri" w:hAnsi="Calibri" w:cs="Arial"/>
        <w:b/>
        <w:bCs/>
        <w:i/>
        <w:iCs/>
        <w:sz w:val="36"/>
        <w:szCs w:val="36"/>
      </w:rPr>
      <w:t xml:space="preserve">Direction générale de l’offre de soins </w:t>
    </w:r>
    <w:r w:rsidRPr="00681627">
      <w:rPr>
        <w:rFonts w:ascii="Calibri" w:eastAsia="Calibri" w:hAnsi="Calibri" w:cs="Arial"/>
        <w:b/>
        <w:bCs/>
        <w:sz w:val="36"/>
        <w:szCs w:val="36"/>
      </w:rPr>
      <w:t>[Healthcare Provision General Directorate])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3C8"/>
    <w:rsid w:val="003723C8"/>
    <w:rsid w:val="00681627"/>
    <w:rsid w:val="00690EEC"/>
    <w:rsid w:val="00A11CE1"/>
    <w:rsid w:val="00B83DA3"/>
    <w:rsid w:val="00C62C44"/>
    <w:rsid w:val="00E4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571029A6-E7FE-41DA-8236-7603DCF3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23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3C8"/>
  </w:style>
  <w:style w:type="paragraph" w:styleId="Footer">
    <w:name w:val="footer"/>
    <w:basedOn w:val="Normal"/>
    <w:link w:val="FooterChar"/>
    <w:uiPriority w:val="99"/>
    <w:unhideWhenUsed/>
    <w:rsid w:val="003723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3C8"/>
  </w:style>
  <w:style w:type="paragraph" w:customStyle="1" w:styleId="Default">
    <w:name w:val="Default"/>
    <w:rsid w:val="003723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372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Transperfect Translations, Inc.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FR0087233</dc:title>
  <dc:creator>Salla Soini</dc:creator>
  <cp:lastModifiedBy>Salla Soini</cp:lastModifiedBy>
  <cp:revision>3</cp:revision>
  <dcterms:created xsi:type="dcterms:W3CDTF">2020-05-19T08:31:00Z</dcterms:created>
  <dcterms:modified xsi:type="dcterms:W3CDTF">2020-05-19T11:32:00Z</dcterms:modified>
</cp:coreProperties>
</file>