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3948"/>
      </w:tblGrid>
      <w:tr w:rsidR="007D3909" w:rsidRPr="001E5B0E" w:rsidTr="00102050">
        <w:tc>
          <w:tcPr>
            <w:tcW w:w="5000" w:type="pct"/>
          </w:tcPr>
          <w:p w:rsidR="007D3909" w:rsidRPr="001E5B0E" w:rsidRDefault="007D3909" w:rsidP="00102050">
            <w:pPr>
              <w:contextualSpacing/>
              <w:rPr>
                <w:rFonts w:cs="Times New Roman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rFonts w:cs="Times New Roman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 xml:space="preserve">Table </w:t>
            </w:r>
            <w:r>
              <w:rPr>
                <w:rFonts w:cs="Times New Roman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>S</w:t>
            </w:r>
            <w:r w:rsidRPr="001E5B0E">
              <w:rPr>
                <w:rFonts w:cs="Times New Roman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 xml:space="preserve">1. </w:t>
            </w:r>
            <w:r w:rsidRPr="001E5B0E">
              <w:rPr>
                <w:rFonts w:cs="Times New Roman" w:hint="eastAsi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In</w:t>
            </w:r>
            <w:r w:rsidRPr="001E5B0E">
              <w:rPr>
                <w:rFonts w:cs="Times New Roman"/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>clusion and Exclusion Criteria</w:t>
            </w:r>
          </w:p>
        </w:tc>
      </w:tr>
      <w:tr w:rsidR="007D3909" w:rsidRPr="001E5B0E" w:rsidTr="00102050">
        <w:tc>
          <w:tcPr>
            <w:tcW w:w="5000" w:type="pct"/>
          </w:tcPr>
          <w:p w:rsidR="007D3909" w:rsidRPr="001E5B0E" w:rsidRDefault="007D3909" w:rsidP="00102050">
            <w:pPr>
              <w:contextualSpacing/>
              <w:rPr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>Inclusion Criteria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1. Patients with histologically proven recurrent GBM;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2. Patients must show unequivocal evidence for tumor recurrence or progression by MRI scan after failing prior surgical resection, biopsy, chemotherapy or radiation. A baseline MRI must be performed within 15 days prior to Day 0/Baseline; </w:t>
            </w:r>
          </w:p>
          <w:p w:rsidR="007D3909" w:rsidRPr="00425A3F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3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. Patients will consen</w:t>
            </w:r>
            <w:r w:rsidRPr="00425A3F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t to have a biopsy taken to confirm the presence of glioblastoma (based on frozen section) before injection of Ad-TD-nsIL12; </w:t>
            </w:r>
          </w:p>
          <w:p w:rsidR="007D3909" w:rsidRPr="00425A3F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425A3F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4. Patients may or may not have had prior chemotherapy; </w:t>
            </w:r>
          </w:p>
          <w:p w:rsidR="007D3909" w:rsidRPr="00425A3F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425A3F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5. Patients must be willing and able to give informed consent; </w:t>
            </w:r>
          </w:p>
          <w:p w:rsidR="007D3909" w:rsidRPr="00425A3F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425A3F">
              <w:rPr>
                <w:color w:val="000000" w:themeColor="text1"/>
                <w:sz w:val="21"/>
                <w:szCs w:val="21"/>
                <w:shd w:val="clear" w:color="auto" w:fill="FFFFFF"/>
              </w:rPr>
              <w:t>6. Aged ≥</w:t>
            </w:r>
            <w:r w:rsidRPr="00425A3F">
              <w:rPr>
                <w:rFonts w:hint="eastAsia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425A3F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18 years; </w:t>
            </w:r>
          </w:p>
          <w:p w:rsidR="007D3909" w:rsidRPr="00425A3F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425A3F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7. Patients must have a KPS ≥ 70;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425A3F">
              <w:rPr>
                <w:color w:val="000000" w:themeColor="text1"/>
                <w:sz w:val="21"/>
                <w:szCs w:val="21"/>
                <w:shd w:val="clear" w:color="auto" w:fill="FFFFFF"/>
              </w:rPr>
              <w:t>8. Patients must have recovered from the toxic effects o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f prior therapy (i.e. CTC grade 1 or less). For example, they must be at least 2 weeks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post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vincristine, 6 weeks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post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nitrosoureas, and 3 weeks 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post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procarbazine or temozolomide administration;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9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. Patients 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must have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sufficient hematopoietic function of bone marrow and liver/renal function. </w:t>
            </w:r>
          </w:p>
          <w:p w:rsidR="007D3909" w:rsidRPr="001E5B0E" w:rsidRDefault="007D3909" w:rsidP="00102050">
            <w:pPr>
              <w:contextualSpacing/>
              <w:rPr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b/>
                <w:bCs/>
                <w:color w:val="000000" w:themeColor="text1"/>
                <w:sz w:val="21"/>
                <w:szCs w:val="21"/>
                <w:shd w:val="clear" w:color="auto" w:fill="FFFFFF"/>
              </w:rPr>
              <w:t>Exclusion Criteria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1. 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R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adiation therapy within 4 weeks prior to A</w:t>
            </w:r>
            <w:r w:rsidRPr="001E5B0E">
              <w:rPr>
                <w:rFonts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d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-TD-nsIL12 administration.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2. Uncontrolled active infection or unstable or severe infectio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us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disease.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3. Predisposition to bleeding or use of anticoagulants or any medication that may increase the risk of bleeding before surgery. Patients may be eligible if, in the surgeon's clinical judgment, </w:t>
            </w:r>
            <w:r w:rsidRPr="001E5B0E">
              <w:rPr>
                <w:rFonts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t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hese medications can be discontinued prior to A</w:t>
            </w:r>
            <w:r w:rsidRPr="001E5B0E">
              <w:rPr>
                <w:rFonts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d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-TD-nsIL12 injection.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4. </w:t>
            </w:r>
            <w:bookmarkStart w:id="0" w:name="OLE_LINK1"/>
            <w:bookmarkStart w:id="1" w:name="OLE_LINK2"/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Failure to obtain informed consent due to psychiatric problems or complex medical conditions.</w:t>
            </w:r>
            <w:bookmarkEnd w:id="0"/>
            <w:bookmarkEnd w:id="1"/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5. Women who are pregnant and/or breastfeeding.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6. Patients with immunodeficiency, autoimmune diseases, active hepatitis B or C, or HIV positive.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7. Patients with multiple intracranial primary or recurrent GBM.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8. Patients with extracranial metastases.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9. Biological/immunotherapy (e.g., IL-2, IL-12, interferon) performed within 4 weeks 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before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administration.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10. Concurrent chemotherapy, radiotherapy or biological therapy.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bookmarkStart w:id="2" w:name="OLE_LINK3"/>
            <w:bookmarkStart w:id="3" w:name="OLE_LINK4"/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11. Presence of prohibited items for MRI examination, such as pacemakers, epicardial pacemaker wires, infusion pumps, surgical and/or aneurysm clips, shrapnel, metal prostheses, potentially magnetic implants, metal objects in the eye, etc.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12. White blood cell (WBC) &lt; 2.5</w:t>
            </w:r>
            <w:bookmarkStart w:id="4" w:name="OLE_LINK5"/>
            <w:bookmarkStart w:id="5" w:name="OLE_LINK6"/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×</w:t>
            </w:r>
            <w:bookmarkEnd w:id="4"/>
            <w:bookmarkEnd w:id="5"/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10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  <w:vertAlign w:val="superscript"/>
              </w:rPr>
              <w:t>3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/mm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  <w:vertAlign w:val="superscript"/>
              </w:rPr>
              <w:t>3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, absolute neutrophil count (ANC) &lt; 1.5×10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  <w:vertAlign w:val="superscript"/>
              </w:rPr>
              <w:t>3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/mm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  <w:vertAlign w:val="superscript"/>
              </w:rPr>
              <w:t>3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, platelets &lt; 100,000/mm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  <w:vertAlign w:val="superscript"/>
              </w:rPr>
              <w:t>3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, hemoglobin (Hgb) &lt; 10.0 gm/dL, Prothrombin time/international normalized ratio (PT/INR) or partial thromboplastin time (PTT) &gt; 1.8× control.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13. Grade 4 hematotoxicity.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14. Serum creatinine &gt; 1.5 mg/dL.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15. Liver aminotransferase (aspartate aminotransferase (AST) and/or alanine aminotransferase (ALT)) or total bilirubin &gt; 2 times the upper limit of normal.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16. Receive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d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any type of vaccine within 30 days prior to A</w:t>
            </w:r>
            <w:r w:rsidRPr="001E5B0E">
              <w:rPr>
                <w:rFonts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d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-TD-nsIL12 administration.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lastRenderedPageBreak/>
              <w:t>17. Patients with a current diagnosis of other cancers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.C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ured cervical cancer in situ, basal or squamous cell carcinoma of the skin, and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>/or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a previous history of another cancer that has been absent for at least three years remain eligible.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>18. A history of encephalitis, multiple sclerosis, other central nervous system infections, or primary central nervous system disorders</w:t>
            </w:r>
            <w:r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that</w:t>
            </w: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may affect the subject's evaluation. </w:t>
            </w:r>
          </w:p>
          <w:p w:rsidR="007D3909" w:rsidRPr="001E5B0E" w:rsidRDefault="007D3909" w:rsidP="00102050">
            <w:pPr>
              <w:contextualSpacing/>
              <w:rPr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19. Patients who have been treated with gene transfer therapy or have been treated with any type of cytolytic virus. </w:t>
            </w:r>
          </w:p>
          <w:p w:rsidR="007D3909" w:rsidRPr="001E5B0E" w:rsidRDefault="007D3909" w:rsidP="00102050">
            <w:pPr>
              <w:contextualSpacing/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</w:pPr>
            <w:r w:rsidRPr="001E5B0E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20. Men or women who refused contraception during the study and within 6 months after A</w:t>
            </w:r>
            <w:r w:rsidRPr="001E5B0E">
              <w:rPr>
                <w:rFonts w:cs="Times New Roman" w:hint="eastAsia"/>
                <w:color w:val="000000" w:themeColor="text1"/>
                <w:sz w:val="21"/>
                <w:szCs w:val="21"/>
                <w:shd w:val="clear" w:color="auto" w:fill="FFFFFF"/>
                <w:lang w:eastAsia="zh-CN"/>
              </w:rPr>
              <w:t>d</w:t>
            </w:r>
            <w:r w:rsidRPr="001E5B0E">
              <w:rPr>
                <w:rFonts w:cs="Times New Roman"/>
                <w:color w:val="000000" w:themeColor="text1"/>
                <w:sz w:val="21"/>
                <w:szCs w:val="21"/>
                <w:shd w:val="clear" w:color="auto" w:fill="FFFFFF"/>
              </w:rPr>
              <w:t>-TD-nsIL12 injection.</w:t>
            </w:r>
            <w:bookmarkEnd w:id="2"/>
            <w:bookmarkEnd w:id="3"/>
          </w:p>
        </w:tc>
      </w:tr>
    </w:tbl>
    <w:p w:rsidR="007D3909" w:rsidRDefault="007D3909" w:rsidP="007D3909">
      <w:pPr>
        <w:rPr>
          <w:rFonts w:ascii="Arial" w:eastAsia="仿宋" w:hAnsi="Arial" w:cs="Arial"/>
          <w:color w:val="000000" w:themeColor="text1"/>
          <w:kern w:val="24"/>
          <w:sz w:val="22"/>
        </w:rPr>
        <w:sectPr w:rsidR="007D3909" w:rsidSect="004F7861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tbl>
      <w:tblPr>
        <w:tblStyle w:val="4"/>
        <w:tblpPr w:leftFromText="180" w:rightFromText="180" w:horzAnchor="margin" w:tblpX="-1168" w:tblpY="332"/>
        <w:tblW w:w="6454" w:type="pct"/>
        <w:tblLook w:val="04A0" w:firstRow="1" w:lastRow="0" w:firstColumn="1" w:lastColumn="0" w:noHBand="0" w:noVBand="1"/>
      </w:tblPr>
      <w:tblGrid>
        <w:gridCol w:w="4809"/>
        <w:gridCol w:w="1083"/>
        <w:gridCol w:w="1084"/>
        <w:gridCol w:w="1082"/>
        <w:gridCol w:w="1082"/>
        <w:gridCol w:w="1568"/>
      </w:tblGrid>
      <w:tr w:rsidR="007D3909" w:rsidRPr="001E5B0E" w:rsidTr="00102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 w:hint="eastAsia"/>
                <w:color w:val="000000" w:themeColor="text1"/>
                <w:kern w:val="0"/>
              </w:rPr>
              <w:lastRenderedPageBreak/>
              <w:t>Tab</w:t>
            </w: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 xml:space="preserve">le </w:t>
            </w:r>
            <w: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>S2</w:t>
            </w: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 xml:space="preserve">: Adverse Events </w:t>
            </w:r>
            <w: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 xml:space="preserve">recorded </w:t>
            </w:r>
            <w:r>
              <w:rPr>
                <w:rFonts w:ascii="Times New Roman" w:eastAsia="DengXian" w:hAnsi="Times New Roman" w:cs="Times New Roman" w:hint="eastAsia"/>
                <w:color w:val="000000" w:themeColor="text1"/>
                <w:kern w:val="0"/>
                <w:lang w:eastAsia="zh-CN"/>
              </w:rPr>
              <w:t>b</w:t>
            </w:r>
            <w:r>
              <w:rPr>
                <w:rFonts w:ascii="Times New Roman" w:eastAsia="DengXian" w:hAnsi="Times New Roman" w:cs="Times New Roman"/>
                <w:color w:val="000000" w:themeColor="text1"/>
                <w:kern w:val="0"/>
                <w:lang w:eastAsia="zh-CN"/>
              </w:rPr>
              <w:t xml:space="preserve">etween first and </w:t>
            </w: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 w:themeColor="text1"/>
                <w:kern w:val="0"/>
                <w:lang w:eastAsia="zh-CN"/>
              </w:rPr>
              <w:t>2 months</w:t>
            </w:r>
            <w:r w:rsidRPr="001E5B0E">
              <w:rPr>
                <w:rFonts w:ascii="Times New Roman" w:eastAsia="DengXian" w:hAnsi="Times New Roman" w:cs="Times New Roman" w:hint="eastAsia"/>
                <w:color w:val="000000" w:themeColor="text1"/>
                <w:kern w:val="0"/>
                <w:lang w:eastAsia="zh-CN"/>
              </w:rPr>
              <w:t xml:space="preserve"> </w:t>
            </w: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>after</w:t>
            </w:r>
            <w: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 xml:space="preserve"> the</w:t>
            </w: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 xml:space="preserve"> last Ad-TD-nsIL12</w:t>
            </w:r>
            <w: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 xml:space="preserve"> injection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>Event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  <w:t>Grade 1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  <w:t>Grade 2</w:t>
            </w:r>
          </w:p>
        </w:tc>
        <w:tc>
          <w:tcPr>
            <w:tcW w:w="505" w:type="pct"/>
            <w:tcBorders>
              <w:top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  <w:t>Grade 3</w:t>
            </w:r>
          </w:p>
        </w:tc>
        <w:tc>
          <w:tcPr>
            <w:tcW w:w="505" w:type="pct"/>
            <w:tcBorders>
              <w:top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  <w:t>Grade 4</w:t>
            </w:r>
          </w:p>
        </w:tc>
        <w:tc>
          <w:tcPr>
            <w:tcW w:w="732" w:type="pct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  <w:t>Number of Patients (%)</w:t>
            </w:r>
          </w:p>
        </w:tc>
      </w:tr>
      <w:tr w:rsidR="007D3909" w:rsidRPr="001E5B0E" w:rsidTr="00102050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</w:p>
        </w:tc>
        <w:tc>
          <w:tcPr>
            <w:tcW w:w="2022" w:type="pct"/>
            <w:gridSpan w:val="4"/>
            <w:tcBorders>
              <w:bottom w:val="single" w:sz="4" w:space="0" w:color="auto"/>
            </w:tcBorders>
            <w:vAlign w:val="center"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>number</w:t>
            </w:r>
          </w:p>
        </w:tc>
        <w:tc>
          <w:tcPr>
            <w:tcW w:w="7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>n (%)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Cardiac disorders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tcBorders>
              <w:top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tcBorders>
              <w:top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tcBorders>
              <w:top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Atrial fibrillation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2(25.0%)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Heart failure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2(25.0%)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Eye Disorders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Extraocular muscle paresis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2(25.0%)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Eye pain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1(12.5%)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Gastrointestinal disorders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Abdominal pain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2(25.0%)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Constipation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1(12.5%)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Diarrhea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1(12.5%)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Nausea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1*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6(75.0%)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Vomiting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1*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6(75.0%)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General disorders and administration site conditions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Edema limbs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1(12.5%)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Fatigue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4(50.0%)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Fever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7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7(87.5%)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Infections and infestations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Upper respiratory infection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2(25.0%)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Urinary tract infection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1(12.5%)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Nerve System Disorder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Amnesia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2(25.0%)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 xml:space="preserve">Arachnoiditis 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1(12.5%)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Cognitive disturbance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4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7(87.5%)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Dizziness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5(62.5%)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lastRenderedPageBreak/>
              <w:t>Dysarthria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4(50.0%)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Headache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4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5(62.5%)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Hydrocephalus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4(50.0%)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Intracranial hemorrhage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2(25.0%)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Memory impairment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5(62.5%)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Muscle weakness one-sided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4(50.0%)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Seizure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  <w:t>2*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5(62.5%)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Psychiatric disorders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Insomnia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1(12.5%)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Respiratory, thoracic and mediastinal disorders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Pneumonitis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4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6(75.0%)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Vascular disorders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bCs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 xml:space="preserve">　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Hypertension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3(37.5%)</w:t>
            </w:r>
          </w:p>
        </w:tc>
      </w:tr>
      <w:tr w:rsidR="007D3909" w:rsidRPr="001E5B0E" w:rsidTr="00102050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6" w:type="pct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ind w:firstLineChars="250" w:firstLine="600"/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</w:rPr>
              <w:t>Hypotension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0</w:t>
            </w:r>
          </w:p>
        </w:tc>
        <w:tc>
          <w:tcPr>
            <w:tcW w:w="732" w:type="pct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909" w:rsidRPr="001E5B0E" w:rsidRDefault="007D3909" w:rsidP="00102050">
            <w:pPr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 w:themeColor="text1"/>
                <w:kern w:val="0"/>
              </w:rPr>
            </w:pPr>
            <w:r w:rsidRPr="001E5B0E">
              <w:rPr>
                <w:rFonts w:ascii="Times New Roman" w:eastAsia="DengXian" w:hAnsi="Times New Roman" w:cs="Times New Roman"/>
                <w:color w:val="000000" w:themeColor="text1"/>
              </w:rPr>
              <w:t>2(25.0%)</w:t>
            </w:r>
          </w:p>
        </w:tc>
      </w:tr>
      <w:tr w:rsidR="007D3909" w:rsidRPr="001E5B0E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09" w:rsidRPr="001E5B0E" w:rsidRDefault="007D3909" w:rsidP="00102050">
            <w:pPr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  <w:sz w:val="22"/>
              </w:rPr>
            </w:pPr>
            <w:bookmarkStart w:id="6" w:name="OLE_LINK119"/>
            <w:bookmarkStart w:id="7" w:name="OLE_LINK120"/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  <w:sz w:val="22"/>
              </w:rPr>
              <w:t>1. Adverse events were graded according to Common Terminology Criteria for Adverse Events (CTCAE, version 5.0)</w:t>
            </w:r>
          </w:p>
          <w:p w:rsidR="007D3909" w:rsidRPr="001E5B0E" w:rsidRDefault="007D3909" w:rsidP="00102050">
            <w:pPr>
              <w:outlineLvl w:val="0"/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  <w:sz w:val="22"/>
              </w:rPr>
              <w:t>2</w:t>
            </w: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  <w:sz w:val="22"/>
              </w:rPr>
              <w:t>. Laboratory abnormalities are no</w:t>
            </w:r>
            <w:r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  <w:sz w:val="22"/>
              </w:rPr>
              <w:t>t</w:t>
            </w:r>
            <w:r w:rsidRPr="001E5B0E">
              <w:rPr>
                <w:rFonts w:ascii="Times New Roman" w:eastAsia="DengXian" w:hAnsi="Times New Roman" w:cs="Times New Roman"/>
                <w:b w:val="0"/>
                <w:bCs w:val="0"/>
                <w:color w:val="000000" w:themeColor="text1"/>
                <w:kern w:val="0"/>
                <w:sz w:val="22"/>
              </w:rPr>
              <w:t xml:space="preserve"> included.</w:t>
            </w:r>
            <w:bookmarkEnd w:id="6"/>
            <w:bookmarkEnd w:id="7"/>
          </w:p>
        </w:tc>
      </w:tr>
    </w:tbl>
    <w:p w:rsidR="007D3909" w:rsidRDefault="007D3909" w:rsidP="007D3909">
      <w:pPr>
        <w:rPr>
          <w:rFonts w:ascii="Arial" w:eastAsia="仿宋" w:hAnsi="Arial" w:cs="Arial"/>
          <w:color w:val="000000" w:themeColor="text1"/>
          <w:kern w:val="24"/>
          <w:sz w:val="22"/>
        </w:rPr>
        <w:sectPr w:rsidR="007D3909" w:rsidSect="002C0F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1"/>
        <w:tblpPr w:leftFromText="181" w:rightFromText="181" w:vertAnchor="text" w:horzAnchor="margin" w:tblpY="2"/>
        <w:tblOverlap w:val="never"/>
        <w:tblW w:w="5000" w:type="pct"/>
        <w:tblLook w:val="04A0" w:firstRow="1" w:lastRow="0" w:firstColumn="1" w:lastColumn="0" w:noHBand="0" w:noVBand="1"/>
      </w:tblPr>
      <w:tblGrid>
        <w:gridCol w:w="1565"/>
        <w:gridCol w:w="510"/>
        <w:gridCol w:w="2524"/>
        <w:gridCol w:w="1877"/>
        <w:gridCol w:w="1820"/>
      </w:tblGrid>
      <w:tr w:rsidR="007D3909" w:rsidRPr="00670246" w:rsidTr="001020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vAlign w:val="center"/>
          </w:tcPr>
          <w:p w:rsidR="007D3909" w:rsidRPr="00670246" w:rsidRDefault="007D3909" w:rsidP="00102050">
            <w:pPr>
              <w:snapToGrid w:val="0"/>
              <w:contextualSpacing/>
              <w:rPr>
                <w:rFonts w:eastAsia="DengXian"/>
                <w:color w:val="000000"/>
              </w:rPr>
            </w:pPr>
            <w:bookmarkStart w:id="8" w:name="_Toc119250057"/>
            <w:r w:rsidRPr="00CE333D">
              <w:rPr>
                <w:rFonts w:eastAsia="仿宋" w:cs="Times New Roman" w:hint="eastAsia"/>
                <w:color w:val="000000"/>
                <w:kern w:val="24"/>
              </w:rPr>
              <w:lastRenderedPageBreak/>
              <w:t>Ta</w:t>
            </w:r>
            <w:r w:rsidRPr="00CE333D">
              <w:rPr>
                <w:rFonts w:eastAsia="仿宋" w:cs="Times New Roman"/>
                <w:color w:val="000000"/>
                <w:kern w:val="24"/>
              </w:rPr>
              <w:t>ble S</w:t>
            </w:r>
            <w:r>
              <w:rPr>
                <w:rFonts w:eastAsia="仿宋" w:cs="Times New Roman"/>
                <w:color w:val="000000"/>
                <w:kern w:val="24"/>
              </w:rPr>
              <w:t>3</w:t>
            </w:r>
            <w:r w:rsidRPr="00CE333D">
              <w:rPr>
                <w:rFonts w:eastAsia="仿宋" w:cs="Times New Roman"/>
                <w:color w:val="000000"/>
                <w:kern w:val="24"/>
              </w:rPr>
              <w:t>: Adenovirus</w:t>
            </w:r>
            <w:r>
              <w:rPr>
                <w:rFonts w:eastAsia="仿宋" w:cs="Times New Roman"/>
                <w:color w:val="000000"/>
                <w:kern w:val="24"/>
              </w:rPr>
              <w:t xml:space="preserve"> genome</w:t>
            </w:r>
            <w:r w:rsidRPr="00CE333D">
              <w:rPr>
                <w:rFonts w:eastAsia="仿宋" w:cs="Times New Roman"/>
                <w:color w:val="000000"/>
                <w:kern w:val="24"/>
              </w:rPr>
              <w:t xml:space="preserve"> </w:t>
            </w:r>
            <w:r>
              <w:rPr>
                <w:rFonts w:eastAsia="仿宋" w:cs="Times New Roman"/>
                <w:color w:val="000000"/>
                <w:kern w:val="24"/>
              </w:rPr>
              <w:t>d</w:t>
            </w:r>
            <w:r w:rsidRPr="00CE333D">
              <w:rPr>
                <w:rFonts w:eastAsia="仿宋" w:cs="Times New Roman"/>
                <w:color w:val="000000"/>
                <w:kern w:val="24"/>
              </w:rPr>
              <w:t xml:space="preserve">etection in CSF </w:t>
            </w:r>
            <w:r w:rsidRPr="00CE333D">
              <w:rPr>
                <w:rFonts w:eastAsia="仿宋" w:cs="Times New Roman" w:hint="eastAsia"/>
                <w:color w:val="000000"/>
                <w:kern w:val="24"/>
              </w:rPr>
              <w:t>and</w:t>
            </w:r>
            <w:r w:rsidRPr="00CE333D">
              <w:rPr>
                <w:rFonts w:eastAsia="仿宋" w:cs="Times New Roman"/>
                <w:color w:val="000000"/>
                <w:kern w:val="24"/>
              </w:rPr>
              <w:t xml:space="preserve"> Serum</w:t>
            </w:r>
            <w:r>
              <w:rPr>
                <w:rFonts w:eastAsia="仿宋" w:cs="Times New Roman"/>
                <w:color w:val="000000"/>
                <w:kern w:val="24"/>
              </w:rPr>
              <w:t xml:space="preserve"> after first injection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Dose Group</w:t>
            </w: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No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b/>
                <w:bCs/>
                <w:color w:val="000000"/>
                <w:kern w:val="0"/>
              </w:rPr>
            </w:pPr>
            <w:r>
              <w:rPr>
                <w:rFonts w:eastAsia="DengXian" w:cs="Times New Roman" w:hint="eastAsia"/>
                <w:color w:val="000000"/>
                <w:kern w:val="0"/>
              </w:rPr>
              <w:t>Time</w:t>
            </w:r>
            <w:r>
              <w:rPr>
                <w:rFonts w:eastAsia="DengXian" w:cs="Times New Roman"/>
                <w:color w:val="000000"/>
                <w:kern w:val="0"/>
              </w:rPr>
              <w:t xml:space="preserve"> after </w:t>
            </w:r>
          </w:p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>
              <w:rPr>
                <w:rFonts w:eastAsia="DengXian" w:cs="Times New Roman"/>
                <w:color w:val="000000"/>
                <w:kern w:val="0"/>
              </w:rPr>
              <w:t>administration</w:t>
            </w:r>
            <w:r>
              <w:rPr>
                <w:rFonts w:eastAsia="DengXian" w:cs="Times New Roman" w:hint="eastAsia"/>
                <w:color w:val="000000"/>
                <w:kern w:val="0"/>
              </w:rPr>
              <w:t>（</w:t>
            </w:r>
            <w:r>
              <w:rPr>
                <w:rFonts w:eastAsia="DengXian" w:cs="Times New Roman" w:hint="eastAsia"/>
                <w:color w:val="000000"/>
                <w:kern w:val="0"/>
              </w:rPr>
              <w:t>d</w:t>
            </w:r>
            <w:r>
              <w:rPr>
                <w:rFonts w:eastAsia="DengXian" w:cs="Times New Roman"/>
                <w:color w:val="000000"/>
                <w:kern w:val="0"/>
              </w:rPr>
              <w:t>ays</w:t>
            </w:r>
            <w:r>
              <w:rPr>
                <w:rFonts w:eastAsia="DengXian" w:cs="Times New Roman" w:hint="eastAsia"/>
                <w:color w:val="000000"/>
                <w:kern w:val="0"/>
              </w:rPr>
              <w:t>）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CSF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Serum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 w:val="restart"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1    5x10</w:t>
            </w:r>
            <w:r w:rsidRPr="00670246">
              <w:rPr>
                <w:rFonts w:eastAsia="DengXian" w:cs="Times New Roman"/>
                <w:color w:val="000000"/>
                <w:kern w:val="0"/>
                <w:vertAlign w:val="superscript"/>
              </w:rPr>
              <w:t>9</w:t>
            </w: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1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4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2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4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3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4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 w:val="restart"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 xml:space="preserve">1    </w:t>
            </w:r>
            <w:r>
              <w:rPr>
                <w:rFonts w:eastAsia="DengXian" w:cs="Times New Roman"/>
                <w:color w:val="000000"/>
                <w:kern w:val="0"/>
              </w:rPr>
              <w:t>1</w:t>
            </w:r>
            <w:r w:rsidRPr="00670246">
              <w:rPr>
                <w:rFonts w:eastAsia="DengXian" w:cs="Times New Roman"/>
                <w:color w:val="000000"/>
                <w:kern w:val="0"/>
              </w:rPr>
              <w:t>x10</w:t>
            </w:r>
            <w:r w:rsidRPr="00887211">
              <w:rPr>
                <w:rFonts w:eastAsia="DengXian" w:cs="Times New Roman"/>
                <w:color w:val="000000"/>
                <w:kern w:val="0"/>
                <w:vertAlign w:val="superscript"/>
              </w:rPr>
              <w:t>10</w:t>
            </w: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4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4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5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4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6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4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 w:val="restart"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 xml:space="preserve">1    </w:t>
            </w:r>
            <w:r>
              <w:rPr>
                <w:rFonts w:eastAsia="DengXian" w:cs="Times New Roman"/>
                <w:color w:val="000000"/>
                <w:kern w:val="0"/>
              </w:rPr>
              <w:t>5</w:t>
            </w:r>
            <w:r w:rsidRPr="00670246">
              <w:rPr>
                <w:rFonts w:eastAsia="DengXian" w:cs="Times New Roman"/>
                <w:color w:val="000000"/>
                <w:kern w:val="0"/>
              </w:rPr>
              <w:t>x10</w:t>
            </w:r>
            <w:r w:rsidRPr="00887211">
              <w:rPr>
                <w:rFonts w:eastAsia="DengXian" w:cs="Times New Roman"/>
                <w:color w:val="000000"/>
                <w:kern w:val="0"/>
                <w:vertAlign w:val="superscript"/>
              </w:rPr>
              <w:t>10</w:t>
            </w: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 w:rsidRPr="00670246">
              <w:rPr>
                <w:rFonts w:eastAsia="DengXian" w:cs="Times New Roman"/>
                <w:color w:val="000000"/>
                <w:kern w:val="0"/>
              </w:rPr>
              <w:t>7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1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4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670246">
              <w:rPr>
                <w:rFonts w:ascii="Arial" w:eastAsia="DengXian" w:hAnsi="Arial" w:cs="Arial"/>
                <w:color w:val="000000"/>
                <w:kern w:val="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  <w:r>
              <w:rPr>
                <w:rFonts w:eastAsia="DengXian" w:cs="Times New Roman" w:hint="eastAsia"/>
                <w:color w:val="000000"/>
                <w:kern w:val="0"/>
              </w:rPr>
              <w:t>8</w:t>
            </w: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0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0</w:t>
            </w:r>
          </w:p>
        </w:tc>
      </w:tr>
      <w:tr w:rsidR="007D3909" w:rsidRPr="00670246" w:rsidTr="0010205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1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0</w:t>
            </w:r>
          </w:p>
        </w:tc>
      </w:tr>
      <w:tr w:rsidR="007D3909" w:rsidRPr="00670246" w:rsidTr="001020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</w:tcPr>
          <w:p w:rsidR="007D3909" w:rsidRPr="00670246" w:rsidRDefault="007D3909" w:rsidP="00102050">
            <w:pPr>
              <w:snapToGrid w:val="0"/>
              <w:contextualSpacing/>
              <w:jc w:val="center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 w:cs="Times New Roman"/>
                <w:color w:val="000000"/>
                <w:kern w:val="0"/>
              </w:rPr>
            </w:pPr>
          </w:p>
        </w:tc>
        <w:tc>
          <w:tcPr>
            <w:tcW w:w="152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4</w:t>
            </w:r>
          </w:p>
        </w:tc>
        <w:tc>
          <w:tcPr>
            <w:tcW w:w="1131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0</w:t>
            </w:r>
          </w:p>
        </w:tc>
        <w:tc>
          <w:tcPr>
            <w:tcW w:w="1096" w:type="pct"/>
            <w:noWrap/>
            <w:vAlign w:val="center"/>
            <w:hideMark/>
          </w:tcPr>
          <w:p w:rsidR="007D3909" w:rsidRPr="00670246" w:rsidRDefault="007D3909" w:rsidP="00102050">
            <w:pPr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DengXian" w:hAnsi="Arial" w:cs="Arial"/>
                <w:color w:val="000000"/>
                <w:kern w:val="0"/>
              </w:rPr>
            </w:pPr>
            <w:r w:rsidRPr="003D7C98">
              <w:rPr>
                <w:rFonts w:ascii="Arial" w:eastAsia="DengXian" w:hAnsi="Arial" w:cs="Arial"/>
                <w:color w:val="000000"/>
              </w:rPr>
              <w:t>0</w:t>
            </w:r>
          </w:p>
        </w:tc>
      </w:tr>
      <w:bookmarkEnd w:id="8"/>
    </w:tbl>
    <w:p w:rsidR="007D3909" w:rsidRPr="004F7861" w:rsidRDefault="007D3909" w:rsidP="007D3909">
      <w:pPr>
        <w:rPr>
          <w:rFonts w:eastAsia="仿宋"/>
          <w:b/>
          <w:bCs/>
          <w:color w:val="000000" w:themeColor="text1"/>
          <w:kern w:val="24"/>
          <w:lang w:eastAsia="zh-CN"/>
        </w:rPr>
      </w:pPr>
    </w:p>
    <w:p w:rsidR="007D3909" w:rsidRDefault="007D3909" w:rsidP="007D3909">
      <w:pPr>
        <w:pStyle w:val="Body"/>
      </w:pPr>
    </w:p>
    <w:p w:rsidR="00B826D7" w:rsidRDefault="00B826D7" w:rsidP="00B826D7">
      <w:pPr>
        <w:rPr>
          <w:rFonts w:eastAsia="仿宋"/>
          <w:color w:val="000000" w:themeColor="text1"/>
          <w:kern w:val="24"/>
          <w:lang w:eastAsia="zh-CN"/>
        </w:rPr>
        <w:sectPr w:rsidR="00B826D7" w:rsidSect="002C0F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826D7" w:rsidRDefault="00B826D7" w:rsidP="00B826D7">
      <w:pPr>
        <w:rPr>
          <w:rFonts w:eastAsia="仿宋"/>
          <w:color w:val="000000" w:themeColor="text1"/>
          <w:kern w:val="24"/>
        </w:rPr>
      </w:pPr>
      <w:r w:rsidRPr="00000459">
        <w:rPr>
          <w:noProof/>
        </w:rPr>
        <w:lastRenderedPageBreak/>
        <w:t xml:space="preserve"> </w:t>
      </w:r>
      <w:r w:rsidRPr="00000459">
        <w:rPr>
          <w:rFonts w:eastAsia="仿宋"/>
          <w:noProof/>
          <w:color w:val="000000" w:themeColor="text1"/>
          <w:kern w:val="24"/>
        </w:rPr>
        <w:drawing>
          <wp:inline distT="0" distB="0" distL="0" distR="0" wp14:anchorId="3611B3DB" wp14:editId="602DB911">
            <wp:extent cx="1930400" cy="3238500"/>
            <wp:effectExtent l="0" t="0" r="0" b="0"/>
            <wp:docPr id="1395927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9276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6D7" w:rsidRPr="005B0312" w:rsidRDefault="00B826D7" w:rsidP="00B826D7">
      <w:pPr>
        <w:rPr>
          <w:rFonts w:eastAsia="仿宋"/>
          <w:b/>
          <w:bCs/>
          <w:color w:val="000000"/>
          <w:kern w:val="24"/>
        </w:rPr>
        <w:sectPr w:rsidR="00B826D7" w:rsidRPr="005B0312" w:rsidSect="002C0F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9" w:name="_Toc119250055"/>
      <w:r w:rsidRPr="005B0312">
        <w:rPr>
          <w:rFonts w:eastAsia="仿宋"/>
          <w:b/>
          <w:bCs/>
          <w:color w:val="000000"/>
          <w:kern w:val="24"/>
        </w:rPr>
        <w:t>Figure S1:</w:t>
      </w:r>
      <w:bookmarkStart w:id="10" w:name="OLE_LINK187"/>
      <w:bookmarkStart w:id="11" w:name="OLE_LINK188"/>
      <w:r w:rsidRPr="007C0CA7">
        <w:rPr>
          <w:rFonts w:eastAsia="仿宋"/>
          <w:color w:val="000000"/>
          <w:kern w:val="24"/>
        </w:rPr>
        <w:t xml:space="preserve"> </w:t>
      </w:r>
      <w:r w:rsidRPr="00C16502">
        <w:rPr>
          <w:rFonts w:eastAsia="仿宋"/>
          <w:color w:val="000000"/>
          <w:kern w:val="24"/>
        </w:rPr>
        <w:t xml:space="preserve">The patients’ best KPS scores at baseline and during the trial were compared. </w:t>
      </w:r>
      <w:r>
        <w:rPr>
          <w:rFonts w:eastAsia="仿宋"/>
          <w:color w:val="000000"/>
          <w:kern w:val="24"/>
        </w:rPr>
        <w:t>four</w:t>
      </w:r>
      <w:r w:rsidRPr="00C16502">
        <w:rPr>
          <w:rFonts w:eastAsia="仿宋"/>
          <w:color w:val="000000"/>
          <w:kern w:val="24"/>
        </w:rPr>
        <w:t xml:space="preserve"> patients showed an improvement in their best KPS during follow-up, while KPS remained stable for the other </w:t>
      </w:r>
      <w:r>
        <w:rPr>
          <w:rFonts w:eastAsia="仿宋"/>
          <w:color w:val="000000"/>
          <w:kern w:val="24"/>
        </w:rPr>
        <w:t xml:space="preserve">four </w:t>
      </w:r>
      <w:r w:rsidRPr="00C16502">
        <w:rPr>
          <w:rFonts w:eastAsia="仿宋"/>
          <w:color w:val="000000"/>
          <w:kern w:val="24"/>
        </w:rPr>
        <w:t>patients.</w:t>
      </w:r>
      <w:r w:rsidRPr="007C0CA7">
        <w:rPr>
          <w:rFonts w:eastAsia="仿宋"/>
          <w:color w:val="000000"/>
          <w:kern w:val="24"/>
        </w:rPr>
        <w:t xml:space="preserve"> </w:t>
      </w:r>
      <w:r>
        <w:rPr>
          <w:rFonts w:eastAsia="仿宋"/>
          <w:color w:val="000000"/>
          <w:kern w:val="24"/>
        </w:rPr>
        <w:t>(</w:t>
      </w:r>
      <w:r w:rsidRPr="007C0CA7">
        <w:rPr>
          <w:rFonts w:eastAsia="仿宋"/>
          <w:color w:val="000000"/>
          <w:kern w:val="24"/>
        </w:rPr>
        <w:t>— stands for median value</w:t>
      </w:r>
      <w:r w:rsidRPr="007C0CA7">
        <w:rPr>
          <w:rFonts w:eastAsia="仿宋" w:hint="eastAsia"/>
          <w:color w:val="000000"/>
          <w:kern w:val="24"/>
        </w:rPr>
        <w:t>,</w:t>
      </w:r>
      <w:r w:rsidRPr="007C0CA7">
        <w:rPr>
          <w:rFonts w:eastAsia="仿宋"/>
          <w:color w:val="000000"/>
          <w:kern w:val="24"/>
        </w:rPr>
        <w:t xml:space="preserve"> Mann-Whitney U test)</w:t>
      </w:r>
      <w:bookmarkEnd w:id="9"/>
      <w:bookmarkEnd w:id="10"/>
      <w:bookmarkEnd w:id="11"/>
      <w:r>
        <w:rPr>
          <w:rFonts w:eastAsia="仿宋"/>
          <w:color w:val="000000"/>
          <w:kern w:val="24"/>
        </w:rPr>
        <w:t>.</w:t>
      </w:r>
    </w:p>
    <w:p w:rsidR="00B826D7" w:rsidRDefault="00B826D7" w:rsidP="00B826D7">
      <w:pPr>
        <w:rPr>
          <w:rFonts w:eastAsia="仿宋"/>
          <w:color w:val="000000" w:themeColor="text1"/>
          <w:kern w:val="24"/>
        </w:rPr>
      </w:pPr>
    </w:p>
    <w:p w:rsidR="00B826D7" w:rsidRDefault="00B826D7" w:rsidP="00B826D7">
      <w:pPr>
        <w:rPr>
          <w:rFonts w:eastAsia="仿宋"/>
          <w:color w:val="000000" w:themeColor="text1"/>
          <w:kern w:val="24"/>
        </w:rPr>
      </w:pPr>
      <w:r>
        <w:rPr>
          <w:rFonts w:eastAsia="仿宋"/>
          <w:noProof/>
          <w:color w:val="000000" w:themeColor="text1"/>
          <w:kern w:val="24"/>
        </w:rPr>
        <w:drawing>
          <wp:inline distT="0" distB="0" distL="0" distR="0" wp14:anchorId="55219937" wp14:editId="04FFBD3C">
            <wp:extent cx="3721100" cy="2552700"/>
            <wp:effectExtent l="0" t="0" r="0" b="0"/>
            <wp:docPr id="142694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94868" name="图片 1426948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6D7" w:rsidRDefault="00B826D7" w:rsidP="00B826D7">
      <w:pPr>
        <w:rPr>
          <w:rFonts w:eastAsia="仿宋"/>
          <w:color w:val="000000"/>
          <w:kern w:val="24"/>
        </w:rPr>
        <w:sectPr w:rsidR="00B826D7" w:rsidSect="002C0F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70D7A">
        <w:rPr>
          <w:rFonts w:eastAsia="仿宋" w:hint="eastAsia"/>
          <w:b/>
          <w:bCs/>
          <w:color w:val="000000"/>
          <w:kern w:val="24"/>
        </w:rPr>
        <w:t>F</w:t>
      </w:r>
      <w:r w:rsidRPr="00B70D7A">
        <w:rPr>
          <w:rFonts w:eastAsia="仿宋"/>
          <w:b/>
          <w:bCs/>
          <w:color w:val="000000"/>
          <w:kern w:val="24"/>
        </w:rPr>
        <w:t xml:space="preserve">igure </w:t>
      </w:r>
      <w:r>
        <w:rPr>
          <w:rFonts w:eastAsia="仿宋"/>
          <w:b/>
          <w:bCs/>
          <w:color w:val="000000"/>
          <w:kern w:val="24"/>
        </w:rPr>
        <w:t>S2</w:t>
      </w:r>
      <w:r>
        <w:rPr>
          <w:rFonts w:eastAsia="仿宋" w:hint="eastAsia"/>
          <w:b/>
          <w:bCs/>
          <w:color w:val="000000"/>
          <w:kern w:val="24"/>
          <w:lang w:eastAsia="zh-CN"/>
        </w:rPr>
        <w:t>：</w:t>
      </w:r>
      <w:r w:rsidRPr="005B0312">
        <w:rPr>
          <w:rFonts w:eastAsia="仿宋"/>
          <w:color w:val="000000"/>
          <w:kern w:val="24"/>
        </w:rPr>
        <w:t>Kaplan–Meier curve for overall survival after the first Ad-TD-nsIL12 injection.</w:t>
      </w:r>
      <w:r w:rsidRPr="000C3A80">
        <w:t xml:space="preserve"> </w:t>
      </w:r>
      <w:r w:rsidRPr="005B0312">
        <w:rPr>
          <w:rFonts w:eastAsia="仿宋"/>
          <w:color w:val="000000"/>
          <w:kern w:val="24"/>
        </w:rPr>
        <w:t>The median survival time after virotherapy was 5.1 months</w:t>
      </w:r>
      <w:r>
        <w:rPr>
          <w:rFonts w:eastAsia="仿宋" w:hint="eastAsia"/>
          <w:color w:val="000000"/>
          <w:kern w:val="24"/>
          <w:lang w:eastAsia="zh-CN"/>
        </w:rPr>
        <w:t>,</w:t>
      </w:r>
      <w:r>
        <w:rPr>
          <w:rFonts w:eastAsia="仿宋"/>
          <w:color w:val="000000"/>
          <w:kern w:val="24"/>
          <w:lang w:eastAsia="zh-CN"/>
        </w:rPr>
        <w:t xml:space="preserve"> with patient 6 remaining alive 20.6 months after first virus injection. </w:t>
      </w:r>
      <w:r w:rsidRPr="000C3A80">
        <w:rPr>
          <w:rFonts w:eastAsia="仿宋"/>
          <w:color w:val="000000"/>
          <w:kern w:val="24"/>
        </w:rPr>
        <w:t>(n=8)</w:t>
      </w:r>
    </w:p>
    <w:p w:rsidR="00B826D7" w:rsidRDefault="00B826D7" w:rsidP="00B826D7">
      <w:pPr>
        <w:rPr>
          <w:rFonts w:eastAsia="仿宋"/>
          <w:color w:val="000000"/>
          <w:kern w:val="24"/>
        </w:rPr>
      </w:pPr>
      <w:r>
        <w:rPr>
          <w:rFonts w:eastAsia="仿宋"/>
          <w:noProof/>
          <w:color w:val="000000"/>
          <w:kern w:val="24"/>
        </w:rPr>
        <w:lastRenderedPageBreak/>
        <w:drawing>
          <wp:inline distT="0" distB="0" distL="0" distR="0" wp14:anchorId="620B49A3" wp14:editId="6614DDCF">
            <wp:extent cx="5274310" cy="1947545"/>
            <wp:effectExtent l="0" t="0" r="0" b="0"/>
            <wp:docPr id="6806742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74264" name="图片 6806742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6D7" w:rsidRDefault="00B826D7" w:rsidP="00B826D7">
      <w:pPr>
        <w:rPr>
          <w:rFonts w:eastAsia="仿宋"/>
          <w:color w:val="000000" w:themeColor="text1"/>
          <w:kern w:val="24"/>
          <w:lang w:eastAsia="zh-CN"/>
        </w:rPr>
        <w:sectPr w:rsidR="00B826D7" w:rsidSect="002C0F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B0312">
        <w:rPr>
          <w:rFonts w:eastAsia="仿宋"/>
          <w:b/>
          <w:bCs/>
          <w:color w:val="000000"/>
          <w:kern w:val="24"/>
          <w:lang w:eastAsia="zh-CN"/>
        </w:rPr>
        <w:t>Figure S3:</w:t>
      </w:r>
      <w:r>
        <w:rPr>
          <w:rFonts w:eastAsia="仿宋"/>
          <w:b/>
          <w:bCs/>
          <w:color w:val="000000"/>
          <w:kern w:val="24"/>
          <w:lang w:eastAsia="zh-CN"/>
        </w:rPr>
        <w:t xml:space="preserve"> </w:t>
      </w:r>
      <w:r w:rsidRPr="005B0312">
        <w:rPr>
          <w:rFonts w:eastAsia="仿宋"/>
          <w:color w:val="000000"/>
          <w:kern w:val="24"/>
          <w:lang w:eastAsia="zh-CN"/>
        </w:rPr>
        <w:t xml:space="preserve">In the post-treatment samples of </w:t>
      </w:r>
      <w:r>
        <w:rPr>
          <w:rFonts w:eastAsia="仿宋" w:hint="eastAsia"/>
          <w:color w:val="000000"/>
          <w:kern w:val="24"/>
          <w:lang w:eastAsia="zh-CN"/>
        </w:rPr>
        <w:t>p</w:t>
      </w:r>
      <w:r w:rsidRPr="005B0312">
        <w:rPr>
          <w:rFonts w:eastAsia="仿宋"/>
          <w:color w:val="000000"/>
          <w:kern w:val="24"/>
          <w:lang w:eastAsia="zh-CN"/>
        </w:rPr>
        <w:t>atient 2, EIA and</w:t>
      </w:r>
      <w:r w:rsidRPr="005B0312">
        <w:rPr>
          <w:rFonts w:eastAsia="仿宋"/>
          <w:color w:val="000000" w:themeColor="text1"/>
          <w:kern w:val="24"/>
          <w:lang w:eastAsia="zh-CN"/>
        </w:rPr>
        <w:t xml:space="preserve"> hexon were both observed, indicating the </w:t>
      </w:r>
      <w:r w:rsidRPr="00F945F2">
        <w:rPr>
          <w:color w:val="000000" w:themeColor="text1"/>
          <w:kern w:val="24"/>
        </w:rPr>
        <w:t xml:space="preserve">virus </w:t>
      </w:r>
      <w:r>
        <w:rPr>
          <w:color w:val="000000" w:themeColor="text1"/>
          <w:kern w:val="24"/>
        </w:rPr>
        <w:t>infection and replication</w:t>
      </w:r>
      <w:r w:rsidRPr="00F945F2">
        <w:rPr>
          <w:color w:val="000000" w:themeColor="text1"/>
          <w:kern w:val="24"/>
        </w:rPr>
        <w:t xml:space="preserve"> </w:t>
      </w:r>
      <w:r>
        <w:rPr>
          <w:color w:val="000000" w:themeColor="text1"/>
          <w:kern w:val="24"/>
        </w:rPr>
        <w:t>one</w:t>
      </w:r>
      <w:r w:rsidRPr="00F945F2">
        <w:rPr>
          <w:color w:val="000000" w:themeColor="text1"/>
          <w:kern w:val="24"/>
        </w:rPr>
        <w:t xml:space="preserve"> month</w:t>
      </w:r>
      <w:r>
        <w:rPr>
          <w:color w:val="000000" w:themeColor="text1"/>
          <w:kern w:val="24"/>
        </w:rPr>
        <w:t xml:space="preserve"> </w:t>
      </w:r>
      <w:r w:rsidRPr="00F945F2">
        <w:rPr>
          <w:color w:val="000000" w:themeColor="text1"/>
          <w:kern w:val="24"/>
        </w:rPr>
        <w:t xml:space="preserve">after the </w:t>
      </w:r>
      <w:r w:rsidRPr="005B0312">
        <w:rPr>
          <w:color w:val="000000" w:themeColor="text1"/>
          <w:kern w:val="24"/>
          <w:lang w:eastAsia="zh-CN"/>
        </w:rPr>
        <w:t>3rd</w:t>
      </w:r>
      <w:r w:rsidRPr="00F945F2">
        <w:rPr>
          <w:color w:val="000000" w:themeColor="text1"/>
          <w:kern w:val="24"/>
          <w:lang w:eastAsia="zh-CN"/>
        </w:rPr>
        <w:t xml:space="preserve"> virus </w:t>
      </w:r>
      <w:r w:rsidRPr="00F945F2">
        <w:rPr>
          <w:color w:val="000000" w:themeColor="text1"/>
          <w:kern w:val="24"/>
        </w:rPr>
        <w:t>treatment.</w:t>
      </w:r>
      <w:r w:rsidRPr="00DA5E5F">
        <w:rPr>
          <w:color w:val="000000" w:themeColor="text1"/>
          <w:kern w:val="24"/>
        </w:rPr>
        <w:t xml:space="preserve"> </w:t>
      </w:r>
    </w:p>
    <w:p w:rsidR="00B826D7" w:rsidRDefault="00B826D7" w:rsidP="00B826D7">
      <w:pPr>
        <w:snapToGrid w:val="0"/>
        <w:contextualSpacing/>
        <w:rPr>
          <w:rFonts w:eastAsia="仿宋"/>
          <w:color w:val="000000"/>
          <w:kern w:val="24"/>
        </w:rPr>
      </w:pPr>
      <w:bookmarkStart w:id="12" w:name="OLE_LINK195"/>
      <w:bookmarkStart w:id="13" w:name="OLE_LINK196"/>
      <w:r>
        <w:rPr>
          <w:rFonts w:eastAsia="仿宋"/>
          <w:noProof/>
          <w:color w:val="000000"/>
          <w:kern w:val="24"/>
        </w:rPr>
        <w:lastRenderedPageBreak/>
        <w:drawing>
          <wp:inline distT="0" distB="0" distL="0" distR="0" wp14:anchorId="498E481B" wp14:editId="727121F3">
            <wp:extent cx="5274310" cy="22472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6D7" w:rsidRPr="004F7861" w:rsidRDefault="00B826D7" w:rsidP="00B826D7">
      <w:pPr>
        <w:rPr>
          <w:rFonts w:eastAsia="仿宋"/>
          <w:b/>
          <w:bCs/>
          <w:color w:val="000000" w:themeColor="text1"/>
          <w:kern w:val="24"/>
          <w:lang w:eastAsia="zh-CN"/>
        </w:rPr>
      </w:pPr>
      <w:bookmarkStart w:id="14" w:name="_Toc119250056"/>
      <w:r w:rsidRPr="004F7861">
        <w:rPr>
          <w:rFonts w:eastAsia="仿宋"/>
          <w:b/>
          <w:bCs/>
          <w:color w:val="000000"/>
          <w:kern w:val="24"/>
        </w:rPr>
        <w:t>Figure S</w:t>
      </w:r>
      <w:r>
        <w:rPr>
          <w:rFonts w:eastAsia="仿宋"/>
          <w:b/>
          <w:bCs/>
          <w:color w:val="000000"/>
          <w:kern w:val="24"/>
        </w:rPr>
        <w:t>4</w:t>
      </w:r>
      <w:r w:rsidRPr="004F7861">
        <w:rPr>
          <w:rFonts w:eastAsia="仿宋"/>
          <w:b/>
          <w:bCs/>
          <w:color w:val="000000"/>
          <w:kern w:val="24"/>
        </w:rPr>
        <w:t>:</w:t>
      </w:r>
      <w:bookmarkStart w:id="15" w:name="OLE_LINK197"/>
      <w:bookmarkStart w:id="16" w:name="OLE_LINK198"/>
      <w:r w:rsidRPr="004F7861">
        <w:rPr>
          <w:rFonts w:eastAsia="仿宋"/>
          <w:b/>
          <w:bCs/>
          <w:color w:val="000000"/>
          <w:kern w:val="24"/>
        </w:rPr>
        <w:t xml:space="preserve"> </w:t>
      </w:r>
      <w:r w:rsidRPr="005B0312">
        <w:rPr>
          <w:rFonts w:eastAsia="仿宋"/>
          <w:color w:val="000000"/>
          <w:kern w:val="24"/>
        </w:rPr>
        <w:t xml:space="preserve">Expression of </w:t>
      </w:r>
      <w:r w:rsidRPr="005B0312">
        <w:rPr>
          <w:rFonts w:eastAsia="仿宋"/>
          <w:color w:val="000000" w:themeColor="text1"/>
          <w:kern w:val="24"/>
        </w:rPr>
        <w:t>Ad-TD-nsIL12 associated inflammatory cytokines in CSF</w:t>
      </w:r>
      <w:bookmarkEnd w:id="12"/>
      <w:bookmarkEnd w:id="13"/>
      <w:bookmarkEnd w:id="15"/>
      <w:bookmarkEnd w:id="16"/>
      <w:r w:rsidRPr="005B0312">
        <w:rPr>
          <w:rFonts w:eastAsia="仿宋"/>
          <w:color w:val="000000" w:themeColor="text1"/>
          <w:kern w:val="24"/>
        </w:rPr>
        <w:t xml:space="preserve"> of </w:t>
      </w:r>
      <w:r w:rsidRPr="005B0312">
        <w:rPr>
          <w:rFonts w:eastAsia="仿宋"/>
          <w:color w:val="000000"/>
          <w:kern w:val="24"/>
        </w:rPr>
        <w:t>Patient 4 (A) and 5 (B)</w:t>
      </w:r>
      <w:r w:rsidRPr="005B0312">
        <w:rPr>
          <w:rFonts w:eastAsia="仿宋"/>
          <w:color w:val="000000" w:themeColor="text1"/>
          <w:kern w:val="24"/>
        </w:rPr>
        <w:t>.</w:t>
      </w:r>
      <w:bookmarkEnd w:id="14"/>
      <w:r>
        <w:rPr>
          <w:rFonts w:eastAsia="仿宋"/>
          <w:color w:val="000000" w:themeColor="text1"/>
          <w:kern w:val="24"/>
        </w:rPr>
        <w:t xml:space="preserve"> </w:t>
      </w:r>
      <w:r w:rsidRPr="00862505">
        <w:rPr>
          <w:rFonts w:eastAsia="仿宋"/>
          <w:color w:val="000000" w:themeColor="text1"/>
          <w:kern w:val="24"/>
        </w:rPr>
        <w:t>In patient 4, the levels of IFN-Y, IL-10 and IL-21 increased slightly after treatment. IFN-Y, IL-10, and IL-21 in patient 6 after treatment. No significant increase in IL-12 was observed after treatment.</w:t>
      </w:r>
    </w:p>
    <w:p w:rsidR="00E0444D" w:rsidRPr="00B826D7" w:rsidRDefault="00E0444D">
      <w:pPr>
        <w:pStyle w:val="Body"/>
      </w:pPr>
    </w:p>
    <w:sectPr w:rsidR="00E0444D" w:rsidRPr="00B826D7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2B70" w:rsidRDefault="00552B70">
      <w:r>
        <w:separator/>
      </w:r>
    </w:p>
  </w:endnote>
  <w:endnote w:type="continuationSeparator" w:id="0">
    <w:p w:rsidR="00552B70" w:rsidRDefault="00552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risakdi">
    <w:altName w:val="Browallia New"/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444D" w:rsidRDefault="00E044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2B70" w:rsidRDefault="00552B70">
      <w:r>
        <w:separator/>
      </w:r>
    </w:p>
  </w:footnote>
  <w:footnote w:type="continuationSeparator" w:id="0">
    <w:p w:rsidR="00552B70" w:rsidRDefault="00552B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444D" w:rsidRDefault="00E044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44D"/>
    <w:rsid w:val="00552B70"/>
    <w:rsid w:val="00730988"/>
    <w:rsid w:val="007D3909"/>
    <w:rsid w:val="00B826D7"/>
    <w:rsid w:val="00E0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4CDD3FB-BA65-6A4B-B2DA-D9C837927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table" w:styleId="a4">
    <w:name w:val="Table Grid"/>
    <w:basedOn w:val="a1"/>
    <w:uiPriority w:val="39"/>
    <w:rsid w:val="007D39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宋体" w:cs="Srisakdi"/>
      <w:kern w:val="2"/>
      <w:sz w:val="24"/>
      <w:szCs w:val="24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7D39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kern w:val="2"/>
      <w:sz w:val="21"/>
      <w:szCs w:val="22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">
    <w:name w:val="Plain Table 1"/>
    <w:basedOn w:val="a1"/>
    <w:uiPriority w:val="41"/>
    <w:rsid w:val="007D39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宋体" w:cs="Srisakdi"/>
      <w:kern w:val="2"/>
      <w:sz w:val="24"/>
      <w:szCs w:val="24"/>
      <w:bdr w:val="none" w:sz="0" w:space="0" w:color="auto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964</Words>
  <Characters>5498</Characters>
  <Application>Microsoft Office Word</Application>
  <DocSecurity>0</DocSecurity>
  <Lines>45</Lines>
  <Paragraphs>12</Paragraphs>
  <ScaleCrop>false</ScaleCrop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潇 钱</cp:lastModifiedBy>
  <cp:revision>3</cp:revision>
  <dcterms:created xsi:type="dcterms:W3CDTF">2023-12-12T02:42:00Z</dcterms:created>
  <dcterms:modified xsi:type="dcterms:W3CDTF">2023-12-12T02:45:00Z</dcterms:modified>
</cp:coreProperties>
</file>